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drawings/drawing4.xml" ContentType="application/vnd.openxmlformats-officedocument.drawingml.chartshapes+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drawings/drawing5.xml" ContentType="application/vnd.openxmlformats-officedocument.drawingml.chartshapes+xml"/>
  <Override PartName="/word/charts/chart21.xml" ContentType="application/vnd.openxmlformats-officedocument.drawingml.chart+xml"/>
  <Override PartName="/word/theme/themeOverride18.xml" ContentType="application/vnd.openxmlformats-officedocument.themeOverride+xml"/>
  <Override PartName="/word/drawings/drawing6.xml" ContentType="application/vnd.openxmlformats-officedocument.drawingml.chartshapes+xml"/>
  <Override PartName="/word/charts/chart22.xml" ContentType="application/vnd.openxmlformats-officedocument.drawingml.chart+xml"/>
  <Override PartName="/word/theme/themeOverride19.xml" ContentType="application/vnd.openxmlformats-officedocument.themeOverride+xml"/>
  <Override PartName="/word/drawings/drawing7.xml" ContentType="application/vnd.openxmlformats-officedocument.drawingml.chartshapes+xml"/>
  <Override PartName="/word/charts/chart23.xml" ContentType="application/vnd.openxmlformats-officedocument.drawingml.chart+xml"/>
  <Override PartName="/word/theme/themeOverride20.xml" ContentType="application/vnd.openxmlformats-officedocument.themeOverride+xml"/>
  <Override PartName="/word/drawings/drawing8.xml" ContentType="application/vnd.openxmlformats-officedocument.drawingml.chartshapes+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drawings/drawing9.xml" ContentType="application/vnd.openxmlformats-officedocument.drawingml.chartshapes+xml"/>
  <Override PartName="/word/charts/chart27.xml" ContentType="application/vnd.openxmlformats-officedocument.drawingml.chart+xml"/>
  <Override PartName="/word/theme/themeOverride24.xml" ContentType="application/vnd.openxmlformats-officedocument.themeOverride+xml"/>
  <Override PartName="/word/drawings/drawing10.xml" ContentType="application/vnd.openxmlformats-officedocument.drawingml.chartshapes+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drawings/drawing11.xml" ContentType="application/vnd.openxmlformats-officedocument.drawingml.chartshapes+xml"/>
  <Override PartName="/word/charts/chart31.xml" ContentType="application/vnd.openxmlformats-officedocument.drawingml.chart+xml"/>
  <Override PartName="/word/theme/themeOverride28.xml" ContentType="application/vnd.openxmlformats-officedocument.themeOverride+xml"/>
  <Override PartName="/word/drawings/drawing12.xml" ContentType="application/vnd.openxmlformats-officedocument.drawingml.chartshapes+xml"/>
  <Override PartName="/word/charts/chart32.xml" ContentType="application/vnd.openxmlformats-officedocument.drawingml.chart+xml"/>
  <Override PartName="/word/theme/themeOverride29.xml" ContentType="application/vnd.openxmlformats-officedocument.themeOverride+xml"/>
  <Override PartName="/word/drawings/drawing13.xml" ContentType="application/vnd.openxmlformats-officedocument.drawingml.chartshapes+xml"/>
  <Override PartName="/word/charts/chart33.xml" ContentType="application/vnd.openxmlformats-officedocument.drawingml.chart+xml"/>
  <Override PartName="/word/theme/themeOverride30.xml" ContentType="application/vnd.openxmlformats-officedocument.themeOverride+xml"/>
  <Override PartName="/word/drawings/drawing14.xml" ContentType="application/vnd.openxmlformats-officedocument.drawingml.chartshapes+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drawings/drawing15.xml" ContentType="application/vnd.openxmlformats-officedocument.drawingml.chartshapes+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drawings/drawing16.xml" ContentType="application/vnd.openxmlformats-officedocument.drawingml.chartshapes+xml"/>
  <Override PartName="/word/charts/chart45.xml" ContentType="application/vnd.openxmlformats-officedocument.drawingml.chart+xml"/>
  <Override PartName="/word/theme/themeOverride42.xml" ContentType="application/vnd.openxmlformats-officedocument.themeOverride+xml"/>
  <Override PartName="/word/drawings/drawing17.xml" ContentType="application/vnd.openxmlformats-officedocument.drawingml.chartshapes+xml"/>
  <Override PartName="/word/charts/chart46.xml" ContentType="application/vnd.openxmlformats-officedocument.drawingml.chart+xml"/>
  <Override PartName="/word/theme/themeOverride43.xml" ContentType="application/vnd.openxmlformats-officedocument.themeOverride+xml"/>
  <Override PartName="/word/drawings/drawing18.xml" ContentType="application/vnd.openxmlformats-officedocument.drawingml.chartshapes+xml"/>
  <Override PartName="/word/charts/chart47.xml" ContentType="application/vnd.openxmlformats-officedocument.drawingml.chart+xml"/>
  <Override PartName="/word/theme/themeOverride44.xml" ContentType="application/vnd.openxmlformats-officedocument.themeOverride+xml"/>
  <Override PartName="/word/drawings/drawing19.xml" ContentType="application/vnd.openxmlformats-officedocument.drawingml.chartshapes+xml"/>
  <Override PartName="/word/charts/chart48.xml" ContentType="application/vnd.openxmlformats-officedocument.drawingml.chart+xml"/>
  <Override PartName="/word/theme/themeOverride45.xml" ContentType="application/vnd.openxmlformats-officedocument.themeOverride+xml"/>
  <Override PartName="/word/drawings/drawing20.xml" ContentType="application/vnd.openxmlformats-officedocument.drawingml.chartshapes+xml"/>
  <Override PartName="/word/charts/chart49.xml" ContentType="application/vnd.openxmlformats-officedocument.drawingml.chart+xml"/>
  <Override PartName="/word/theme/themeOverride46.xml" ContentType="application/vnd.openxmlformats-officedocument.themeOverride+xml"/>
  <Override PartName="/word/drawings/drawing21.xml" ContentType="application/vnd.openxmlformats-officedocument.drawingml.chartshapes+xml"/>
  <Override PartName="/word/charts/chart50.xml" ContentType="application/vnd.openxmlformats-officedocument.drawingml.chart+xml"/>
  <Override PartName="/word/theme/themeOverride47.xml" ContentType="application/vnd.openxmlformats-officedocument.themeOverride+xml"/>
  <Override PartName="/word/drawings/drawing22.xml" ContentType="application/vnd.openxmlformats-officedocument.drawingml.chartshapes+xml"/>
  <Override PartName="/word/charts/chart51.xml" ContentType="application/vnd.openxmlformats-officedocument.drawingml.chart+xml"/>
  <Override PartName="/word/theme/themeOverride48.xml" ContentType="application/vnd.openxmlformats-officedocument.themeOverride+xml"/>
  <Override PartName="/word/drawings/drawing23.xml" ContentType="application/vnd.openxmlformats-officedocument.drawingml.chartshapes+xml"/>
  <Override PartName="/word/charts/chart52.xml" ContentType="application/vnd.openxmlformats-officedocument.drawingml.chart+xml"/>
  <Override PartName="/word/theme/themeOverride49.xml" ContentType="application/vnd.openxmlformats-officedocument.themeOverride+xml"/>
  <Override PartName="/word/drawings/drawing24.xml" ContentType="application/vnd.openxmlformats-officedocument.drawingml.chartshapes+xml"/>
  <Override PartName="/word/charts/chart53.xml" ContentType="application/vnd.openxmlformats-officedocument.drawingml.chart+xml"/>
  <Override PartName="/word/theme/themeOverride50.xml" ContentType="application/vnd.openxmlformats-officedocument.themeOverride+xml"/>
  <Override PartName="/word/drawings/drawing25.xml" ContentType="application/vnd.openxmlformats-officedocument.drawingml.chartshapes+xml"/>
  <Override PartName="/word/charts/chart5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FAB17" w14:textId="0DB30834" w:rsidR="00027FBF" w:rsidRPr="00EB774C" w:rsidRDefault="00027FBF" w:rsidP="006B7E7B">
      <w:pPr>
        <w:pStyle w:val="Heading1"/>
        <w:jc w:val="both"/>
        <w:rPr>
          <w:bCs/>
          <w:lang w:val="hy-AM"/>
        </w:rPr>
      </w:pPr>
      <w:bookmarkStart w:id="0" w:name="_Toc51947410"/>
      <w:bookmarkStart w:id="1" w:name="_Toc52452083"/>
      <w:bookmarkStart w:id="2" w:name="_Toc45838512"/>
      <w:bookmarkStart w:id="3" w:name="_Toc46154342"/>
      <w:bookmarkStart w:id="4" w:name="_Toc57559411"/>
      <w:bookmarkStart w:id="5" w:name="_Toc83663893"/>
      <w:bookmarkStart w:id="6" w:name="_Toc83972829"/>
      <w:bookmarkStart w:id="7" w:name="_Toc89428284"/>
      <w:bookmarkStart w:id="8" w:name="_Toc46760415"/>
      <w:r w:rsidRPr="00EB774C">
        <w:rPr>
          <w:lang w:val="hy-AM"/>
        </w:rPr>
        <w:t>ՄԱԿՐՈՏՆՏԵՍԱԿԱՆ ԶԱՐԳԱՑՈՒՄՆԵՐ ԵՎ ԿԱՆԽԱՏԵՍՈՒՄՆԵՐ</w:t>
      </w:r>
      <w:bookmarkEnd w:id="0"/>
      <w:bookmarkEnd w:id="1"/>
      <w:bookmarkEnd w:id="2"/>
      <w:bookmarkEnd w:id="3"/>
      <w:bookmarkEnd w:id="4"/>
      <w:bookmarkEnd w:id="5"/>
      <w:bookmarkEnd w:id="6"/>
      <w:bookmarkEnd w:id="7"/>
    </w:p>
    <w:p w14:paraId="1633795C" w14:textId="77777777" w:rsidR="00027FBF" w:rsidRPr="00A83C94" w:rsidRDefault="00027FBF" w:rsidP="00027FBF">
      <w:pPr>
        <w:keepNext/>
        <w:keepLines/>
        <w:spacing w:before="0" w:line="276" w:lineRule="auto"/>
        <w:outlineLvl w:val="2"/>
        <w:rPr>
          <w:b w:val="0"/>
          <w:bCs/>
          <w:sz w:val="24"/>
          <w:lang w:val="hy-AM"/>
        </w:rPr>
      </w:pPr>
      <w:bookmarkStart w:id="9" w:name="_Toc51947412"/>
      <w:bookmarkStart w:id="10" w:name="_Toc52452085"/>
      <w:bookmarkStart w:id="11" w:name="_Toc57559412"/>
      <w:bookmarkStart w:id="12" w:name="_Toc83663894"/>
      <w:bookmarkStart w:id="13" w:name="_Toc83972830"/>
      <w:bookmarkStart w:id="14" w:name="_Toc89428285"/>
      <w:r w:rsidRPr="00A83C94">
        <w:rPr>
          <w:bCs/>
          <w:sz w:val="24"/>
          <w:lang w:val="hy-AM"/>
        </w:rPr>
        <w:t>1.1 ՄԱԿՐՈՏՆՏԵՍԱԿԱՆ ԱՄՓՈՓԱԳԻՐ ԵՎ ՇՐՋԱՆԱԿ</w:t>
      </w:r>
      <w:bookmarkEnd w:id="9"/>
      <w:bookmarkEnd w:id="10"/>
      <w:bookmarkEnd w:id="11"/>
      <w:bookmarkEnd w:id="12"/>
      <w:bookmarkEnd w:id="13"/>
      <w:bookmarkEnd w:id="14"/>
      <w:r w:rsidRPr="00A83C94">
        <w:rPr>
          <w:bCs/>
          <w:sz w:val="24"/>
          <w:lang w:val="hy-AM"/>
        </w:rPr>
        <w:t xml:space="preserve"> </w:t>
      </w:r>
    </w:p>
    <w:p w14:paraId="4FC37665" w14:textId="77777777" w:rsidR="00027FBF" w:rsidRPr="00A83C94" w:rsidRDefault="00027FBF" w:rsidP="00027FBF">
      <w:pPr>
        <w:numPr>
          <w:ilvl w:val="0"/>
          <w:numId w:val="28"/>
        </w:numPr>
        <w:tabs>
          <w:tab w:val="right" w:pos="0"/>
        </w:tabs>
        <w:spacing w:before="40" w:after="120" w:line="276" w:lineRule="auto"/>
        <w:contextualSpacing w:val="0"/>
        <w:rPr>
          <w:b w:val="0"/>
          <w:lang w:val="hy-AM"/>
        </w:rPr>
      </w:pPr>
      <w:r w:rsidRPr="00A83C94">
        <w:rPr>
          <w:rFonts w:eastAsia="Calibri"/>
          <w:b w:val="0"/>
          <w:lang w:val="hy-AM"/>
        </w:rPr>
        <w:t>Ներկայումս աշխարհը դեռևս շարունակում է կրել համավարակի բացասական հետևանքները, սակայն դրանց աստիճանական չեզոքացման սպասումով: Արժույթի միջազգային հիմնադրամը (այսուհետև՝ ԱՄՀ) հուլիսին վերանայել է 2022թ</w:t>
      </w:r>
      <w:r w:rsidRPr="00A83C94">
        <w:rPr>
          <w:rFonts w:ascii="Cambria Math" w:eastAsia="Calibri" w:hAnsi="Cambria Math" w:cs="Cambria Math"/>
          <w:b w:val="0"/>
          <w:lang w:val="hy-AM"/>
        </w:rPr>
        <w:t>․</w:t>
      </w:r>
      <w:r w:rsidRPr="00A83C94">
        <w:rPr>
          <w:rFonts w:eastAsia="Calibri"/>
          <w:b w:val="0"/>
          <w:lang w:val="hy-AM"/>
        </w:rPr>
        <w:t xml:space="preserve">-ի համաշխարհային տնտեսական աճի կանխատեսումը դեպի վերև՝ պայմանավորված շատ երկրների սպասվածից ավելի լավ զարգացումներով։ Վերջիններս ամրապնդվել են ի հաշիվ պատվաստանյութերի առկայության և որոշ խոշոր երկրներում 2021թ. համար հայտարարված լրացուցիչ օժանդակության միջոցառումների: ՀՀ գործընկեր երկրների տնտեսությունների համար կանխատեսվում է իրենց պոտենցիալ աճերից բարձր տնտեսական աճեր՝ նախանշելով վերականգման գործընթացը: </w:t>
      </w:r>
    </w:p>
    <w:p w14:paraId="18A1CE78" w14:textId="77777777" w:rsidR="00027FBF" w:rsidRPr="00A83C94" w:rsidRDefault="00027FBF" w:rsidP="00027FBF">
      <w:pPr>
        <w:pStyle w:val="ListParagraph"/>
        <w:numPr>
          <w:ilvl w:val="0"/>
          <w:numId w:val="28"/>
        </w:numPr>
        <w:spacing w:line="276" w:lineRule="auto"/>
        <w:rPr>
          <w:rFonts w:eastAsia="Calibri"/>
          <w:b w:val="0"/>
          <w:lang w:val="hy-AM"/>
        </w:rPr>
      </w:pPr>
      <w:r w:rsidRPr="00A83C94">
        <w:rPr>
          <w:rFonts w:eastAsia="Calibri"/>
          <w:b w:val="0"/>
          <w:lang w:val="hy-AM"/>
        </w:rPr>
        <w:t>2020թ</w:t>
      </w:r>
      <w:r w:rsidRPr="00A83C94">
        <w:rPr>
          <w:rFonts w:ascii="Cambria Math" w:eastAsia="Calibri" w:hAnsi="Cambria Math" w:cs="Cambria Math"/>
          <w:b w:val="0"/>
          <w:lang w:val="hy-AM"/>
        </w:rPr>
        <w:t>․</w:t>
      </w:r>
      <w:r w:rsidRPr="00A83C94">
        <w:rPr>
          <w:rFonts w:eastAsia="Calibri"/>
          <w:b w:val="0"/>
          <w:lang w:val="hy-AM"/>
        </w:rPr>
        <w:t xml:space="preserve"> սկիզբ առած նոր տիպի կորոնավիրուսի համավարակի, ինչպես նաև սեպտեմբեր-նոյեմբերին սանձազերծված Արցախյան պատերազմի ազդեցություններով պայմանավորված ՀՀ տնտեսության բացասական զարգացումների հետևանքները զգացվեցին նաև 2021թ</w:t>
      </w:r>
      <w:r w:rsidRPr="00A83C94">
        <w:rPr>
          <w:rFonts w:ascii="Cambria Math" w:eastAsia="Calibri" w:hAnsi="Cambria Math" w:cs="Cambria Math"/>
          <w:b w:val="0"/>
          <w:lang w:val="hy-AM"/>
        </w:rPr>
        <w:t>․</w:t>
      </w:r>
      <w:r w:rsidRPr="00A83C94">
        <w:rPr>
          <w:rFonts w:eastAsia="Calibri"/>
          <w:b w:val="0"/>
          <w:lang w:val="hy-AM"/>
        </w:rPr>
        <w:t xml:space="preserve"> ընթացքում, այնուամենայնիվ, 2021թ</w:t>
      </w:r>
      <w:r w:rsidRPr="00A83C94">
        <w:rPr>
          <w:rFonts w:ascii="Cambria Math" w:eastAsia="Calibri" w:hAnsi="Cambria Math" w:cs="Cambria Math"/>
          <w:b w:val="0"/>
          <w:lang w:val="hy-AM"/>
        </w:rPr>
        <w:t>․</w:t>
      </w:r>
      <w:r w:rsidRPr="00A83C94">
        <w:rPr>
          <w:rFonts w:eastAsia="Calibri"/>
          <w:b w:val="0"/>
          <w:lang w:val="hy-AM"/>
        </w:rPr>
        <w:t xml:space="preserve"> ՀՀ տնտեսությունը թևակոխեց վերականգման փուլ։ Համաշխարհային տնտեսության և ՀՀ գործընկեր երկրների սպասվածից ավելի արագ տեմպերով վերականգնման և կանխատեսված տնտեսական զարգացումների, ինչպես նաև ՀՀ ընթացիկ տնտեսական զարգացումների, Արցախյան պատերազմի գնահատվող ազդեցությունների, hամավարակի և Արցախյան պատերազմի բացասական ազդեցությունների մեղմմանն ու տնտեսության վերականգնմանն ուղղված կառավարության կողմից իրականացված և իրականացվող հարկաբյուջետային միջոցառումների, ինչպես նաև hամավարակի համաշխարհային ճգնաժամի աստիճանական հաղթահարման պայմաններում 2021թ. սպասվում է 6.5% տնտեսական աճ։</w:t>
      </w:r>
    </w:p>
    <w:p w14:paraId="127A99E7" w14:textId="77777777" w:rsidR="00027FBF" w:rsidRPr="00A83C94" w:rsidRDefault="00027FBF" w:rsidP="00027FBF">
      <w:pPr>
        <w:pStyle w:val="ListParagraph"/>
        <w:numPr>
          <w:ilvl w:val="0"/>
          <w:numId w:val="28"/>
        </w:numPr>
        <w:spacing w:line="276" w:lineRule="auto"/>
        <w:rPr>
          <w:rFonts w:eastAsia="Calibri"/>
          <w:b w:val="0"/>
          <w:lang w:val="hy-AM"/>
        </w:rPr>
      </w:pPr>
      <w:r w:rsidRPr="00A83C94">
        <w:rPr>
          <w:rFonts w:eastAsia="Calibri"/>
          <w:b w:val="0"/>
          <w:lang w:val="hy-AM"/>
        </w:rPr>
        <w:t>Սպասվող արտաքին տնտեսական բարենպաստ միջավայրի և ՀՀ կառավարության 2021-2026թթ. ծրագրով նախատեսված տնտեսության և տնտեսական աճի ներուժի բարձրացմանն ուղղված  քաղաքականությունների և դրանցից բխող միջոցառումների պայմաններում, 2022թ</w:t>
      </w:r>
      <w:r w:rsidRPr="00A83C94">
        <w:rPr>
          <w:rFonts w:ascii="Cambria Math" w:eastAsia="Calibri" w:hAnsi="Cambria Math" w:cs="Cambria Math"/>
          <w:b w:val="0"/>
          <w:lang w:val="hy-AM"/>
        </w:rPr>
        <w:t>․</w:t>
      </w:r>
      <w:r w:rsidRPr="00A83C94">
        <w:rPr>
          <w:rFonts w:eastAsia="Calibri"/>
          <w:b w:val="0"/>
          <w:lang w:val="hy-AM"/>
        </w:rPr>
        <w:t xml:space="preserve"> </w:t>
      </w:r>
      <w:r w:rsidRPr="00A83C94">
        <w:rPr>
          <w:rFonts w:eastAsia="Calibri" w:cs="GHEA Grapalat"/>
          <w:b w:val="0"/>
          <w:lang w:val="hy-AM"/>
        </w:rPr>
        <w:t>կանխատեսվում</w:t>
      </w:r>
      <w:r w:rsidRPr="00A83C94">
        <w:rPr>
          <w:rFonts w:eastAsia="Calibri"/>
          <w:b w:val="0"/>
          <w:lang w:val="hy-AM"/>
        </w:rPr>
        <w:t xml:space="preserve"> </w:t>
      </w:r>
      <w:r w:rsidRPr="00A83C94">
        <w:rPr>
          <w:rFonts w:eastAsia="Calibri" w:cs="GHEA Grapalat"/>
          <w:b w:val="0"/>
          <w:lang w:val="hy-AM"/>
        </w:rPr>
        <w:t>է</w:t>
      </w:r>
      <w:r w:rsidRPr="00A83C94">
        <w:rPr>
          <w:rFonts w:eastAsia="Calibri"/>
          <w:b w:val="0"/>
          <w:lang w:val="hy-AM"/>
        </w:rPr>
        <w:t xml:space="preserve"> 7</w:t>
      </w:r>
      <w:r w:rsidRPr="00A83C94">
        <w:rPr>
          <w:rFonts w:ascii="Cambria Math" w:eastAsia="Calibri" w:hAnsi="Cambria Math" w:cs="Cambria Math"/>
          <w:b w:val="0"/>
          <w:lang w:val="hy-AM"/>
        </w:rPr>
        <w:t>․</w:t>
      </w:r>
      <w:r w:rsidRPr="00A83C94">
        <w:rPr>
          <w:rFonts w:eastAsia="Calibri"/>
          <w:b w:val="0"/>
          <w:lang w:val="hy-AM"/>
        </w:rPr>
        <w:t xml:space="preserve">0% </w:t>
      </w:r>
      <w:r w:rsidRPr="00A83C94">
        <w:rPr>
          <w:rFonts w:eastAsia="Calibri" w:cs="GHEA Grapalat"/>
          <w:b w:val="0"/>
          <w:lang w:val="hy-AM"/>
        </w:rPr>
        <w:t>տնտեսական</w:t>
      </w:r>
      <w:r w:rsidRPr="00A83C94">
        <w:rPr>
          <w:rFonts w:eastAsia="Calibri"/>
          <w:b w:val="0"/>
          <w:lang w:val="hy-AM"/>
        </w:rPr>
        <w:t xml:space="preserve"> </w:t>
      </w:r>
      <w:r w:rsidRPr="00A83C94">
        <w:rPr>
          <w:rFonts w:eastAsia="Calibri" w:cs="GHEA Grapalat"/>
          <w:b w:val="0"/>
          <w:lang w:val="hy-AM"/>
        </w:rPr>
        <w:t>աճ</w:t>
      </w:r>
      <w:r w:rsidRPr="00A83C94">
        <w:rPr>
          <w:rFonts w:eastAsia="Calibri"/>
          <w:b w:val="0"/>
          <w:lang w:val="hy-AM"/>
        </w:rPr>
        <w:t xml:space="preserve">, </w:t>
      </w:r>
      <w:r w:rsidRPr="00A83C94">
        <w:rPr>
          <w:rFonts w:eastAsia="Calibri" w:cs="GHEA Grapalat"/>
          <w:b w:val="0"/>
          <w:lang w:val="hy-AM"/>
        </w:rPr>
        <w:t>ինչը</w:t>
      </w:r>
      <w:r w:rsidRPr="00A83C94">
        <w:rPr>
          <w:rFonts w:eastAsia="Calibri"/>
          <w:b w:val="0"/>
          <w:lang w:val="hy-AM"/>
        </w:rPr>
        <w:t xml:space="preserve"> </w:t>
      </w:r>
      <w:r w:rsidRPr="00A83C94">
        <w:rPr>
          <w:rFonts w:eastAsia="Calibri" w:cs="GHEA Grapalat"/>
          <w:b w:val="0"/>
          <w:lang w:val="hy-AM"/>
        </w:rPr>
        <w:t>համահունչ</w:t>
      </w:r>
      <w:r w:rsidRPr="00A83C94">
        <w:rPr>
          <w:rFonts w:eastAsia="Calibri"/>
          <w:b w:val="0"/>
          <w:lang w:val="hy-AM"/>
        </w:rPr>
        <w:t xml:space="preserve"> </w:t>
      </w:r>
      <w:r w:rsidRPr="00A83C94">
        <w:rPr>
          <w:rFonts w:eastAsia="Calibri" w:cs="GHEA Grapalat"/>
          <w:b w:val="0"/>
          <w:lang w:val="hy-AM"/>
        </w:rPr>
        <w:t>է</w:t>
      </w:r>
      <w:r w:rsidRPr="00A83C94">
        <w:rPr>
          <w:rFonts w:eastAsia="Calibri"/>
          <w:b w:val="0"/>
          <w:lang w:val="hy-AM"/>
        </w:rPr>
        <w:t xml:space="preserve"> </w:t>
      </w:r>
      <w:r w:rsidRPr="00A83C94">
        <w:rPr>
          <w:rFonts w:eastAsia="Calibri" w:cs="GHEA Grapalat"/>
          <w:b w:val="0"/>
          <w:lang w:val="hy-AM"/>
        </w:rPr>
        <w:t>նպատակադրած</w:t>
      </w:r>
      <w:r w:rsidRPr="00A83C94">
        <w:rPr>
          <w:rFonts w:eastAsia="Calibri"/>
          <w:b w:val="0"/>
          <w:lang w:val="hy-AM"/>
        </w:rPr>
        <w:t xml:space="preserve"> </w:t>
      </w:r>
      <w:r w:rsidRPr="00A83C94">
        <w:rPr>
          <w:rFonts w:eastAsia="Calibri" w:cs="GHEA Grapalat"/>
          <w:b w:val="0"/>
          <w:lang w:val="hy-AM"/>
        </w:rPr>
        <w:t>տնտեսական</w:t>
      </w:r>
      <w:r w:rsidRPr="00A83C94">
        <w:rPr>
          <w:rFonts w:eastAsia="Calibri"/>
          <w:b w:val="0"/>
          <w:lang w:val="hy-AM"/>
        </w:rPr>
        <w:t xml:space="preserve"> </w:t>
      </w:r>
      <w:r w:rsidRPr="00A83C94">
        <w:rPr>
          <w:rFonts w:eastAsia="Calibri" w:cs="GHEA Grapalat"/>
          <w:b w:val="0"/>
          <w:lang w:val="hy-AM"/>
        </w:rPr>
        <w:t>աճի</w:t>
      </w:r>
      <w:r w:rsidRPr="00A83C94">
        <w:rPr>
          <w:rFonts w:eastAsia="Calibri"/>
          <w:b w:val="0"/>
          <w:lang w:val="hy-AM"/>
        </w:rPr>
        <w:t xml:space="preserve"> </w:t>
      </w:r>
      <w:r w:rsidRPr="00A83C94">
        <w:rPr>
          <w:rFonts w:eastAsia="Calibri" w:cs="GHEA Grapalat"/>
          <w:b w:val="0"/>
          <w:lang w:val="hy-AM"/>
        </w:rPr>
        <w:t>թիրախին։ Կանխատեսված</w:t>
      </w:r>
      <w:r w:rsidRPr="00A83C94">
        <w:rPr>
          <w:rFonts w:eastAsia="Calibri"/>
          <w:b w:val="0"/>
          <w:lang w:val="hy-AM"/>
        </w:rPr>
        <w:t xml:space="preserve"> </w:t>
      </w:r>
      <w:r w:rsidRPr="00A83C94">
        <w:rPr>
          <w:rFonts w:eastAsia="Calibri" w:cs="GHEA Grapalat"/>
          <w:b w:val="0"/>
          <w:lang w:val="hy-AM"/>
        </w:rPr>
        <w:t>տնտեսական</w:t>
      </w:r>
      <w:r w:rsidRPr="00A83C94">
        <w:rPr>
          <w:rFonts w:eastAsia="Calibri"/>
          <w:b w:val="0"/>
          <w:lang w:val="hy-AM"/>
        </w:rPr>
        <w:t xml:space="preserve"> </w:t>
      </w:r>
      <w:r w:rsidRPr="00A83C94">
        <w:rPr>
          <w:rFonts w:eastAsia="Calibri" w:cs="GHEA Grapalat"/>
          <w:b w:val="0"/>
          <w:lang w:val="hy-AM"/>
        </w:rPr>
        <w:t>աճի</w:t>
      </w:r>
      <w:r w:rsidRPr="00A83C94">
        <w:rPr>
          <w:rFonts w:eastAsia="Calibri"/>
          <w:b w:val="0"/>
          <w:lang w:val="hy-AM"/>
        </w:rPr>
        <w:t xml:space="preserve"> </w:t>
      </w:r>
      <w:r w:rsidRPr="00A83C94">
        <w:rPr>
          <w:rFonts w:eastAsia="Calibri" w:cs="GHEA Grapalat"/>
          <w:b w:val="0"/>
          <w:lang w:val="hy-AM"/>
        </w:rPr>
        <w:t>հիմքում</w:t>
      </w:r>
      <w:r w:rsidRPr="00A83C94">
        <w:rPr>
          <w:rFonts w:eastAsia="Calibri"/>
          <w:b w:val="0"/>
          <w:lang w:val="hy-AM"/>
        </w:rPr>
        <w:t xml:space="preserve"> </w:t>
      </w:r>
      <w:r w:rsidRPr="00A83C94">
        <w:rPr>
          <w:rFonts w:eastAsia="Calibri" w:cs="GHEA Grapalat"/>
          <w:b w:val="0"/>
          <w:lang w:val="hy-AM"/>
        </w:rPr>
        <w:t>ընկած</w:t>
      </w:r>
      <w:r w:rsidRPr="00A83C94">
        <w:rPr>
          <w:rFonts w:eastAsia="Calibri"/>
          <w:b w:val="0"/>
          <w:lang w:val="hy-AM"/>
        </w:rPr>
        <w:t xml:space="preserve"> </w:t>
      </w:r>
      <w:r w:rsidRPr="00A83C94">
        <w:rPr>
          <w:rFonts w:eastAsia="Calibri" w:cs="GHEA Grapalat"/>
          <w:b w:val="0"/>
          <w:lang w:val="hy-AM"/>
        </w:rPr>
        <w:t>են</w:t>
      </w:r>
      <w:r w:rsidRPr="00A83C94">
        <w:rPr>
          <w:rFonts w:eastAsia="Calibri"/>
          <w:b w:val="0"/>
          <w:lang w:val="hy-AM"/>
        </w:rPr>
        <w:t xml:space="preserve"> </w:t>
      </w:r>
      <w:r w:rsidRPr="00A83C94">
        <w:rPr>
          <w:rFonts w:eastAsia="Calibri" w:cs="GHEA Grapalat"/>
          <w:b w:val="0"/>
          <w:lang w:val="hy-AM"/>
        </w:rPr>
        <w:t>ՀՀ</w:t>
      </w:r>
      <w:r w:rsidRPr="00A83C94">
        <w:rPr>
          <w:rFonts w:eastAsia="Calibri"/>
          <w:b w:val="0"/>
          <w:lang w:val="hy-AM"/>
        </w:rPr>
        <w:t xml:space="preserve"> </w:t>
      </w:r>
      <w:r w:rsidRPr="00A83C94">
        <w:rPr>
          <w:rFonts w:eastAsia="Calibri" w:cs="GHEA Grapalat"/>
          <w:b w:val="0"/>
          <w:lang w:val="hy-AM"/>
        </w:rPr>
        <w:t>կառավարության</w:t>
      </w:r>
      <w:r w:rsidRPr="00A83C94">
        <w:rPr>
          <w:rFonts w:eastAsia="Calibri"/>
          <w:b w:val="0"/>
          <w:lang w:val="hy-AM"/>
        </w:rPr>
        <w:t xml:space="preserve"> </w:t>
      </w:r>
      <w:r w:rsidRPr="00A83C94">
        <w:rPr>
          <w:rFonts w:eastAsia="Calibri" w:cs="GHEA Grapalat"/>
          <w:b w:val="0"/>
          <w:lang w:val="hy-AM"/>
        </w:rPr>
        <w:t>կ</w:t>
      </w:r>
      <w:r w:rsidRPr="00A83C94">
        <w:rPr>
          <w:rFonts w:eastAsia="Calibri"/>
          <w:b w:val="0"/>
          <w:lang w:val="hy-AM"/>
        </w:rPr>
        <w:t>ողմից թիրախավորված տնտեսական աճի ներուժի բարձրացման ուղղված այնպիսի միջոցառումներ, ինչպիսիք են մեծածավալ պետական ներդրումների իրականացումը ենթակառուցվածքներում և մարդկային կապիտալի զարգացմանը միտված ոլորտներում, գործարար միջավայրի բարելավման, տեխնոլոգիական առաջընթացի ապահովման, տնտեսության արտահանելի հատվածի և արտահանման խթանմանն ուղղված քաղաքականությունները, որոնք կխթանեն ինչպես նե</w:t>
      </w:r>
      <w:r>
        <w:rPr>
          <w:rFonts w:eastAsia="Calibri"/>
          <w:b w:val="0"/>
          <w:lang w:val="hy-AM"/>
        </w:rPr>
        <w:t>ր</w:t>
      </w:r>
      <w:r w:rsidRPr="00A83C94">
        <w:rPr>
          <w:rFonts w:eastAsia="Calibri"/>
          <w:b w:val="0"/>
          <w:lang w:val="hy-AM"/>
        </w:rPr>
        <w:t xml:space="preserve">քին, այնպես էլ օտարերկրյա միջոցներով ֆինանսավորվող մասնավոր ներդրումների իրականացումը, կնպաստեն արտահանման ծավալների մեծացմանը, ինչպես նաև ընդհանուր արտադրողականության բարձրացմանը։ </w:t>
      </w:r>
    </w:p>
    <w:p w14:paraId="046EF143" w14:textId="77777777" w:rsidR="00027FBF" w:rsidRPr="00A83C94" w:rsidRDefault="00027FBF" w:rsidP="00027FBF">
      <w:pPr>
        <w:pStyle w:val="ListParagraph"/>
        <w:spacing w:line="276" w:lineRule="auto"/>
        <w:ind w:firstLine="0"/>
        <w:rPr>
          <w:rFonts w:eastAsia="Calibri"/>
          <w:b w:val="0"/>
          <w:lang w:val="hy-AM"/>
        </w:rPr>
      </w:pPr>
    </w:p>
    <w:p w14:paraId="2F2A4F9D" w14:textId="77777777" w:rsidR="00027FBF" w:rsidRPr="00A83C94" w:rsidRDefault="00027FBF" w:rsidP="00027FBF">
      <w:pPr>
        <w:numPr>
          <w:ilvl w:val="0"/>
          <w:numId w:val="28"/>
        </w:numPr>
        <w:tabs>
          <w:tab w:val="right" w:pos="0"/>
        </w:tabs>
        <w:spacing w:before="40" w:after="120" w:line="276" w:lineRule="auto"/>
        <w:contextualSpacing w:val="0"/>
        <w:rPr>
          <w:b w:val="0"/>
          <w:lang w:val="hy-AM"/>
        </w:rPr>
      </w:pPr>
      <w:r w:rsidRPr="00A83C94">
        <w:rPr>
          <w:b w:val="0"/>
          <w:lang w:val="hy-AM"/>
        </w:rPr>
        <w:t>Ներքին պահանջարկի արագ վերականգնումը կարտացոլվի ներմուծման արագացմամբ, սակայն արտահանման առաջանցիկ աճն ու դրամական փոխանցումների բարձր մակարդակները կնպաստեն ընթացիկ հաշվի բարելավմանը:</w:t>
      </w:r>
      <w:r w:rsidRPr="00A83C94">
        <w:rPr>
          <w:rFonts w:cs="Times Armenian"/>
          <w:b w:val="0"/>
          <w:bCs/>
          <w:szCs w:val="22"/>
          <w:lang w:val="hy-AM" w:eastAsia="en-US"/>
        </w:rPr>
        <w:t xml:space="preserve"> </w:t>
      </w:r>
      <w:r w:rsidRPr="00A83C94">
        <w:rPr>
          <w:b w:val="0"/>
          <w:lang w:val="hy-AM"/>
        </w:rPr>
        <w:t xml:space="preserve">Հիմնականում դրամական փոխանցումների արագ վերականգմամբ պայմանավորված 2021թ. ընթացիկ հաշվի </w:t>
      </w:r>
      <w:r w:rsidRPr="00A83C94">
        <w:rPr>
          <w:b w:val="0"/>
          <w:lang w:val="hy-AM"/>
        </w:rPr>
        <w:lastRenderedPageBreak/>
        <w:t>պակասուրդը կբարելավվի, իսկ 2022թ</w:t>
      </w:r>
      <w:r w:rsidRPr="00A83C94">
        <w:rPr>
          <w:rFonts w:ascii="Times New Roman" w:hAnsi="Times New Roman"/>
          <w:b w:val="0"/>
          <w:lang w:val="hy-AM"/>
        </w:rPr>
        <w:t>․</w:t>
      </w:r>
      <w:r w:rsidRPr="00A83C94">
        <w:rPr>
          <w:b w:val="0"/>
          <w:lang w:val="hy-AM"/>
        </w:rPr>
        <w:t xml:space="preserve"> առևտրային հաշվեկշռի վատթարացմամբ պայմանավորված՝ </w:t>
      </w:r>
      <w:r w:rsidRPr="00A83C94">
        <w:rPr>
          <w:rFonts w:cs="Times Armenian"/>
          <w:b w:val="0"/>
          <w:bCs/>
          <w:szCs w:val="22"/>
          <w:lang w:val="hy-AM" w:eastAsia="en-US"/>
        </w:rPr>
        <w:t>փոքր-ինչ կխորանա</w:t>
      </w:r>
      <w:r w:rsidRPr="00A83C94">
        <w:rPr>
          <w:b w:val="0"/>
          <w:lang w:val="hy-AM"/>
        </w:rPr>
        <w:t xml:space="preserve">: </w:t>
      </w:r>
    </w:p>
    <w:p w14:paraId="053CFD53" w14:textId="77777777" w:rsidR="00027FBF" w:rsidRPr="00A83C94" w:rsidRDefault="00027FBF" w:rsidP="00027FBF">
      <w:pPr>
        <w:numPr>
          <w:ilvl w:val="0"/>
          <w:numId w:val="28"/>
        </w:numPr>
        <w:tabs>
          <w:tab w:val="right" w:pos="0"/>
        </w:tabs>
        <w:spacing w:before="40" w:after="120" w:line="276" w:lineRule="auto"/>
        <w:contextualSpacing w:val="0"/>
        <w:rPr>
          <w:rFonts w:cs="Times Armenian"/>
          <w:b w:val="0"/>
          <w:bCs/>
          <w:szCs w:val="22"/>
          <w:lang w:val="hy-AM" w:eastAsia="en-US"/>
        </w:rPr>
      </w:pPr>
      <w:r w:rsidRPr="00A83C94">
        <w:rPr>
          <w:b w:val="0"/>
          <w:lang w:val="hy-AM"/>
        </w:rPr>
        <w:t>2021թ. ՀՀ Կառավարությունը իրականացրել է սահուն հարկաբյուջետային կոնսոլիդացիա՝ նպատակ ունենալով չխաթարել տնտեսության վերականգնումը և ապահովել պարտքի բեռի աճի տեմպի դանդաղում, իսկ 2022թ.՝ հարկաբյուջետային քաղաքականությունն ուղղված կլինի տնտեսական աճի խթանմանը՝ շեշտադրվելով պետական ներդրումների մասնաբաժնի էական մեծացումը և ծախսերի իրականացման արդյունավետության բարձրացումը, ինչպես նաև՝ պարտքի կայունություն պահպանմանը:</w:t>
      </w:r>
      <w:r w:rsidRPr="00A83C94">
        <w:rPr>
          <w:rFonts w:cs="Times Armenian"/>
          <w:b w:val="0"/>
          <w:bCs/>
          <w:szCs w:val="22"/>
          <w:lang w:val="hy-AM" w:eastAsia="en-US"/>
        </w:rPr>
        <w:t xml:space="preserve"> </w:t>
      </w:r>
    </w:p>
    <w:p w14:paraId="0FCF10FA" w14:textId="77777777" w:rsidR="00027FBF" w:rsidRPr="00A83C94" w:rsidRDefault="00027FBF" w:rsidP="00027FBF">
      <w:pPr>
        <w:numPr>
          <w:ilvl w:val="0"/>
          <w:numId w:val="28"/>
        </w:numPr>
        <w:tabs>
          <w:tab w:val="right" w:pos="0"/>
        </w:tabs>
        <w:spacing w:before="40" w:after="120" w:line="276" w:lineRule="auto"/>
        <w:contextualSpacing w:val="0"/>
        <w:rPr>
          <w:rFonts w:cs="Times Armenian"/>
          <w:b w:val="0"/>
          <w:bCs/>
          <w:szCs w:val="22"/>
          <w:lang w:val="hy-AM" w:eastAsia="en-US"/>
        </w:rPr>
      </w:pPr>
      <w:r w:rsidRPr="00A83C94">
        <w:rPr>
          <w:rFonts w:cs="Times Armenian"/>
          <w:b w:val="0"/>
          <w:bCs/>
          <w:szCs w:val="22"/>
          <w:lang w:val="hy-AM"/>
        </w:rPr>
        <w:t>Կարճաժամկետ հատվածում ՀՀ կենտրոնական բանկը կշարունակի իրականացնել գնաճային սպասումների արագացման ռիսկերի չեզոքացմանն ուղղված դրամավարկային քաղաքականություն՝ միևնույն ժամանակ ապահովելով հնարավորին նպաստավոր պայմաններ ամբողջական պահանջարկի վերականգնման համար, իսկ 2022թ. գնաճի նպատակային ցուցանիշին հասնելու նպատակով՝ ցանկացած ռիսկերի դրսևորման պարագայում պատրաստ է համապատասխանորեն արձագանքել։</w:t>
      </w:r>
    </w:p>
    <w:p w14:paraId="15CB06AA" w14:textId="77777777" w:rsidR="00027FBF" w:rsidRPr="00A83C94" w:rsidRDefault="00027FBF" w:rsidP="00027FBF">
      <w:pPr>
        <w:numPr>
          <w:ilvl w:val="0"/>
          <w:numId w:val="28"/>
        </w:numPr>
        <w:tabs>
          <w:tab w:val="right" w:pos="0"/>
        </w:tabs>
        <w:spacing w:before="40" w:after="120" w:line="276" w:lineRule="auto"/>
        <w:contextualSpacing w:val="0"/>
        <w:rPr>
          <w:rFonts w:cs="Times Armenian"/>
          <w:b w:val="0"/>
          <w:bCs/>
          <w:szCs w:val="22"/>
          <w:lang w:val="hy-AM" w:eastAsia="en-US"/>
        </w:rPr>
      </w:pPr>
      <w:r w:rsidRPr="00A83C94">
        <w:rPr>
          <w:rFonts w:cs="Times Armenian"/>
          <w:b w:val="0"/>
          <w:bCs/>
          <w:szCs w:val="22"/>
          <w:lang w:val="hy-AM" w:eastAsia="en-US"/>
        </w:rPr>
        <w:t>Հաշվի առնելով արտաքին տնտեսական միջավայրի՝ համավարակի հետագա զարգացումներով պայմանավորված որոշակի անորոշությունները,  պետական կապիտալ ներդրումների իրականացման և տնտեսության կլանման հնարավորությունների սահմանափակումները, ինչպես նաև ՀՀ կառավարության գործարար միջավայրի բարելավմանն ու արտահանման խթանմանն ուղղված քաղաքականությունների ազդեցությունների սպասվածից ավելի ուշ և/կամ ավելի թույլ դրսևորումները՝ 2022թ</w:t>
      </w:r>
      <w:r w:rsidRPr="00A83C94">
        <w:rPr>
          <w:rFonts w:ascii="Cambria Math" w:hAnsi="Cambria Math" w:cs="Cambria Math"/>
          <w:b w:val="0"/>
          <w:bCs/>
          <w:szCs w:val="22"/>
          <w:lang w:val="hy-AM" w:eastAsia="en-US"/>
        </w:rPr>
        <w:t>․</w:t>
      </w:r>
      <w:r w:rsidRPr="00A83C94">
        <w:rPr>
          <w:rFonts w:cs="Times Armenian"/>
          <w:b w:val="0"/>
          <w:bCs/>
          <w:szCs w:val="22"/>
          <w:lang w:val="hy-AM" w:eastAsia="en-US"/>
        </w:rPr>
        <w:t xml:space="preserve"> </w:t>
      </w:r>
      <w:r w:rsidRPr="00A83C94">
        <w:rPr>
          <w:rFonts w:cs="GHEA Grapalat"/>
          <w:b w:val="0"/>
          <w:bCs/>
          <w:szCs w:val="22"/>
          <w:lang w:val="hy-AM" w:eastAsia="en-US"/>
        </w:rPr>
        <w:t>ՀՀ</w:t>
      </w:r>
      <w:r w:rsidRPr="00A83C94">
        <w:rPr>
          <w:rFonts w:cs="Times Armenian"/>
          <w:b w:val="0"/>
          <w:bCs/>
          <w:szCs w:val="22"/>
          <w:lang w:val="hy-AM" w:eastAsia="en-US"/>
        </w:rPr>
        <w:t xml:space="preserve"> </w:t>
      </w:r>
      <w:r w:rsidRPr="00A83C94">
        <w:rPr>
          <w:rFonts w:cs="GHEA Grapalat"/>
          <w:b w:val="0"/>
          <w:bCs/>
          <w:szCs w:val="22"/>
          <w:lang w:val="hy-AM" w:eastAsia="en-US"/>
        </w:rPr>
        <w:t>տնտեսական</w:t>
      </w:r>
      <w:r w:rsidRPr="00A83C94">
        <w:rPr>
          <w:rFonts w:cs="Times Armenian"/>
          <w:b w:val="0"/>
          <w:bCs/>
          <w:szCs w:val="22"/>
          <w:lang w:val="hy-AM" w:eastAsia="en-US"/>
        </w:rPr>
        <w:t xml:space="preserve"> </w:t>
      </w:r>
      <w:r w:rsidRPr="00A83C94">
        <w:rPr>
          <w:rFonts w:cs="GHEA Grapalat"/>
          <w:b w:val="0"/>
          <w:bCs/>
          <w:szCs w:val="22"/>
          <w:lang w:val="hy-AM" w:eastAsia="en-US"/>
        </w:rPr>
        <w:t>աճի</w:t>
      </w:r>
      <w:r w:rsidRPr="00A83C94">
        <w:rPr>
          <w:rFonts w:cs="Times Armenian"/>
          <w:b w:val="0"/>
          <w:bCs/>
          <w:szCs w:val="22"/>
          <w:lang w:val="hy-AM" w:eastAsia="en-US"/>
        </w:rPr>
        <w:t xml:space="preserve"> </w:t>
      </w:r>
      <w:r w:rsidRPr="00A83C94">
        <w:rPr>
          <w:rFonts w:cs="GHEA Grapalat"/>
          <w:b w:val="0"/>
          <w:bCs/>
          <w:szCs w:val="22"/>
          <w:lang w:val="hy-AM" w:eastAsia="en-US"/>
        </w:rPr>
        <w:t>կանխատեսումների</w:t>
      </w:r>
      <w:r w:rsidRPr="00A83C94">
        <w:rPr>
          <w:rFonts w:cs="Times Armenian"/>
          <w:b w:val="0"/>
          <w:bCs/>
          <w:szCs w:val="22"/>
          <w:lang w:val="hy-AM" w:eastAsia="en-US"/>
        </w:rPr>
        <w:t xml:space="preserve"> </w:t>
      </w:r>
      <w:r w:rsidRPr="00A83C94">
        <w:rPr>
          <w:rFonts w:cs="GHEA Grapalat"/>
          <w:b w:val="0"/>
          <w:bCs/>
          <w:szCs w:val="22"/>
          <w:lang w:val="hy-AM" w:eastAsia="en-US"/>
        </w:rPr>
        <w:t>ռիսկեր</w:t>
      </w:r>
      <w:r w:rsidRPr="00A83C94">
        <w:rPr>
          <w:rFonts w:cs="Times Armenian"/>
          <w:b w:val="0"/>
          <w:bCs/>
          <w:szCs w:val="22"/>
          <w:lang w:val="hy-AM" w:eastAsia="en-US"/>
        </w:rPr>
        <w:t>ը գնահատվում են դեպի ներքև։</w:t>
      </w:r>
    </w:p>
    <w:p w14:paraId="28CB51F2" w14:textId="77777777" w:rsidR="00027FBF" w:rsidRPr="00A83C94" w:rsidRDefault="00027FBF" w:rsidP="00027FBF">
      <w:pPr>
        <w:tabs>
          <w:tab w:val="right" w:pos="0"/>
        </w:tabs>
        <w:spacing w:before="0" w:line="276" w:lineRule="auto"/>
        <w:ind w:firstLine="284"/>
        <w:rPr>
          <w:rFonts w:cs="Times Armenian"/>
          <w:bCs/>
          <w:szCs w:val="22"/>
          <w:lang w:val="hy-AM"/>
        </w:rPr>
      </w:pPr>
      <w:r w:rsidRPr="00A83C94">
        <w:rPr>
          <w:rFonts w:eastAsia="Calibri" w:cs="Sylfaen"/>
          <w:bCs/>
          <w:i/>
          <w:iCs/>
          <w:color w:val="000000"/>
          <w:szCs w:val="22"/>
          <w:lang w:val="hy-AM"/>
        </w:rPr>
        <w:t>Աղյուսակ</w:t>
      </w:r>
      <w:r w:rsidRPr="00A83C94">
        <w:rPr>
          <w:rFonts w:eastAsia="Calibri"/>
          <w:bCs/>
          <w:i/>
          <w:iCs/>
          <w:color w:val="000000"/>
          <w:szCs w:val="22"/>
          <w:lang w:val="hy-AM"/>
        </w:rPr>
        <w:t xml:space="preserve"> 1.1. </w:t>
      </w:r>
      <w:r w:rsidRPr="00A83C94">
        <w:rPr>
          <w:rFonts w:eastAsia="Calibri"/>
          <w:b w:val="0"/>
          <w:i/>
          <w:iCs/>
          <w:color w:val="000000"/>
          <w:szCs w:val="22"/>
          <w:lang w:val="hy-AM"/>
        </w:rPr>
        <w:t>2022թ. պետական բյուջեի մակրոտնտեսական շրջանակ</w:t>
      </w:r>
    </w:p>
    <w:tbl>
      <w:tblPr>
        <w:tblStyle w:val="GridTable1Light-Accent51112"/>
        <w:tblpPr w:leftFromText="180" w:rightFromText="180" w:vertAnchor="text" w:horzAnchor="margin" w:tblpXSpec="right" w:tblpY="107"/>
        <w:tblW w:w="9488" w:type="dxa"/>
        <w:tblBorders>
          <w:top w:val="single" w:sz="12" w:space="0" w:color="4472C4"/>
          <w:left w:val="single" w:sz="12" w:space="0" w:color="4472C4"/>
          <w:bottom w:val="single" w:sz="12" w:space="0" w:color="4472C4"/>
          <w:right w:val="single" w:sz="12" w:space="0" w:color="4472C4"/>
          <w:insideH w:val="single" w:sz="6" w:space="0" w:color="4472C4"/>
          <w:insideV w:val="single" w:sz="6" w:space="0" w:color="4472C4"/>
        </w:tblBorders>
        <w:tblLayout w:type="fixed"/>
        <w:tblLook w:val="0000" w:firstRow="0" w:lastRow="0" w:firstColumn="0" w:lastColumn="0" w:noHBand="0" w:noVBand="0"/>
      </w:tblPr>
      <w:tblGrid>
        <w:gridCol w:w="3510"/>
        <w:gridCol w:w="1276"/>
        <w:gridCol w:w="1134"/>
        <w:gridCol w:w="1153"/>
        <w:gridCol w:w="1134"/>
        <w:gridCol w:w="1281"/>
      </w:tblGrid>
      <w:tr w:rsidR="00027FBF" w:rsidRPr="00A83C94" w14:paraId="4074D4C1" w14:textId="77777777" w:rsidTr="00027FBF">
        <w:trPr>
          <w:trHeight w:val="258"/>
          <w:tblHeader/>
        </w:trPr>
        <w:tc>
          <w:tcPr>
            <w:tcW w:w="3510" w:type="dxa"/>
            <w:vMerge w:val="restart"/>
            <w:noWrap/>
          </w:tcPr>
          <w:p w14:paraId="1B136E82" w14:textId="77777777" w:rsidR="00027FBF" w:rsidRPr="00A83C94" w:rsidRDefault="00027FBF" w:rsidP="00027FBF">
            <w:pPr>
              <w:spacing w:before="0" w:line="276" w:lineRule="auto"/>
              <w:rPr>
                <w:rFonts w:cs="Sylfaen"/>
                <w:b w:val="0"/>
                <w:i/>
                <w:iCs/>
                <w:sz w:val="20"/>
                <w:szCs w:val="20"/>
              </w:rPr>
            </w:pPr>
            <w:r w:rsidRPr="00A83C94">
              <w:rPr>
                <w:rFonts w:cs="Sylfaen"/>
                <w:b w:val="0"/>
                <w:i/>
                <w:iCs/>
                <w:sz w:val="20"/>
                <w:szCs w:val="20"/>
              </w:rPr>
              <w:t>Հիմնական մակրոտնտեսական ցուցանիշներ</w:t>
            </w:r>
          </w:p>
        </w:tc>
        <w:tc>
          <w:tcPr>
            <w:tcW w:w="1276" w:type="dxa"/>
          </w:tcPr>
          <w:p w14:paraId="5383308A" w14:textId="77777777" w:rsidR="00027FBF" w:rsidRPr="00A83C94" w:rsidRDefault="00027FBF" w:rsidP="00027FBF">
            <w:pPr>
              <w:spacing w:before="0" w:line="276" w:lineRule="auto"/>
              <w:ind w:firstLine="0"/>
              <w:jc w:val="center"/>
              <w:rPr>
                <w:rFonts w:cs="Arial"/>
                <w:bCs/>
                <w:sz w:val="20"/>
                <w:szCs w:val="20"/>
              </w:rPr>
            </w:pPr>
            <w:r w:rsidRPr="00A83C94">
              <w:rPr>
                <w:rFonts w:cs="Arial"/>
                <w:bCs/>
                <w:sz w:val="20"/>
                <w:szCs w:val="20"/>
              </w:rPr>
              <w:t>2018</w:t>
            </w:r>
          </w:p>
        </w:tc>
        <w:tc>
          <w:tcPr>
            <w:tcW w:w="1134" w:type="dxa"/>
          </w:tcPr>
          <w:p w14:paraId="6AEA0AA0" w14:textId="77777777" w:rsidR="00027FBF" w:rsidRPr="00A83C94" w:rsidRDefault="00027FBF" w:rsidP="00027FBF">
            <w:pPr>
              <w:spacing w:before="0" w:line="276" w:lineRule="auto"/>
              <w:ind w:firstLine="0"/>
              <w:jc w:val="center"/>
              <w:rPr>
                <w:rFonts w:cs="Arial"/>
                <w:bCs/>
                <w:sz w:val="20"/>
                <w:szCs w:val="20"/>
              </w:rPr>
            </w:pPr>
            <w:r w:rsidRPr="00A83C94">
              <w:rPr>
                <w:rFonts w:cs="Arial"/>
                <w:bCs/>
                <w:sz w:val="20"/>
                <w:szCs w:val="20"/>
              </w:rPr>
              <w:t>2019</w:t>
            </w:r>
          </w:p>
        </w:tc>
        <w:tc>
          <w:tcPr>
            <w:tcW w:w="1153" w:type="dxa"/>
          </w:tcPr>
          <w:p w14:paraId="2FA69CEE" w14:textId="77777777" w:rsidR="00027FBF" w:rsidRPr="00A83C94" w:rsidRDefault="00027FBF" w:rsidP="00027FBF">
            <w:pPr>
              <w:spacing w:before="0" w:line="276" w:lineRule="auto"/>
              <w:ind w:firstLine="0"/>
              <w:jc w:val="center"/>
              <w:rPr>
                <w:rFonts w:cs="Arial"/>
                <w:bCs/>
                <w:sz w:val="20"/>
                <w:szCs w:val="20"/>
              </w:rPr>
            </w:pPr>
            <w:r w:rsidRPr="00A83C94">
              <w:rPr>
                <w:rFonts w:cs="Arial"/>
                <w:bCs/>
                <w:sz w:val="20"/>
                <w:szCs w:val="20"/>
              </w:rPr>
              <w:t>2020</w:t>
            </w:r>
          </w:p>
        </w:tc>
        <w:tc>
          <w:tcPr>
            <w:tcW w:w="1134" w:type="dxa"/>
            <w:shd w:val="clear" w:color="auto" w:fill="D9E2F3"/>
          </w:tcPr>
          <w:p w14:paraId="25DF133B" w14:textId="77777777" w:rsidR="00027FBF" w:rsidRPr="00A83C94" w:rsidRDefault="00027FBF" w:rsidP="00027FBF">
            <w:pPr>
              <w:spacing w:before="0" w:line="276" w:lineRule="auto"/>
              <w:ind w:firstLine="0"/>
              <w:jc w:val="center"/>
              <w:rPr>
                <w:rFonts w:cs="Arial"/>
                <w:bCs/>
                <w:sz w:val="20"/>
                <w:szCs w:val="20"/>
              </w:rPr>
            </w:pPr>
            <w:r w:rsidRPr="00A83C94">
              <w:rPr>
                <w:rFonts w:cs="Arial"/>
                <w:bCs/>
                <w:sz w:val="20"/>
                <w:szCs w:val="20"/>
              </w:rPr>
              <w:t>2021</w:t>
            </w:r>
          </w:p>
        </w:tc>
        <w:tc>
          <w:tcPr>
            <w:tcW w:w="1281" w:type="dxa"/>
            <w:shd w:val="clear" w:color="auto" w:fill="D9E2F3"/>
          </w:tcPr>
          <w:p w14:paraId="79F17DD2" w14:textId="77777777" w:rsidR="00027FBF" w:rsidRPr="00A83C94" w:rsidRDefault="00027FBF" w:rsidP="00027FBF">
            <w:pPr>
              <w:spacing w:before="0" w:line="276" w:lineRule="auto"/>
              <w:ind w:firstLine="0"/>
              <w:jc w:val="center"/>
              <w:rPr>
                <w:rFonts w:cs="Arial"/>
                <w:bCs/>
                <w:sz w:val="20"/>
                <w:szCs w:val="20"/>
              </w:rPr>
            </w:pPr>
            <w:r w:rsidRPr="00A83C94">
              <w:rPr>
                <w:rFonts w:cs="Arial"/>
                <w:bCs/>
                <w:sz w:val="20"/>
                <w:szCs w:val="20"/>
              </w:rPr>
              <w:t>2022</w:t>
            </w:r>
          </w:p>
        </w:tc>
      </w:tr>
      <w:tr w:rsidR="00027FBF" w:rsidRPr="00A83C94" w14:paraId="44C879F8" w14:textId="77777777" w:rsidTr="00027FBF">
        <w:trPr>
          <w:trHeight w:val="272"/>
          <w:tblHeader/>
        </w:trPr>
        <w:tc>
          <w:tcPr>
            <w:tcW w:w="3510" w:type="dxa"/>
            <w:vMerge/>
            <w:noWrap/>
          </w:tcPr>
          <w:p w14:paraId="5D12C681" w14:textId="77777777" w:rsidR="00027FBF" w:rsidRPr="00A83C94" w:rsidRDefault="00027FBF" w:rsidP="00027FBF">
            <w:pPr>
              <w:spacing w:before="0" w:line="276" w:lineRule="auto"/>
              <w:rPr>
                <w:rFonts w:cs="Sylfaen"/>
                <w:b w:val="0"/>
                <w:sz w:val="20"/>
                <w:szCs w:val="20"/>
              </w:rPr>
            </w:pPr>
          </w:p>
        </w:tc>
        <w:tc>
          <w:tcPr>
            <w:tcW w:w="1276" w:type="dxa"/>
          </w:tcPr>
          <w:p w14:paraId="34562D43" w14:textId="77777777" w:rsidR="00027FBF" w:rsidRPr="00A83C94" w:rsidRDefault="00027FBF" w:rsidP="00027FBF">
            <w:pPr>
              <w:spacing w:before="0" w:line="276" w:lineRule="auto"/>
              <w:ind w:firstLine="0"/>
              <w:jc w:val="center"/>
              <w:rPr>
                <w:rFonts w:cs="Arial"/>
                <w:bCs/>
                <w:sz w:val="20"/>
                <w:szCs w:val="20"/>
              </w:rPr>
            </w:pPr>
            <w:r w:rsidRPr="00A83C94">
              <w:rPr>
                <w:rFonts w:cs="Sylfaen"/>
                <w:sz w:val="20"/>
                <w:szCs w:val="20"/>
              </w:rPr>
              <w:t>փաստ</w:t>
            </w:r>
          </w:p>
        </w:tc>
        <w:tc>
          <w:tcPr>
            <w:tcW w:w="1134" w:type="dxa"/>
          </w:tcPr>
          <w:p w14:paraId="69133A7B" w14:textId="77777777" w:rsidR="00027FBF" w:rsidRPr="00A83C94" w:rsidRDefault="00027FBF" w:rsidP="00027FBF">
            <w:pPr>
              <w:spacing w:before="0" w:line="276" w:lineRule="auto"/>
              <w:ind w:firstLine="0"/>
              <w:jc w:val="center"/>
              <w:rPr>
                <w:rFonts w:cs="Arial"/>
                <w:bCs/>
                <w:sz w:val="20"/>
                <w:szCs w:val="20"/>
              </w:rPr>
            </w:pPr>
            <w:r w:rsidRPr="00A83C94">
              <w:rPr>
                <w:rFonts w:cs="Sylfaen"/>
                <w:sz w:val="20"/>
                <w:szCs w:val="20"/>
              </w:rPr>
              <w:t>փաստ</w:t>
            </w:r>
          </w:p>
        </w:tc>
        <w:tc>
          <w:tcPr>
            <w:tcW w:w="1153" w:type="dxa"/>
          </w:tcPr>
          <w:p w14:paraId="21B7640A" w14:textId="77777777" w:rsidR="00027FBF" w:rsidRPr="00A83C94" w:rsidRDefault="00027FBF" w:rsidP="00027FBF">
            <w:pPr>
              <w:spacing w:before="0" w:line="276" w:lineRule="auto"/>
              <w:ind w:firstLine="0"/>
              <w:jc w:val="center"/>
              <w:rPr>
                <w:rFonts w:cs="Arial"/>
                <w:bCs/>
                <w:sz w:val="20"/>
                <w:szCs w:val="20"/>
              </w:rPr>
            </w:pPr>
            <w:r w:rsidRPr="00A83C94">
              <w:rPr>
                <w:rFonts w:cs="Sylfaen"/>
                <w:sz w:val="20"/>
                <w:szCs w:val="20"/>
              </w:rPr>
              <w:t>Փաստ</w:t>
            </w:r>
          </w:p>
        </w:tc>
        <w:tc>
          <w:tcPr>
            <w:tcW w:w="1134" w:type="dxa"/>
            <w:shd w:val="clear" w:color="auto" w:fill="D9E2F3"/>
          </w:tcPr>
          <w:p w14:paraId="1385A7EE" w14:textId="77777777" w:rsidR="00027FBF" w:rsidRPr="00A83C94" w:rsidRDefault="00027FBF" w:rsidP="00027FBF">
            <w:pPr>
              <w:spacing w:before="0" w:line="276" w:lineRule="auto"/>
              <w:ind w:firstLine="0"/>
              <w:jc w:val="center"/>
              <w:rPr>
                <w:rFonts w:cs="Arial"/>
                <w:bCs/>
                <w:sz w:val="20"/>
                <w:szCs w:val="20"/>
              </w:rPr>
            </w:pPr>
            <w:r w:rsidRPr="00A83C94">
              <w:rPr>
                <w:rFonts w:cs="Sylfaen"/>
                <w:sz w:val="20"/>
                <w:szCs w:val="20"/>
              </w:rPr>
              <w:t>սպասում</w:t>
            </w:r>
          </w:p>
        </w:tc>
        <w:tc>
          <w:tcPr>
            <w:tcW w:w="1281" w:type="dxa"/>
            <w:shd w:val="clear" w:color="auto" w:fill="D9E2F3"/>
          </w:tcPr>
          <w:p w14:paraId="09881634" w14:textId="77777777" w:rsidR="00027FBF" w:rsidRPr="00A83C94" w:rsidRDefault="00027FBF" w:rsidP="00027FBF">
            <w:pPr>
              <w:spacing w:before="0" w:line="276" w:lineRule="auto"/>
              <w:ind w:firstLine="0"/>
              <w:jc w:val="center"/>
              <w:rPr>
                <w:rFonts w:cs="Arial"/>
                <w:bCs/>
                <w:sz w:val="20"/>
                <w:szCs w:val="20"/>
              </w:rPr>
            </w:pPr>
            <w:r w:rsidRPr="00A83C94">
              <w:rPr>
                <w:sz w:val="20"/>
                <w:szCs w:val="20"/>
              </w:rPr>
              <w:t>ծրագիր</w:t>
            </w:r>
          </w:p>
        </w:tc>
      </w:tr>
      <w:tr w:rsidR="00027FBF" w:rsidRPr="00A83C94" w14:paraId="37CDC594" w14:textId="77777777" w:rsidTr="00027FBF">
        <w:trPr>
          <w:trHeight w:val="258"/>
        </w:trPr>
        <w:tc>
          <w:tcPr>
            <w:tcW w:w="3510" w:type="dxa"/>
            <w:noWrap/>
          </w:tcPr>
          <w:p w14:paraId="59FBF7F5" w14:textId="77777777" w:rsidR="00027FBF" w:rsidRPr="00A83C94" w:rsidRDefault="00027FBF" w:rsidP="00027FBF">
            <w:pPr>
              <w:spacing w:before="0" w:line="276" w:lineRule="auto"/>
              <w:ind w:firstLine="0"/>
              <w:rPr>
                <w:rFonts w:cs="Sylfaen"/>
                <w:bCs/>
                <w:sz w:val="20"/>
                <w:szCs w:val="20"/>
              </w:rPr>
            </w:pPr>
            <w:r w:rsidRPr="00A83C94">
              <w:rPr>
                <w:rFonts w:cs="Sylfaen"/>
                <w:bCs/>
                <w:sz w:val="20"/>
                <w:szCs w:val="20"/>
              </w:rPr>
              <w:t>Անվանական ՀՆԱ, մլրդ դրամ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45C2E" w14:textId="77777777" w:rsidR="00027FBF" w:rsidRPr="00A83C94" w:rsidRDefault="00027FBF" w:rsidP="00027FBF">
            <w:pPr>
              <w:spacing w:before="0" w:line="276" w:lineRule="auto"/>
              <w:ind w:firstLine="0"/>
              <w:jc w:val="center"/>
              <w:rPr>
                <w:b w:val="0"/>
                <w:bCs/>
                <w:color w:val="000000"/>
                <w:sz w:val="20"/>
                <w:szCs w:val="20"/>
              </w:rPr>
            </w:pPr>
            <w:r w:rsidRPr="00A83C94">
              <w:rPr>
                <w:b w:val="0"/>
                <w:bCs/>
                <w:color w:val="000000"/>
                <w:sz w:val="20"/>
                <w:szCs w:val="20"/>
              </w:rPr>
              <w:t>6,017.0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F3112F2" w14:textId="77777777" w:rsidR="00027FBF" w:rsidRPr="00A83C94" w:rsidRDefault="00027FBF" w:rsidP="00027FBF">
            <w:pPr>
              <w:spacing w:before="0" w:line="276" w:lineRule="auto"/>
              <w:ind w:firstLine="0"/>
              <w:jc w:val="center"/>
              <w:rPr>
                <w:sz w:val="20"/>
                <w:szCs w:val="20"/>
              </w:rPr>
            </w:pPr>
            <w:r w:rsidRPr="00A83C94">
              <w:rPr>
                <w:b w:val="0"/>
                <w:bCs/>
                <w:color w:val="000000"/>
                <w:sz w:val="20"/>
                <w:szCs w:val="20"/>
              </w:rPr>
              <w:t>6,543.3</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28B0BDA2" w14:textId="77777777" w:rsidR="00027FBF" w:rsidRPr="00A83C94" w:rsidRDefault="00027FBF" w:rsidP="00027FBF">
            <w:pPr>
              <w:spacing w:before="0" w:line="276" w:lineRule="auto"/>
              <w:ind w:firstLine="0"/>
              <w:jc w:val="center"/>
              <w:rPr>
                <w:sz w:val="20"/>
                <w:szCs w:val="20"/>
              </w:rPr>
            </w:pPr>
            <w:r w:rsidRPr="00A83C94">
              <w:rPr>
                <w:b w:val="0"/>
                <w:bCs/>
                <w:color w:val="000000"/>
                <w:sz w:val="20"/>
                <w:szCs w:val="20"/>
              </w:rPr>
              <w:t>6,181.7</w:t>
            </w:r>
          </w:p>
        </w:tc>
        <w:tc>
          <w:tcPr>
            <w:tcW w:w="1134" w:type="dxa"/>
            <w:shd w:val="clear" w:color="auto" w:fill="D9E2F3"/>
          </w:tcPr>
          <w:p w14:paraId="1F67C306" w14:textId="77777777" w:rsidR="00027FBF" w:rsidRPr="00A83C94" w:rsidRDefault="00027FBF" w:rsidP="00027FBF">
            <w:pPr>
              <w:spacing w:before="0" w:line="276" w:lineRule="auto"/>
              <w:ind w:firstLine="0"/>
              <w:jc w:val="center"/>
              <w:rPr>
                <w:b w:val="0"/>
                <w:sz w:val="20"/>
                <w:szCs w:val="20"/>
              </w:rPr>
            </w:pPr>
            <w:r w:rsidRPr="00A83C94">
              <w:rPr>
                <w:b w:val="0"/>
                <w:sz w:val="20"/>
                <w:szCs w:val="20"/>
              </w:rPr>
              <w:t>7,031.2</w:t>
            </w:r>
          </w:p>
        </w:tc>
        <w:tc>
          <w:tcPr>
            <w:tcW w:w="1281" w:type="dxa"/>
            <w:shd w:val="clear" w:color="auto" w:fill="D9E2F3"/>
          </w:tcPr>
          <w:p w14:paraId="6AB1887B" w14:textId="77777777" w:rsidR="00027FBF" w:rsidRPr="00A83C94" w:rsidRDefault="00027FBF" w:rsidP="00027FBF">
            <w:pPr>
              <w:spacing w:before="0" w:line="276" w:lineRule="auto"/>
              <w:ind w:firstLine="0"/>
              <w:jc w:val="center"/>
              <w:rPr>
                <w:b w:val="0"/>
                <w:sz w:val="20"/>
                <w:szCs w:val="20"/>
              </w:rPr>
            </w:pPr>
            <w:r w:rsidRPr="00A83C94">
              <w:rPr>
                <w:b w:val="0"/>
                <w:sz w:val="20"/>
                <w:szCs w:val="20"/>
              </w:rPr>
              <w:t>7,869.4</w:t>
            </w:r>
          </w:p>
        </w:tc>
      </w:tr>
      <w:tr w:rsidR="00027FBF" w:rsidRPr="00A83C94" w14:paraId="11BF8088" w14:textId="77777777" w:rsidTr="00027FBF">
        <w:trPr>
          <w:trHeight w:val="258"/>
        </w:trPr>
        <w:tc>
          <w:tcPr>
            <w:tcW w:w="3510" w:type="dxa"/>
            <w:noWrap/>
          </w:tcPr>
          <w:p w14:paraId="6C219202"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Տնտեսական աճ,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B4F5C" w14:textId="77777777" w:rsidR="00027FBF" w:rsidRPr="00A83C94" w:rsidRDefault="00027FBF" w:rsidP="00027FBF">
            <w:pPr>
              <w:spacing w:before="0" w:line="276" w:lineRule="auto"/>
              <w:ind w:firstLine="0"/>
              <w:jc w:val="center"/>
              <w:rPr>
                <w:b w:val="0"/>
                <w:bCs/>
                <w:color w:val="000000"/>
                <w:sz w:val="20"/>
                <w:szCs w:val="20"/>
              </w:rPr>
            </w:pPr>
            <w:r w:rsidRPr="00A83C94">
              <w:rPr>
                <w:b w:val="0"/>
                <w:bCs/>
                <w:color w:val="000000"/>
                <w:sz w:val="20"/>
                <w:szCs w:val="20"/>
              </w:rPr>
              <w:t>5.2</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4506759"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7.6</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1B997C87" w14:textId="77777777" w:rsidR="00027FBF" w:rsidRPr="00A83C94" w:rsidRDefault="00027FBF" w:rsidP="00027FBF">
            <w:pPr>
              <w:spacing w:before="0" w:line="276" w:lineRule="auto"/>
              <w:ind w:firstLine="0"/>
              <w:jc w:val="center"/>
              <w:rPr>
                <w:rFonts w:eastAsia="Times New Roman" w:cs="Times New Roman"/>
                <w:b w:val="0"/>
                <w:sz w:val="20"/>
                <w:szCs w:val="20"/>
                <w:lang w:val="en-US"/>
              </w:rPr>
            </w:pPr>
            <w:r w:rsidRPr="00A83C94">
              <w:rPr>
                <w:b w:val="0"/>
                <w:color w:val="000000"/>
                <w:sz w:val="20"/>
                <w:szCs w:val="20"/>
                <w:lang w:val="en-US"/>
              </w:rPr>
              <w:t>-7.4</w:t>
            </w:r>
          </w:p>
        </w:tc>
        <w:tc>
          <w:tcPr>
            <w:tcW w:w="1134" w:type="dxa"/>
            <w:shd w:val="clear" w:color="auto" w:fill="D9E2F3"/>
          </w:tcPr>
          <w:p w14:paraId="6A4B0D8C"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6.5</w:t>
            </w:r>
          </w:p>
        </w:tc>
        <w:tc>
          <w:tcPr>
            <w:tcW w:w="1281" w:type="dxa"/>
            <w:shd w:val="clear" w:color="auto" w:fill="D9E2F3"/>
          </w:tcPr>
          <w:p w14:paraId="5C53B123"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7.0</w:t>
            </w:r>
          </w:p>
        </w:tc>
      </w:tr>
      <w:tr w:rsidR="00027FBF" w:rsidRPr="00A83C94" w14:paraId="78A657BD" w14:textId="77777777" w:rsidTr="00027FBF">
        <w:trPr>
          <w:trHeight w:val="268"/>
        </w:trPr>
        <w:tc>
          <w:tcPr>
            <w:tcW w:w="3510" w:type="dxa"/>
            <w:noWrap/>
          </w:tcPr>
          <w:p w14:paraId="7AB29BB2"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ՀՆԱ դեֆլյատորի աճ,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C0802" w14:textId="77777777" w:rsidR="00027FBF" w:rsidRPr="00A83C94" w:rsidRDefault="00027FBF" w:rsidP="00027FBF">
            <w:pPr>
              <w:spacing w:before="0" w:line="276" w:lineRule="auto"/>
              <w:ind w:firstLine="0"/>
              <w:jc w:val="center"/>
              <w:rPr>
                <w:b w:val="0"/>
                <w:bCs/>
                <w:color w:val="000000"/>
                <w:sz w:val="20"/>
                <w:szCs w:val="20"/>
              </w:rPr>
            </w:pPr>
            <w:r w:rsidRPr="00A83C94">
              <w:rPr>
                <w:b w:val="0"/>
                <w:bCs/>
                <w:color w:val="000000"/>
                <w:sz w:val="20"/>
                <w:szCs w:val="20"/>
              </w:rPr>
              <w:t>2.8</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59BF072"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1.0</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3A641656"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2.0</w:t>
            </w:r>
          </w:p>
        </w:tc>
        <w:tc>
          <w:tcPr>
            <w:tcW w:w="1134" w:type="dxa"/>
            <w:shd w:val="clear" w:color="auto" w:fill="D9E2F3"/>
          </w:tcPr>
          <w:p w14:paraId="2CB9C1AD"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6.8</w:t>
            </w:r>
          </w:p>
        </w:tc>
        <w:tc>
          <w:tcPr>
            <w:tcW w:w="1281" w:type="dxa"/>
            <w:shd w:val="clear" w:color="auto" w:fill="D9E2F3"/>
          </w:tcPr>
          <w:p w14:paraId="6D47DAE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4.6</w:t>
            </w:r>
          </w:p>
        </w:tc>
      </w:tr>
      <w:tr w:rsidR="00027FBF" w:rsidRPr="00A83C94" w14:paraId="57D9DCB7" w14:textId="77777777" w:rsidTr="00027FBF">
        <w:trPr>
          <w:trHeight w:val="258"/>
        </w:trPr>
        <w:tc>
          <w:tcPr>
            <w:tcW w:w="3510" w:type="dxa"/>
            <w:noWrap/>
          </w:tcPr>
          <w:p w14:paraId="2080DCEE"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lang w:val="hy-AM"/>
              </w:rPr>
              <w:t>Գնաճ (ժամանակաշրջանի վերջ), %</w:t>
            </w:r>
          </w:p>
        </w:tc>
        <w:tc>
          <w:tcPr>
            <w:tcW w:w="1276" w:type="dxa"/>
            <w:vAlign w:val="center"/>
          </w:tcPr>
          <w:p w14:paraId="0AA86643" w14:textId="77777777" w:rsidR="00027FBF" w:rsidRPr="00A83C94" w:rsidRDefault="00027FBF" w:rsidP="00027FBF">
            <w:pPr>
              <w:spacing w:before="0" w:line="276" w:lineRule="auto"/>
              <w:ind w:firstLine="0"/>
              <w:jc w:val="center"/>
              <w:rPr>
                <w:b w:val="0"/>
                <w:bCs/>
                <w:color w:val="000000"/>
                <w:sz w:val="20"/>
                <w:szCs w:val="20"/>
              </w:rPr>
            </w:pPr>
            <w:r w:rsidRPr="00A83C94">
              <w:rPr>
                <w:b w:val="0"/>
                <w:bCs/>
                <w:color w:val="000000"/>
                <w:sz w:val="20"/>
                <w:szCs w:val="20"/>
              </w:rPr>
              <w:t>1.8</w:t>
            </w:r>
          </w:p>
        </w:tc>
        <w:tc>
          <w:tcPr>
            <w:tcW w:w="1134" w:type="dxa"/>
            <w:vAlign w:val="center"/>
          </w:tcPr>
          <w:p w14:paraId="7967DCF9" w14:textId="77777777" w:rsidR="00027FBF" w:rsidRPr="00A83C94" w:rsidRDefault="00027FBF" w:rsidP="00027FBF">
            <w:pPr>
              <w:spacing w:before="0" w:line="276" w:lineRule="auto"/>
              <w:ind w:firstLine="0"/>
              <w:jc w:val="center"/>
              <w:rPr>
                <w:b w:val="0"/>
                <w:sz w:val="20"/>
                <w:szCs w:val="20"/>
              </w:rPr>
            </w:pPr>
            <w:r w:rsidRPr="00A83C94">
              <w:rPr>
                <w:b w:val="0"/>
                <w:sz w:val="20"/>
                <w:szCs w:val="20"/>
                <w:lang w:val="hy-AM"/>
              </w:rPr>
              <w:t>0.7</w:t>
            </w:r>
          </w:p>
        </w:tc>
        <w:tc>
          <w:tcPr>
            <w:tcW w:w="1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524FC" w14:textId="77777777" w:rsidR="00027FBF" w:rsidRPr="00A83C94" w:rsidRDefault="00027FBF" w:rsidP="00027FBF">
            <w:pPr>
              <w:spacing w:before="0" w:line="276" w:lineRule="auto"/>
              <w:ind w:firstLine="0"/>
              <w:jc w:val="center"/>
              <w:rPr>
                <w:b w:val="0"/>
                <w:sz w:val="20"/>
                <w:szCs w:val="20"/>
              </w:rPr>
            </w:pPr>
            <w:r w:rsidRPr="00A83C94">
              <w:rPr>
                <w:b w:val="0"/>
                <w:sz w:val="20"/>
                <w:szCs w:val="20"/>
                <w:lang w:val="hy-AM"/>
              </w:rPr>
              <w:t>3.7</w:t>
            </w:r>
          </w:p>
        </w:tc>
        <w:tc>
          <w:tcPr>
            <w:tcW w:w="1134" w:type="dxa"/>
            <w:shd w:val="clear" w:color="auto" w:fill="D9E2F3"/>
          </w:tcPr>
          <w:p w14:paraId="14B89A03"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7.4</w:t>
            </w:r>
          </w:p>
        </w:tc>
        <w:tc>
          <w:tcPr>
            <w:tcW w:w="1281" w:type="dxa"/>
            <w:shd w:val="clear" w:color="auto" w:fill="D9E2F3"/>
          </w:tcPr>
          <w:p w14:paraId="08F91CFD"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5.2</w:t>
            </w:r>
          </w:p>
        </w:tc>
      </w:tr>
      <w:tr w:rsidR="00027FBF" w:rsidRPr="00A83C94" w14:paraId="7CD82617" w14:textId="77777777" w:rsidTr="00027FBF">
        <w:trPr>
          <w:trHeight w:val="265"/>
        </w:trPr>
        <w:tc>
          <w:tcPr>
            <w:tcW w:w="3510" w:type="dxa"/>
          </w:tcPr>
          <w:p w14:paraId="5BF54B45"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lang w:val="hy-AM"/>
              </w:rPr>
              <w:t>Գնաճ (միջին), %</w:t>
            </w:r>
          </w:p>
        </w:tc>
        <w:tc>
          <w:tcPr>
            <w:tcW w:w="1276" w:type="dxa"/>
            <w:vAlign w:val="center"/>
          </w:tcPr>
          <w:p w14:paraId="6C557A65" w14:textId="77777777" w:rsidR="00027FBF" w:rsidRPr="00A83C94" w:rsidRDefault="00027FBF" w:rsidP="00027FBF">
            <w:pPr>
              <w:spacing w:before="0" w:line="276" w:lineRule="auto"/>
              <w:ind w:firstLine="0"/>
              <w:jc w:val="center"/>
              <w:rPr>
                <w:b w:val="0"/>
                <w:bCs/>
                <w:color w:val="000000"/>
                <w:sz w:val="20"/>
                <w:szCs w:val="20"/>
              </w:rPr>
            </w:pPr>
            <w:r w:rsidRPr="00A83C94">
              <w:rPr>
                <w:b w:val="0"/>
                <w:bCs/>
                <w:color w:val="000000"/>
                <w:sz w:val="20"/>
                <w:szCs w:val="20"/>
              </w:rPr>
              <w:t>2.5</w:t>
            </w:r>
          </w:p>
        </w:tc>
        <w:tc>
          <w:tcPr>
            <w:tcW w:w="1134" w:type="dxa"/>
            <w:vAlign w:val="center"/>
          </w:tcPr>
          <w:p w14:paraId="264556D9" w14:textId="77777777" w:rsidR="00027FBF" w:rsidRPr="00A83C94" w:rsidRDefault="00027FBF" w:rsidP="00027FBF">
            <w:pPr>
              <w:spacing w:before="0" w:line="276" w:lineRule="auto"/>
              <w:ind w:firstLine="0"/>
              <w:jc w:val="center"/>
              <w:rPr>
                <w:b w:val="0"/>
                <w:sz w:val="20"/>
                <w:szCs w:val="20"/>
              </w:rPr>
            </w:pPr>
            <w:r w:rsidRPr="00A83C94">
              <w:rPr>
                <w:b w:val="0"/>
                <w:sz w:val="20"/>
                <w:szCs w:val="20"/>
                <w:lang w:val="hy-AM"/>
              </w:rPr>
              <w:t>1.4</w:t>
            </w:r>
          </w:p>
        </w:tc>
        <w:tc>
          <w:tcPr>
            <w:tcW w:w="1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19ADF" w14:textId="77777777" w:rsidR="00027FBF" w:rsidRPr="00A83C94" w:rsidRDefault="00027FBF" w:rsidP="00027FBF">
            <w:pPr>
              <w:spacing w:before="0" w:line="276" w:lineRule="auto"/>
              <w:ind w:firstLine="0"/>
              <w:jc w:val="center"/>
              <w:rPr>
                <w:b w:val="0"/>
                <w:sz w:val="20"/>
                <w:szCs w:val="20"/>
              </w:rPr>
            </w:pPr>
            <w:r w:rsidRPr="00A83C94">
              <w:rPr>
                <w:b w:val="0"/>
                <w:sz w:val="20"/>
                <w:szCs w:val="20"/>
                <w:lang w:val="hy-AM"/>
              </w:rPr>
              <w:t>1.2</w:t>
            </w:r>
          </w:p>
        </w:tc>
        <w:tc>
          <w:tcPr>
            <w:tcW w:w="1134" w:type="dxa"/>
            <w:shd w:val="clear" w:color="auto" w:fill="D9E2F3"/>
          </w:tcPr>
          <w:p w14:paraId="1D3F4743"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7.0</w:t>
            </w:r>
          </w:p>
        </w:tc>
        <w:tc>
          <w:tcPr>
            <w:tcW w:w="1281" w:type="dxa"/>
            <w:shd w:val="clear" w:color="auto" w:fill="D9E2F3"/>
          </w:tcPr>
          <w:p w14:paraId="1F9D9E8C"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5.6</w:t>
            </w:r>
          </w:p>
        </w:tc>
      </w:tr>
      <w:tr w:rsidR="00027FBF" w:rsidRPr="00A83C94" w14:paraId="53DA0A8F" w14:textId="77777777" w:rsidTr="00027FBF">
        <w:trPr>
          <w:trHeight w:val="258"/>
        </w:trPr>
        <w:tc>
          <w:tcPr>
            <w:tcW w:w="9488" w:type="dxa"/>
            <w:gridSpan w:val="6"/>
            <w:shd w:val="clear" w:color="auto" w:fill="auto"/>
            <w:noWrap/>
            <w:vAlign w:val="center"/>
          </w:tcPr>
          <w:p w14:paraId="0B3A3A44" w14:textId="77777777" w:rsidR="00027FBF" w:rsidRPr="00A83C94" w:rsidRDefault="00027FBF" w:rsidP="00027FBF">
            <w:pPr>
              <w:spacing w:before="0" w:line="276" w:lineRule="auto"/>
              <w:jc w:val="center"/>
              <w:rPr>
                <w:rFonts w:cs="Arial"/>
                <w:bCs/>
                <w:sz w:val="20"/>
                <w:szCs w:val="20"/>
              </w:rPr>
            </w:pPr>
            <w:r w:rsidRPr="00A83C94">
              <w:rPr>
                <w:rFonts w:cs="Sylfaen"/>
                <w:sz w:val="20"/>
                <w:szCs w:val="20"/>
                <w:u w:val="single"/>
              </w:rPr>
              <w:t>ՀՆԱ իրական աճն ըստ ճյուղերի ավելացված արժեքների, %</w:t>
            </w:r>
          </w:p>
        </w:tc>
      </w:tr>
      <w:tr w:rsidR="00027FBF" w:rsidRPr="00A83C94" w14:paraId="3A150394" w14:textId="77777777" w:rsidTr="00027FBF">
        <w:trPr>
          <w:trHeight w:val="258"/>
        </w:trPr>
        <w:tc>
          <w:tcPr>
            <w:tcW w:w="3510" w:type="dxa"/>
            <w:noWrap/>
          </w:tcPr>
          <w:p w14:paraId="6ED3F134"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Արդյունաբերություն</w:t>
            </w:r>
          </w:p>
        </w:tc>
        <w:tc>
          <w:tcPr>
            <w:tcW w:w="1276" w:type="dxa"/>
            <w:vAlign w:val="center"/>
          </w:tcPr>
          <w:p w14:paraId="53D94F40"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4.9</w:t>
            </w:r>
          </w:p>
        </w:tc>
        <w:tc>
          <w:tcPr>
            <w:tcW w:w="1134" w:type="dxa"/>
            <w:vAlign w:val="center"/>
          </w:tcPr>
          <w:p w14:paraId="52C231BA"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11.9</w:t>
            </w:r>
          </w:p>
        </w:tc>
        <w:tc>
          <w:tcPr>
            <w:tcW w:w="1153" w:type="dxa"/>
            <w:vAlign w:val="center"/>
          </w:tcPr>
          <w:p w14:paraId="7EFA807D"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-1.7</w:t>
            </w:r>
          </w:p>
        </w:tc>
        <w:tc>
          <w:tcPr>
            <w:tcW w:w="1134" w:type="dxa"/>
            <w:shd w:val="clear" w:color="auto" w:fill="D9E2F3"/>
          </w:tcPr>
          <w:p w14:paraId="6B20260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4.3</w:t>
            </w:r>
          </w:p>
        </w:tc>
        <w:tc>
          <w:tcPr>
            <w:tcW w:w="1281" w:type="dxa"/>
            <w:shd w:val="clear" w:color="auto" w:fill="D9E2F3"/>
          </w:tcPr>
          <w:p w14:paraId="4B5FED07"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8.0</w:t>
            </w:r>
          </w:p>
        </w:tc>
      </w:tr>
      <w:tr w:rsidR="00027FBF" w:rsidRPr="00A83C94" w14:paraId="66E63223" w14:textId="77777777" w:rsidTr="00027FBF">
        <w:trPr>
          <w:trHeight w:val="65"/>
        </w:trPr>
        <w:tc>
          <w:tcPr>
            <w:tcW w:w="3510" w:type="dxa"/>
          </w:tcPr>
          <w:p w14:paraId="53371D08"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 xml:space="preserve">Գյուղատնտեսություն </w:t>
            </w:r>
          </w:p>
        </w:tc>
        <w:tc>
          <w:tcPr>
            <w:tcW w:w="1276" w:type="dxa"/>
            <w:vAlign w:val="center"/>
          </w:tcPr>
          <w:p w14:paraId="046194B3"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-6.9</w:t>
            </w:r>
          </w:p>
        </w:tc>
        <w:tc>
          <w:tcPr>
            <w:tcW w:w="1134" w:type="dxa"/>
            <w:vAlign w:val="center"/>
          </w:tcPr>
          <w:p w14:paraId="2E9253DF"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-5.8</w:t>
            </w:r>
          </w:p>
        </w:tc>
        <w:tc>
          <w:tcPr>
            <w:tcW w:w="1153" w:type="dxa"/>
            <w:vAlign w:val="center"/>
          </w:tcPr>
          <w:p w14:paraId="3EA8585F"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-4.1</w:t>
            </w:r>
          </w:p>
        </w:tc>
        <w:tc>
          <w:tcPr>
            <w:tcW w:w="1134" w:type="dxa"/>
            <w:shd w:val="clear" w:color="auto" w:fill="D9E2F3"/>
          </w:tcPr>
          <w:p w14:paraId="5B52FD7E"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5.6</w:t>
            </w:r>
          </w:p>
        </w:tc>
        <w:tc>
          <w:tcPr>
            <w:tcW w:w="1281" w:type="dxa"/>
            <w:shd w:val="clear" w:color="auto" w:fill="D9E2F3"/>
          </w:tcPr>
          <w:p w14:paraId="19D3A17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3.9</w:t>
            </w:r>
          </w:p>
        </w:tc>
      </w:tr>
      <w:tr w:rsidR="00027FBF" w:rsidRPr="00A83C94" w14:paraId="7D610FA6" w14:textId="77777777" w:rsidTr="00027FBF">
        <w:trPr>
          <w:trHeight w:val="258"/>
        </w:trPr>
        <w:tc>
          <w:tcPr>
            <w:tcW w:w="3510" w:type="dxa"/>
            <w:noWrap/>
          </w:tcPr>
          <w:p w14:paraId="281E55BD"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 xml:space="preserve">Շինարարություն </w:t>
            </w:r>
          </w:p>
        </w:tc>
        <w:tc>
          <w:tcPr>
            <w:tcW w:w="1276" w:type="dxa"/>
            <w:vAlign w:val="center"/>
          </w:tcPr>
          <w:p w14:paraId="2ECBF227"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0.6</w:t>
            </w:r>
          </w:p>
        </w:tc>
        <w:tc>
          <w:tcPr>
            <w:tcW w:w="1134" w:type="dxa"/>
            <w:vAlign w:val="center"/>
          </w:tcPr>
          <w:p w14:paraId="61158860"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6.5</w:t>
            </w:r>
          </w:p>
        </w:tc>
        <w:tc>
          <w:tcPr>
            <w:tcW w:w="1153" w:type="dxa"/>
            <w:vAlign w:val="center"/>
          </w:tcPr>
          <w:p w14:paraId="121DAC49"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-6.7</w:t>
            </w:r>
          </w:p>
        </w:tc>
        <w:tc>
          <w:tcPr>
            <w:tcW w:w="1134" w:type="dxa"/>
            <w:shd w:val="clear" w:color="auto" w:fill="D9E2F3"/>
          </w:tcPr>
          <w:p w14:paraId="1767251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1.5</w:t>
            </w:r>
          </w:p>
        </w:tc>
        <w:tc>
          <w:tcPr>
            <w:tcW w:w="1281" w:type="dxa"/>
            <w:shd w:val="clear" w:color="auto" w:fill="D9E2F3"/>
          </w:tcPr>
          <w:p w14:paraId="6B06C283"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18.0</w:t>
            </w:r>
          </w:p>
        </w:tc>
      </w:tr>
      <w:tr w:rsidR="00027FBF" w:rsidRPr="00A83C94" w14:paraId="34D11978" w14:textId="77777777" w:rsidTr="00027FBF">
        <w:trPr>
          <w:trHeight w:val="258"/>
        </w:trPr>
        <w:tc>
          <w:tcPr>
            <w:tcW w:w="3510" w:type="dxa"/>
            <w:noWrap/>
          </w:tcPr>
          <w:p w14:paraId="0FA26172"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Ծառայություններ</w:t>
            </w:r>
          </w:p>
        </w:tc>
        <w:tc>
          <w:tcPr>
            <w:tcW w:w="1276" w:type="dxa"/>
            <w:vAlign w:val="center"/>
          </w:tcPr>
          <w:p w14:paraId="63811BEB"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9.1</w:t>
            </w:r>
          </w:p>
        </w:tc>
        <w:tc>
          <w:tcPr>
            <w:tcW w:w="1134" w:type="dxa"/>
            <w:vAlign w:val="center"/>
          </w:tcPr>
          <w:p w14:paraId="6B18E77A"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10.0</w:t>
            </w:r>
          </w:p>
        </w:tc>
        <w:tc>
          <w:tcPr>
            <w:tcW w:w="1153" w:type="dxa"/>
            <w:vAlign w:val="center"/>
          </w:tcPr>
          <w:p w14:paraId="35751CBF"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-9.7</w:t>
            </w:r>
          </w:p>
        </w:tc>
        <w:tc>
          <w:tcPr>
            <w:tcW w:w="1134" w:type="dxa"/>
            <w:shd w:val="clear" w:color="auto" w:fill="D9E2F3"/>
          </w:tcPr>
          <w:p w14:paraId="68DC94BD" w14:textId="77777777" w:rsidR="00027FBF" w:rsidRPr="00A83C94" w:rsidRDefault="00027FBF" w:rsidP="00027FBF">
            <w:pPr>
              <w:spacing w:before="0" w:line="276" w:lineRule="auto"/>
              <w:ind w:firstLine="0"/>
              <w:jc w:val="center"/>
              <w:rPr>
                <w:b w:val="0"/>
                <w:sz w:val="20"/>
                <w:szCs w:val="20"/>
              </w:rPr>
            </w:pPr>
            <w:r w:rsidRPr="00A83C94">
              <w:rPr>
                <w:b w:val="0"/>
                <w:sz w:val="20"/>
                <w:szCs w:val="20"/>
              </w:rPr>
              <w:t>8.1</w:t>
            </w:r>
          </w:p>
        </w:tc>
        <w:tc>
          <w:tcPr>
            <w:tcW w:w="1281" w:type="dxa"/>
            <w:shd w:val="clear" w:color="auto" w:fill="D9E2F3"/>
          </w:tcPr>
          <w:p w14:paraId="71431031" w14:textId="77777777" w:rsidR="00027FBF" w:rsidRPr="00A83C94" w:rsidRDefault="00027FBF" w:rsidP="00027FBF">
            <w:pPr>
              <w:spacing w:before="0" w:line="276" w:lineRule="auto"/>
              <w:ind w:firstLine="0"/>
              <w:jc w:val="center"/>
              <w:rPr>
                <w:b w:val="0"/>
                <w:sz w:val="20"/>
                <w:szCs w:val="20"/>
              </w:rPr>
            </w:pPr>
            <w:r w:rsidRPr="00A83C94">
              <w:rPr>
                <w:b w:val="0"/>
                <w:sz w:val="20"/>
                <w:szCs w:val="20"/>
              </w:rPr>
              <w:t>5.9</w:t>
            </w:r>
          </w:p>
        </w:tc>
      </w:tr>
      <w:tr w:rsidR="00027FBF" w:rsidRPr="00A83C94" w14:paraId="7D275981" w14:textId="77777777" w:rsidTr="00027FBF">
        <w:trPr>
          <w:trHeight w:val="258"/>
        </w:trPr>
        <w:tc>
          <w:tcPr>
            <w:tcW w:w="3510" w:type="dxa"/>
            <w:noWrap/>
          </w:tcPr>
          <w:p w14:paraId="54CAD933"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Զուտ հարկեր</w:t>
            </w:r>
          </w:p>
        </w:tc>
        <w:tc>
          <w:tcPr>
            <w:tcW w:w="1276" w:type="dxa"/>
            <w:vAlign w:val="center"/>
          </w:tcPr>
          <w:p w14:paraId="04FB53BF"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8.0</w:t>
            </w:r>
          </w:p>
        </w:tc>
        <w:tc>
          <w:tcPr>
            <w:tcW w:w="1134" w:type="dxa"/>
            <w:vAlign w:val="center"/>
          </w:tcPr>
          <w:p w14:paraId="38C86E2D"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7.1</w:t>
            </w:r>
          </w:p>
        </w:tc>
        <w:tc>
          <w:tcPr>
            <w:tcW w:w="1153" w:type="dxa"/>
            <w:vAlign w:val="center"/>
          </w:tcPr>
          <w:p w14:paraId="7C377921"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-10.0</w:t>
            </w:r>
          </w:p>
        </w:tc>
        <w:tc>
          <w:tcPr>
            <w:tcW w:w="1134" w:type="dxa"/>
            <w:shd w:val="clear" w:color="auto" w:fill="D9E2F3"/>
          </w:tcPr>
          <w:p w14:paraId="772EDD72" w14:textId="77777777" w:rsidR="00027FBF" w:rsidRPr="00A83C94" w:rsidRDefault="00027FBF" w:rsidP="00027FBF">
            <w:pPr>
              <w:spacing w:before="0" w:line="276" w:lineRule="auto"/>
              <w:ind w:firstLine="0"/>
              <w:jc w:val="center"/>
              <w:rPr>
                <w:b w:val="0"/>
                <w:sz w:val="20"/>
                <w:szCs w:val="20"/>
              </w:rPr>
            </w:pPr>
            <w:r w:rsidRPr="00A83C94">
              <w:rPr>
                <w:b w:val="0"/>
                <w:sz w:val="20"/>
                <w:szCs w:val="20"/>
              </w:rPr>
              <w:t>7.1</w:t>
            </w:r>
          </w:p>
        </w:tc>
        <w:tc>
          <w:tcPr>
            <w:tcW w:w="1281" w:type="dxa"/>
            <w:shd w:val="clear" w:color="auto" w:fill="D9E2F3"/>
          </w:tcPr>
          <w:p w14:paraId="5BF2655C" w14:textId="77777777" w:rsidR="00027FBF" w:rsidRPr="00A83C94" w:rsidRDefault="00027FBF" w:rsidP="00027FBF">
            <w:pPr>
              <w:spacing w:before="0" w:line="276" w:lineRule="auto"/>
              <w:ind w:firstLine="0"/>
              <w:jc w:val="center"/>
              <w:rPr>
                <w:b w:val="0"/>
                <w:sz w:val="20"/>
                <w:szCs w:val="20"/>
              </w:rPr>
            </w:pPr>
            <w:r w:rsidRPr="00A83C94">
              <w:rPr>
                <w:b w:val="0"/>
                <w:sz w:val="20"/>
                <w:szCs w:val="20"/>
              </w:rPr>
              <w:t>6.8</w:t>
            </w:r>
          </w:p>
        </w:tc>
      </w:tr>
      <w:tr w:rsidR="00027FBF" w:rsidRPr="00A83C94" w14:paraId="772920D3" w14:textId="77777777" w:rsidTr="00027FBF">
        <w:trPr>
          <w:trHeight w:val="258"/>
        </w:trPr>
        <w:tc>
          <w:tcPr>
            <w:tcW w:w="9488" w:type="dxa"/>
            <w:gridSpan w:val="6"/>
            <w:shd w:val="clear" w:color="auto" w:fill="auto"/>
            <w:noWrap/>
            <w:vAlign w:val="center"/>
          </w:tcPr>
          <w:p w14:paraId="69A196F5" w14:textId="77777777" w:rsidR="00027FBF" w:rsidRPr="00A83C94" w:rsidRDefault="00027FBF" w:rsidP="00027FBF">
            <w:pPr>
              <w:spacing w:before="0" w:line="276" w:lineRule="auto"/>
              <w:jc w:val="center"/>
              <w:rPr>
                <w:rFonts w:cs="Arial"/>
                <w:bCs/>
                <w:sz w:val="20"/>
                <w:szCs w:val="20"/>
              </w:rPr>
            </w:pPr>
            <w:r w:rsidRPr="00A83C94">
              <w:rPr>
                <w:rFonts w:cs="Sylfaen"/>
                <w:sz w:val="20"/>
                <w:szCs w:val="20"/>
                <w:u w:val="single"/>
              </w:rPr>
              <w:t>ՀՆԱ ծախսային բաղադրիչների իրական աճերը, %</w:t>
            </w:r>
          </w:p>
        </w:tc>
      </w:tr>
      <w:tr w:rsidR="00027FBF" w:rsidRPr="00A83C94" w14:paraId="460287DA" w14:textId="77777777" w:rsidTr="00027FBF">
        <w:trPr>
          <w:trHeight w:val="258"/>
        </w:trPr>
        <w:tc>
          <w:tcPr>
            <w:tcW w:w="3510" w:type="dxa"/>
          </w:tcPr>
          <w:p w14:paraId="7FDD2719"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Վերջնական սպառում</w:t>
            </w:r>
          </w:p>
        </w:tc>
        <w:tc>
          <w:tcPr>
            <w:tcW w:w="1276" w:type="dxa"/>
            <w:vAlign w:val="center"/>
          </w:tcPr>
          <w:p w14:paraId="6231F260"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3.8</w:t>
            </w:r>
          </w:p>
        </w:tc>
        <w:tc>
          <w:tcPr>
            <w:tcW w:w="1134" w:type="dxa"/>
            <w:vAlign w:val="center"/>
          </w:tcPr>
          <w:p w14:paraId="312C364D"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11.7</w:t>
            </w:r>
          </w:p>
        </w:tc>
        <w:tc>
          <w:tcPr>
            <w:tcW w:w="1153" w:type="dxa"/>
            <w:vAlign w:val="center"/>
          </w:tcPr>
          <w:p w14:paraId="082BF142"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-10.1</w:t>
            </w:r>
          </w:p>
        </w:tc>
        <w:tc>
          <w:tcPr>
            <w:tcW w:w="1134" w:type="dxa"/>
            <w:shd w:val="clear" w:color="auto" w:fill="D9E2F3"/>
          </w:tcPr>
          <w:p w14:paraId="18D316D1" w14:textId="77777777" w:rsidR="00027FBF" w:rsidRPr="00872014" w:rsidRDefault="00027FBF" w:rsidP="00027FBF">
            <w:pPr>
              <w:spacing w:before="0" w:line="276" w:lineRule="auto"/>
              <w:ind w:firstLine="0"/>
              <w:jc w:val="center"/>
              <w:rPr>
                <w:b w:val="0"/>
                <w:sz w:val="20"/>
                <w:szCs w:val="20"/>
              </w:rPr>
            </w:pPr>
            <w:r w:rsidRPr="00872014">
              <w:rPr>
                <w:b w:val="0"/>
                <w:sz w:val="20"/>
                <w:szCs w:val="20"/>
              </w:rPr>
              <w:t>7.7</w:t>
            </w:r>
          </w:p>
        </w:tc>
        <w:tc>
          <w:tcPr>
            <w:tcW w:w="1281" w:type="dxa"/>
            <w:shd w:val="clear" w:color="auto" w:fill="D9E2F3"/>
          </w:tcPr>
          <w:p w14:paraId="751F1F59" w14:textId="77777777" w:rsidR="00027FBF" w:rsidRPr="00872014" w:rsidRDefault="00027FBF" w:rsidP="00027FBF">
            <w:pPr>
              <w:spacing w:before="0" w:line="276" w:lineRule="auto"/>
              <w:ind w:firstLine="0"/>
              <w:jc w:val="center"/>
              <w:rPr>
                <w:b w:val="0"/>
                <w:sz w:val="20"/>
                <w:szCs w:val="20"/>
              </w:rPr>
            </w:pPr>
            <w:r w:rsidRPr="00872014">
              <w:rPr>
                <w:b w:val="0"/>
                <w:sz w:val="20"/>
                <w:szCs w:val="20"/>
              </w:rPr>
              <w:t>4.7</w:t>
            </w:r>
          </w:p>
        </w:tc>
      </w:tr>
      <w:tr w:rsidR="00027FBF" w:rsidRPr="00A83C94" w14:paraId="63A962F2" w14:textId="77777777" w:rsidTr="00027FBF">
        <w:trPr>
          <w:trHeight w:val="258"/>
        </w:trPr>
        <w:tc>
          <w:tcPr>
            <w:tcW w:w="3510" w:type="dxa"/>
          </w:tcPr>
          <w:p w14:paraId="6A228D09" w14:textId="77777777" w:rsidR="00027FBF" w:rsidRPr="00A83C94" w:rsidRDefault="00027FBF" w:rsidP="00027FBF">
            <w:pPr>
              <w:spacing w:before="0" w:line="276" w:lineRule="auto"/>
              <w:ind w:firstLine="0"/>
              <w:rPr>
                <w:rFonts w:cs="Sylfaen"/>
                <w:b w:val="0"/>
                <w:i/>
                <w:sz w:val="20"/>
                <w:szCs w:val="20"/>
              </w:rPr>
            </w:pPr>
            <w:r w:rsidRPr="00A83C94">
              <w:rPr>
                <w:rFonts w:cs="Sylfaen"/>
                <w:b w:val="0"/>
                <w:i/>
                <w:sz w:val="20"/>
                <w:szCs w:val="20"/>
              </w:rPr>
              <w:t>Պետական</w:t>
            </w:r>
          </w:p>
        </w:tc>
        <w:tc>
          <w:tcPr>
            <w:tcW w:w="1276" w:type="dxa"/>
            <w:vAlign w:val="center"/>
          </w:tcPr>
          <w:p w14:paraId="4A89801D"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-3.0</w:t>
            </w:r>
          </w:p>
        </w:tc>
        <w:tc>
          <w:tcPr>
            <w:tcW w:w="1134" w:type="dxa"/>
            <w:vAlign w:val="center"/>
          </w:tcPr>
          <w:p w14:paraId="1804BD51"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12.9</w:t>
            </w:r>
          </w:p>
        </w:tc>
        <w:tc>
          <w:tcPr>
            <w:tcW w:w="1153" w:type="dxa"/>
            <w:vAlign w:val="center"/>
          </w:tcPr>
          <w:p w14:paraId="08DF8BAB"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15.2</w:t>
            </w:r>
          </w:p>
        </w:tc>
        <w:tc>
          <w:tcPr>
            <w:tcW w:w="1134" w:type="dxa"/>
            <w:shd w:val="clear" w:color="auto" w:fill="D9E2F3"/>
          </w:tcPr>
          <w:p w14:paraId="02FDDE4A" w14:textId="77777777" w:rsidR="00027FBF" w:rsidRPr="00872014" w:rsidRDefault="00027FBF" w:rsidP="00027FBF">
            <w:pPr>
              <w:spacing w:before="0" w:line="276" w:lineRule="auto"/>
              <w:ind w:firstLine="0"/>
              <w:jc w:val="center"/>
              <w:rPr>
                <w:b w:val="0"/>
                <w:sz w:val="20"/>
                <w:szCs w:val="20"/>
              </w:rPr>
            </w:pPr>
            <w:r w:rsidRPr="00872014">
              <w:rPr>
                <w:b w:val="0"/>
                <w:sz w:val="20"/>
                <w:szCs w:val="20"/>
              </w:rPr>
              <w:t>-1.4</w:t>
            </w:r>
          </w:p>
        </w:tc>
        <w:tc>
          <w:tcPr>
            <w:tcW w:w="1281" w:type="dxa"/>
            <w:shd w:val="clear" w:color="auto" w:fill="D9E2F3"/>
          </w:tcPr>
          <w:p w14:paraId="60457514" w14:textId="77777777" w:rsidR="00027FBF" w:rsidRPr="008413F5" w:rsidRDefault="00027FBF" w:rsidP="00027FBF">
            <w:pPr>
              <w:spacing w:before="0" w:line="276" w:lineRule="auto"/>
              <w:ind w:firstLine="0"/>
              <w:jc w:val="center"/>
              <w:rPr>
                <w:b w:val="0"/>
                <w:sz w:val="20"/>
                <w:szCs w:val="20"/>
                <w:lang w:val="en-US"/>
              </w:rPr>
            </w:pPr>
            <w:r w:rsidRPr="00872014">
              <w:rPr>
                <w:b w:val="0"/>
                <w:sz w:val="20"/>
                <w:szCs w:val="20"/>
              </w:rPr>
              <w:t>-</w:t>
            </w:r>
            <w:r>
              <w:rPr>
                <w:b w:val="0"/>
                <w:sz w:val="20"/>
                <w:szCs w:val="20"/>
                <w:lang w:val="en-US"/>
              </w:rPr>
              <w:t>1</w:t>
            </w:r>
            <w:r w:rsidRPr="00872014">
              <w:rPr>
                <w:b w:val="0"/>
                <w:sz w:val="20"/>
                <w:szCs w:val="20"/>
              </w:rPr>
              <w:t>.</w:t>
            </w:r>
            <w:r>
              <w:rPr>
                <w:b w:val="0"/>
                <w:sz w:val="20"/>
                <w:szCs w:val="20"/>
                <w:lang w:val="en-US"/>
              </w:rPr>
              <w:t>9</w:t>
            </w:r>
          </w:p>
        </w:tc>
      </w:tr>
      <w:tr w:rsidR="00027FBF" w:rsidRPr="00A83C94" w14:paraId="6A839992" w14:textId="77777777" w:rsidTr="00027FBF">
        <w:trPr>
          <w:trHeight w:val="258"/>
        </w:trPr>
        <w:tc>
          <w:tcPr>
            <w:tcW w:w="3510" w:type="dxa"/>
          </w:tcPr>
          <w:p w14:paraId="7445D738" w14:textId="77777777" w:rsidR="00027FBF" w:rsidRPr="00A83C94" w:rsidRDefault="00027FBF" w:rsidP="00027FBF">
            <w:pPr>
              <w:spacing w:before="0" w:line="276" w:lineRule="auto"/>
              <w:ind w:firstLine="0"/>
              <w:rPr>
                <w:rFonts w:cs="Sylfaen"/>
                <w:b w:val="0"/>
                <w:i/>
                <w:sz w:val="20"/>
                <w:szCs w:val="20"/>
              </w:rPr>
            </w:pPr>
            <w:r w:rsidRPr="00A83C94">
              <w:rPr>
                <w:rFonts w:cs="Sylfaen"/>
                <w:b w:val="0"/>
                <w:i/>
                <w:sz w:val="20"/>
                <w:szCs w:val="20"/>
              </w:rPr>
              <w:t>Մասնավոր</w:t>
            </w:r>
          </w:p>
        </w:tc>
        <w:tc>
          <w:tcPr>
            <w:tcW w:w="1276" w:type="dxa"/>
            <w:vAlign w:val="center"/>
          </w:tcPr>
          <w:p w14:paraId="365E8278"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4.8</w:t>
            </w:r>
          </w:p>
        </w:tc>
        <w:tc>
          <w:tcPr>
            <w:tcW w:w="1134" w:type="dxa"/>
            <w:vAlign w:val="center"/>
          </w:tcPr>
          <w:p w14:paraId="62C00AA3"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11.5</w:t>
            </w:r>
          </w:p>
        </w:tc>
        <w:tc>
          <w:tcPr>
            <w:tcW w:w="1153" w:type="dxa"/>
            <w:vAlign w:val="center"/>
          </w:tcPr>
          <w:p w14:paraId="7C64EF45"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-13.9</w:t>
            </w:r>
          </w:p>
        </w:tc>
        <w:tc>
          <w:tcPr>
            <w:tcW w:w="1134" w:type="dxa"/>
            <w:shd w:val="clear" w:color="auto" w:fill="D9E2F3"/>
          </w:tcPr>
          <w:p w14:paraId="473C2506" w14:textId="77777777" w:rsidR="00027FBF" w:rsidRPr="00872014" w:rsidRDefault="00027FBF" w:rsidP="00027FBF">
            <w:pPr>
              <w:spacing w:before="0" w:line="276" w:lineRule="auto"/>
              <w:ind w:firstLine="0"/>
              <w:jc w:val="center"/>
              <w:rPr>
                <w:b w:val="0"/>
                <w:sz w:val="20"/>
                <w:szCs w:val="20"/>
              </w:rPr>
            </w:pPr>
            <w:r w:rsidRPr="00872014">
              <w:rPr>
                <w:b w:val="0"/>
                <w:sz w:val="20"/>
                <w:szCs w:val="20"/>
              </w:rPr>
              <w:t>9.6</w:t>
            </w:r>
          </w:p>
        </w:tc>
        <w:tc>
          <w:tcPr>
            <w:tcW w:w="1281" w:type="dxa"/>
            <w:shd w:val="clear" w:color="auto" w:fill="D9E2F3"/>
          </w:tcPr>
          <w:p w14:paraId="696533DD" w14:textId="77777777" w:rsidR="00027FBF" w:rsidRPr="00872014" w:rsidRDefault="00027FBF" w:rsidP="00027FBF">
            <w:pPr>
              <w:spacing w:before="0" w:after="200" w:line="276" w:lineRule="auto"/>
              <w:ind w:firstLine="0"/>
              <w:jc w:val="center"/>
              <w:rPr>
                <w:b w:val="0"/>
                <w:sz w:val="20"/>
                <w:szCs w:val="20"/>
              </w:rPr>
            </w:pPr>
            <w:r w:rsidRPr="00872014">
              <w:rPr>
                <w:b w:val="0"/>
                <w:sz w:val="20"/>
                <w:szCs w:val="20"/>
              </w:rPr>
              <w:t>6.0</w:t>
            </w:r>
          </w:p>
        </w:tc>
      </w:tr>
      <w:tr w:rsidR="00027FBF" w:rsidRPr="00A83C94" w14:paraId="5B91ECE3" w14:textId="77777777" w:rsidTr="00027FBF">
        <w:trPr>
          <w:trHeight w:val="258"/>
        </w:trPr>
        <w:tc>
          <w:tcPr>
            <w:tcW w:w="3510" w:type="dxa"/>
          </w:tcPr>
          <w:p w14:paraId="55A772A5" w14:textId="77777777" w:rsidR="00027FBF" w:rsidRPr="00A83C94" w:rsidRDefault="00027FBF" w:rsidP="00027FBF">
            <w:pPr>
              <w:spacing w:before="0" w:line="276" w:lineRule="auto"/>
              <w:ind w:firstLine="0"/>
              <w:jc w:val="left"/>
              <w:rPr>
                <w:rFonts w:cs="Sylfaen"/>
                <w:b w:val="0"/>
                <w:sz w:val="20"/>
                <w:szCs w:val="20"/>
              </w:rPr>
            </w:pPr>
            <w:r w:rsidRPr="00A83C94">
              <w:rPr>
                <w:rFonts w:cs="Sylfaen"/>
                <w:b w:val="0"/>
                <w:sz w:val="20"/>
                <w:szCs w:val="20"/>
              </w:rPr>
              <w:lastRenderedPageBreak/>
              <w:t>Հիմնական միջոցներում ներդրումներ</w:t>
            </w:r>
            <w:r w:rsidRPr="00A83C94">
              <w:rPr>
                <w:rFonts w:cs="Sylfaen"/>
                <w:b w:val="0"/>
                <w:sz w:val="20"/>
                <w:szCs w:val="20"/>
                <w:vertAlign w:val="superscript"/>
              </w:rPr>
              <w:footnoteReference w:id="1"/>
            </w:r>
          </w:p>
        </w:tc>
        <w:tc>
          <w:tcPr>
            <w:tcW w:w="1276" w:type="dxa"/>
            <w:vAlign w:val="center"/>
          </w:tcPr>
          <w:p w14:paraId="13E60068"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4.8</w:t>
            </w:r>
          </w:p>
        </w:tc>
        <w:tc>
          <w:tcPr>
            <w:tcW w:w="1134" w:type="dxa"/>
            <w:vAlign w:val="center"/>
          </w:tcPr>
          <w:p w14:paraId="79AA4ECC"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4.4</w:t>
            </w:r>
          </w:p>
        </w:tc>
        <w:tc>
          <w:tcPr>
            <w:tcW w:w="1153" w:type="dxa"/>
            <w:vAlign w:val="center"/>
          </w:tcPr>
          <w:p w14:paraId="159DF115"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-8.6</w:t>
            </w:r>
          </w:p>
        </w:tc>
        <w:tc>
          <w:tcPr>
            <w:tcW w:w="1134" w:type="dxa"/>
            <w:shd w:val="clear" w:color="auto" w:fill="D9E2F3"/>
            <w:vAlign w:val="center"/>
          </w:tcPr>
          <w:p w14:paraId="6736679A" w14:textId="77777777" w:rsidR="00027FBF" w:rsidRPr="00872014" w:rsidRDefault="00027FBF" w:rsidP="00027FBF">
            <w:pPr>
              <w:spacing w:before="0" w:line="276" w:lineRule="auto"/>
              <w:ind w:firstLine="0"/>
              <w:jc w:val="center"/>
              <w:rPr>
                <w:b w:val="0"/>
                <w:sz w:val="20"/>
                <w:szCs w:val="20"/>
              </w:rPr>
            </w:pPr>
            <w:r w:rsidRPr="00872014">
              <w:rPr>
                <w:b w:val="0"/>
                <w:sz w:val="20"/>
                <w:szCs w:val="20"/>
              </w:rPr>
              <w:t>3.6</w:t>
            </w:r>
          </w:p>
        </w:tc>
        <w:tc>
          <w:tcPr>
            <w:tcW w:w="1281" w:type="dxa"/>
            <w:shd w:val="clear" w:color="auto" w:fill="D9E2F3"/>
            <w:vAlign w:val="center"/>
          </w:tcPr>
          <w:p w14:paraId="2D3168E5" w14:textId="77777777" w:rsidR="00027FBF" w:rsidRPr="00872014" w:rsidRDefault="00027FBF" w:rsidP="00027FBF">
            <w:pPr>
              <w:spacing w:before="0" w:line="276" w:lineRule="auto"/>
              <w:ind w:firstLine="0"/>
              <w:jc w:val="center"/>
              <w:rPr>
                <w:b w:val="0"/>
                <w:sz w:val="20"/>
                <w:szCs w:val="20"/>
              </w:rPr>
            </w:pPr>
            <w:r w:rsidRPr="00872014">
              <w:rPr>
                <w:b w:val="0"/>
                <w:sz w:val="20"/>
                <w:szCs w:val="20"/>
              </w:rPr>
              <w:t>22.</w:t>
            </w:r>
            <w:r>
              <w:rPr>
                <w:b w:val="0"/>
                <w:sz w:val="20"/>
                <w:szCs w:val="20"/>
                <w:lang w:val="en-US"/>
              </w:rPr>
              <w:t>1</w:t>
            </w:r>
          </w:p>
        </w:tc>
      </w:tr>
      <w:tr w:rsidR="00027FBF" w:rsidRPr="00A83C94" w14:paraId="27E3315F" w14:textId="77777777" w:rsidTr="00027FBF">
        <w:trPr>
          <w:trHeight w:val="258"/>
        </w:trPr>
        <w:tc>
          <w:tcPr>
            <w:tcW w:w="3510" w:type="dxa"/>
          </w:tcPr>
          <w:p w14:paraId="08399630" w14:textId="77777777" w:rsidR="00027FBF" w:rsidRPr="00A83C94" w:rsidRDefault="00027FBF" w:rsidP="00027FBF">
            <w:pPr>
              <w:spacing w:before="0" w:line="276" w:lineRule="auto"/>
              <w:ind w:firstLine="0"/>
              <w:rPr>
                <w:rFonts w:cs="Sylfaen"/>
                <w:b w:val="0"/>
                <w:i/>
                <w:sz w:val="20"/>
                <w:szCs w:val="20"/>
              </w:rPr>
            </w:pPr>
            <w:r w:rsidRPr="00A83C94">
              <w:rPr>
                <w:rFonts w:cs="Sylfaen"/>
                <w:b w:val="0"/>
                <w:i/>
                <w:sz w:val="20"/>
                <w:szCs w:val="20"/>
              </w:rPr>
              <w:t>Պետական</w:t>
            </w:r>
          </w:p>
        </w:tc>
        <w:tc>
          <w:tcPr>
            <w:tcW w:w="1276" w:type="dxa"/>
            <w:vAlign w:val="center"/>
          </w:tcPr>
          <w:p w14:paraId="24435B1F"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3.4</w:t>
            </w:r>
          </w:p>
        </w:tc>
        <w:tc>
          <w:tcPr>
            <w:tcW w:w="1134" w:type="dxa"/>
            <w:vAlign w:val="center"/>
          </w:tcPr>
          <w:p w14:paraId="470B8A21"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13.7</w:t>
            </w:r>
          </w:p>
        </w:tc>
        <w:tc>
          <w:tcPr>
            <w:tcW w:w="1153" w:type="dxa"/>
            <w:vAlign w:val="center"/>
          </w:tcPr>
          <w:p w14:paraId="20BEF3F9"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7.5</w:t>
            </w:r>
          </w:p>
        </w:tc>
        <w:tc>
          <w:tcPr>
            <w:tcW w:w="1134" w:type="dxa"/>
            <w:shd w:val="clear" w:color="auto" w:fill="D9E2F3"/>
          </w:tcPr>
          <w:p w14:paraId="58A26515" w14:textId="77777777" w:rsidR="00027FBF" w:rsidRPr="00872014" w:rsidRDefault="00027FBF" w:rsidP="00027FBF">
            <w:pPr>
              <w:spacing w:before="0" w:line="276" w:lineRule="auto"/>
              <w:ind w:firstLine="0"/>
              <w:jc w:val="center"/>
              <w:rPr>
                <w:b w:val="0"/>
                <w:sz w:val="20"/>
                <w:szCs w:val="20"/>
              </w:rPr>
            </w:pPr>
            <w:r w:rsidRPr="00872014">
              <w:rPr>
                <w:b w:val="0"/>
                <w:sz w:val="20"/>
                <w:szCs w:val="20"/>
              </w:rPr>
              <w:t>15.6</w:t>
            </w:r>
          </w:p>
        </w:tc>
        <w:tc>
          <w:tcPr>
            <w:tcW w:w="1281" w:type="dxa"/>
            <w:shd w:val="clear" w:color="auto" w:fill="D9E2F3"/>
          </w:tcPr>
          <w:p w14:paraId="690CB75C" w14:textId="77777777" w:rsidR="00027FBF" w:rsidRPr="008413F5" w:rsidRDefault="00027FBF" w:rsidP="00027FBF">
            <w:pPr>
              <w:spacing w:before="0" w:line="276" w:lineRule="auto"/>
              <w:ind w:firstLine="0"/>
              <w:jc w:val="center"/>
              <w:rPr>
                <w:b w:val="0"/>
                <w:sz w:val="20"/>
                <w:szCs w:val="20"/>
                <w:lang w:val="en-US"/>
              </w:rPr>
            </w:pPr>
            <w:r w:rsidRPr="00872014">
              <w:rPr>
                <w:b w:val="0"/>
                <w:sz w:val="20"/>
                <w:szCs w:val="20"/>
              </w:rPr>
              <w:t>4</w:t>
            </w:r>
            <w:r>
              <w:rPr>
                <w:b w:val="0"/>
                <w:sz w:val="20"/>
                <w:szCs w:val="20"/>
                <w:lang w:val="en-US"/>
              </w:rPr>
              <w:t>4</w:t>
            </w:r>
            <w:r w:rsidRPr="00872014">
              <w:rPr>
                <w:b w:val="0"/>
                <w:sz w:val="20"/>
                <w:szCs w:val="20"/>
              </w:rPr>
              <w:t>.</w:t>
            </w:r>
            <w:r>
              <w:rPr>
                <w:b w:val="0"/>
                <w:sz w:val="20"/>
                <w:szCs w:val="20"/>
                <w:lang w:val="en-US"/>
              </w:rPr>
              <w:t>5</w:t>
            </w:r>
          </w:p>
        </w:tc>
      </w:tr>
      <w:tr w:rsidR="00027FBF" w:rsidRPr="00A83C94" w14:paraId="33926913" w14:textId="77777777" w:rsidTr="00027FBF">
        <w:trPr>
          <w:trHeight w:val="258"/>
        </w:trPr>
        <w:tc>
          <w:tcPr>
            <w:tcW w:w="3510" w:type="dxa"/>
          </w:tcPr>
          <w:p w14:paraId="51E9C108" w14:textId="77777777" w:rsidR="00027FBF" w:rsidRPr="00A83C94" w:rsidRDefault="00027FBF" w:rsidP="00027FBF">
            <w:pPr>
              <w:spacing w:before="0" w:line="276" w:lineRule="auto"/>
              <w:ind w:firstLine="0"/>
              <w:rPr>
                <w:rFonts w:cs="Sylfaen"/>
                <w:b w:val="0"/>
                <w:i/>
                <w:sz w:val="20"/>
                <w:szCs w:val="20"/>
              </w:rPr>
            </w:pPr>
            <w:r w:rsidRPr="00A83C94">
              <w:rPr>
                <w:rFonts w:cs="Sylfaen"/>
                <w:b w:val="0"/>
                <w:i/>
                <w:sz w:val="20"/>
                <w:szCs w:val="20"/>
              </w:rPr>
              <w:t>Մասնավոր</w:t>
            </w:r>
          </w:p>
        </w:tc>
        <w:tc>
          <w:tcPr>
            <w:tcW w:w="1276" w:type="dxa"/>
            <w:vAlign w:val="center"/>
          </w:tcPr>
          <w:p w14:paraId="0F9F409A"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5.1</w:t>
            </w:r>
          </w:p>
        </w:tc>
        <w:tc>
          <w:tcPr>
            <w:tcW w:w="1134" w:type="dxa"/>
            <w:vAlign w:val="center"/>
          </w:tcPr>
          <w:p w14:paraId="6B7E0E9D"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2.6</w:t>
            </w:r>
          </w:p>
        </w:tc>
        <w:tc>
          <w:tcPr>
            <w:tcW w:w="1153" w:type="dxa"/>
            <w:vAlign w:val="center"/>
          </w:tcPr>
          <w:p w14:paraId="5E037F7D"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-12.0</w:t>
            </w:r>
          </w:p>
        </w:tc>
        <w:tc>
          <w:tcPr>
            <w:tcW w:w="1134" w:type="dxa"/>
            <w:shd w:val="clear" w:color="auto" w:fill="D9E2F3"/>
          </w:tcPr>
          <w:p w14:paraId="473ED253" w14:textId="77777777" w:rsidR="00027FBF" w:rsidRPr="00872014" w:rsidRDefault="00027FBF" w:rsidP="00027FBF">
            <w:pPr>
              <w:spacing w:before="0" w:line="276" w:lineRule="auto"/>
              <w:ind w:firstLine="0"/>
              <w:jc w:val="center"/>
              <w:rPr>
                <w:b w:val="0"/>
                <w:sz w:val="20"/>
                <w:szCs w:val="20"/>
              </w:rPr>
            </w:pPr>
            <w:r w:rsidRPr="00872014">
              <w:rPr>
                <w:b w:val="0"/>
                <w:sz w:val="20"/>
                <w:szCs w:val="20"/>
              </w:rPr>
              <w:t>0.6</w:t>
            </w:r>
          </w:p>
        </w:tc>
        <w:tc>
          <w:tcPr>
            <w:tcW w:w="1281" w:type="dxa"/>
            <w:shd w:val="clear" w:color="auto" w:fill="D9E2F3"/>
          </w:tcPr>
          <w:p w14:paraId="501793EA" w14:textId="77777777" w:rsidR="00027FBF" w:rsidRPr="00872014" w:rsidRDefault="00027FBF" w:rsidP="00027FBF">
            <w:pPr>
              <w:spacing w:before="0" w:line="276" w:lineRule="auto"/>
              <w:ind w:firstLine="0"/>
              <w:jc w:val="center"/>
              <w:rPr>
                <w:b w:val="0"/>
                <w:sz w:val="20"/>
                <w:szCs w:val="20"/>
              </w:rPr>
            </w:pPr>
            <w:r w:rsidRPr="00872014">
              <w:rPr>
                <w:b w:val="0"/>
                <w:sz w:val="20"/>
                <w:szCs w:val="20"/>
              </w:rPr>
              <w:t>15.6</w:t>
            </w:r>
          </w:p>
        </w:tc>
      </w:tr>
      <w:tr w:rsidR="00027FBF" w:rsidRPr="00A83C94" w14:paraId="4EAE4171" w14:textId="77777777" w:rsidTr="00027FBF">
        <w:trPr>
          <w:trHeight w:val="258"/>
        </w:trPr>
        <w:tc>
          <w:tcPr>
            <w:tcW w:w="3510" w:type="dxa"/>
          </w:tcPr>
          <w:p w14:paraId="12D5DB6A"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 xml:space="preserve">Արտահանում </w:t>
            </w:r>
          </w:p>
        </w:tc>
        <w:tc>
          <w:tcPr>
            <w:tcW w:w="1276" w:type="dxa"/>
            <w:vAlign w:val="center"/>
          </w:tcPr>
          <w:p w14:paraId="314F3F5C"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5.0</w:t>
            </w:r>
          </w:p>
        </w:tc>
        <w:tc>
          <w:tcPr>
            <w:tcW w:w="1134" w:type="dxa"/>
            <w:vAlign w:val="center"/>
          </w:tcPr>
          <w:p w14:paraId="483E7BB2"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16.0</w:t>
            </w:r>
          </w:p>
        </w:tc>
        <w:tc>
          <w:tcPr>
            <w:tcW w:w="1153" w:type="dxa"/>
            <w:vAlign w:val="center"/>
          </w:tcPr>
          <w:p w14:paraId="201C3C40"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-33.4</w:t>
            </w:r>
          </w:p>
        </w:tc>
        <w:tc>
          <w:tcPr>
            <w:tcW w:w="1134" w:type="dxa"/>
            <w:shd w:val="clear" w:color="auto" w:fill="D9E2F3"/>
          </w:tcPr>
          <w:p w14:paraId="76401BE5" w14:textId="77777777" w:rsidR="00027FBF" w:rsidRPr="00872014" w:rsidRDefault="00027FBF" w:rsidP="00027FBF">
            <w:pPr>
              <w:spacing w:before="0" w:line="276" w:lineRule="auto"/>
              <w:ind w:firstLine="0"/>
              <w:jc w:val="center"/>
              <w:rPr>
                <w:b w:val="0"/>
                <w:sz w:val="20"/>
                <w:szCs w:val="20"/>
              </w:rPr>
            </w:pPr>
            <w:r w:rsidRPr="00872014">
              <w:rPr>
                <w:b w:val="0"/>
                <w:sz w:val="20"/>
                <w:szCs w:val="20"/>
              </w:rPr>
              <w:t>7.6</w:t>
            </w:r>
          </w:p>
        </w:tc>
        <w:tc>
          <w:tcPr>
            <w:tcW w:w="1281" w:type="dxa"/>
            <w:shd w:val="clear" w:color="auto" w:fill="D9E2F3"/>
          </w:tcPr>
          <w:p w14:paraId="147B0652" w14:textId="77777777" w:rsidR="00027FBF" w:rsidRPr="00872014" w:rsidRDefault="00027FBF" w:rsidP="00027FBF">
            <w:pPr>
              <w:spacing w:before="0" w:line="276" w:lineRule="auto"/>
              <w:ind w:firstLine="0"/>
              <w:jc w:val="center"/>
              <w:rPr>
                <w:b w:val="0"/>
                <w:sz w:val="20"/>
                <w:szCs w:val="20"/>
              </w:rPr>
            </w:pPr>
            <w:r w:rsidRPr="00872014">
              <w:rPr>
                <w:b w:val="0"/>
                <w:sz w:val="20"/>
                <w:szCs w:val="20"/>
              </w:rPr>
              <w:t>14.3</w:t>
            </w:r>
          </w:p>
        </w:tc>
      </w:tr>
      <w:tr w:rsidR="00027FBF" w:rsidRPr="00A83C94" w14:paraId="5DB3A74C" w14:textId="77777777" w:rsidTr="00027FBF">
        <w:trPr>
          <w:trHeight w:val="272"/>
        </w:trPr>
        <w:tc>
          <w:tcPr>
            <w:tcW w:w="3510" w:type="dxa"/>
          </w:tcPr>
          <w:p w14:paraId="0E117B19"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 xml:space="preserve">Ներմուծում </w:t>
            </w:r>
          </w:p>
        </w:tc>
        <w:tc>
          <w:tcPr>
            <w:tcW w:w="1276" w:type="dxa"/>
            <w:vAlign w:val="center"/>
          </w:tcPr>
          <w:p w14:paraId="4FAC28E6"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13.3</w:t>
            </w:r>
          </w:p>
        </w:tc>
        <w:tc>
          <w:tcPr>
            <w:tcW w:w="1134" w:type="dxa"/>
            <w:vAlign w:val="center"/>
          </w:tcPr>
          <w:p w14:paraId="1AA9EFF3"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11.6</w:t>
            </w:r>
          </w:p>
        </w:tc>
        <w:tc>
          <w:tcPr>
            <w:tcW w:w="1153" w:type="dxa"/>
            <w:vAlign w:val="center"/>
          </w:tcPr>
          <w:p w14:paraId="04670271"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-31.4</w:t>
            </w:r>
          </w:p>
        </w:tc>
        <w:tc>
          <w:tcPr>
            <w:tcW w:w="1134" w:type="dxa"/>
            <w:shd w:val="clear" w:color="auto" w:fill="D9E2F3"/>
          </w:tcPr>
          <w:p w14:paraId="7ED54F43" w14:textId="77777777" w:rsidR="00027FBF" w:rsidRPr="00872014" w:rsidRDefault="00027FBF" w:rsidP="00027FBF">
            <w:pPr>
              <w:spacing w:before="0" w:line="276" w:lineRule="auto"/>
              <w:ind w:firstLine="0"/>
              <w:jc w:val="center"/>
              <w:rPr>
                <w:b w:val="0"/>
                <w:sz w:val="20"/>
                <w:szCs w:val="20"/>
              </w:rPr>
            </w:pPr>
            <w:r w:rsidRPr="00872014">
              <w:rPr>
                <w:b w:val="0"/>
                <w:sz w:val="20"/>
                <w:szCs w:val="20"/>
              </w:rPr>
              <w:t>8.2</w:t>
            </w:r>
          </w:p>
        </w:tc>
        <w:tc>
          <w:tcPr>
            <w:tcW w:w="1281" w:type="dxa"/>
            <w:shd w:val="clear" w:color="auto" w:fill="D9E2F3"/>
          </w:tcPr>
          <w:p w14:paraId="584EAF9B" w14:textId="77777777" w:rsidR="00027FBF" w:rsidRPr="00872014" w:rsidRDefault="00027FBF" w:rsidP="00027FBF">
            <w:pPr>
              <w:spacing w:before="0" w:line="276" w:lineRule="auto"/>
              <w:ind w:firstLine="0"/>
              <w:jc w:val="center"/>
              <w:rPr>
                <w:b w:val="0"/>
                <w:sz w:val="20"/>
                <w:szCs w:val="20"/>
              </w:rPr>
            </w:pPr>
            <w:r w:rsidRPr="00872014">
              <w:rPr>
                <w:b w:val="0"/>
                <w:sz w:val="20"/>
                <w:szCs w:val="20"/>
              </w:rPr>
              <w:t>15.3</w:t>
            </w:r>
          </w:p>
        </w:tc>
      </w:tr>
      <w:tr w:rsidR="00027FBF" w:rsidRPr="00A83C94" w14:paraId="5A30AB7D" w14:textId="77777777" w:rsidTr="00027FBF">
        <w:trPr>
          <w:trHeight w:val="258"/>
        </w:trPr>
        <w:tc>
          <w:tcPr>
            <w:tcW w:w="9488" w:type="dxa"/>
            <w:gridSpan w:val="6"/>
            <w:shd w:val="clear" w:color="auto" w:fill="auto"/>
            <w:noWrap/>
            <w:vAlign w:val="center"/>
          </w:tcPr>
          <w:p w14:paraId="5025EE38" w14:textId="77777777" w:rsidR="00027FBF" w:rsidRPr="00A83C94" w:rsidRDefault="00027FBF" w:rsidP="00027FBF">
            <w:pPr>
              <w:spacing w:before="0" w:line="276" w:lineRule="auto"/>
              <w:jc w:val="center"/>
              <w:rPr>
                <w:rFonts w:cs="Arial"/>
                <w:bCs/>
                <w:sz w:val="20"/>
                <w:szCs w:val="20"/>
              </w:rPr>
            </w:pPr>
            <w:r w:rsidRPr="00A83C94">
              <w:rPr>
                <w:rFonts w:cs="Sylfaen"/>
                <w:sz w:val="20"/>
                <w:szCs w:val="20"/>
                <w:u w:val="single"/>
              </w:rPr>
              <w:t>Արտաքին հատված (մլն ԱՄՆ դոլար)</w:t>
            </w:r>
          </w:p>
        </w:tc>
      </w:tr>
      <w:tr w:rsidR="00027FBF" w:rsidRPr="00A83C94" w14:paraId="62EF1B2E" w14:textId="77777777" w:rsidTr="00027FBF">
        <w:trPr>
          <w:trHeight w:val="258"/>
        </w:trPr>
        <w:tc>
          <w:tcPr>
            <w:tcW w:w="3510" w:type="dxa"/>
            <w:shd w:val="clear" w:color="auto" w:fill="auto"/>
          </w:tcPr>
          <w:p w14:paraId="182FCFC0"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Ընթացիկ հաշիվ</w:t>
            </w:r>
          </w:p>
        </w:tc>
        <w:tc>
          <w:tcPr>
            <w:tcW w:w="1276" w:type="dxa"/>
            <w:vAlign w:val="center"/>
          </w:tcPr>
          <w:p w14:paraId="7D41BD75"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-875.9</w:t>
            </w:r>
          </w:p>
        </w:tc>
        <w:tc>
          <w:tcPr>
            <w:tcW w:w="1134" w:type="dxa"/>
            <w:vAlign w:val="center"/>
          </w:tcPr>
          <w:p w14:paraId="5E0E20FF"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-1,002.3</w:t>
            </w:r>
          </w:p>
        </w:tc>
        <w:tc>
          <w:tcPr>
            <w:tcW w:w="1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4BB44"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-478.7</w:t>
            </w:r>
          </w:p>
        </w:tc>
        <w:tc>
          <w:tcPr>
            <w:tcW w:w="1134" w:type="dxa"/>
            <w:shd w:val="clear" w:color="auto" w:fill="D9E2F3"/>
          </w:tcPr>
          <w:p w14:paraId="3960F75F"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-241.8</w:t>
            </w:r>
          </w:p>
        </w:tc>
        <w:tc>
          <w:tcPr>
            <w:tcW w:w="1281" w:type="dxa"/>
            <w:shd w:val="clear" w:color="auto" w:fill="D9E2F3"/>
          </w:tcPr>
          <w:p w14:paraId="57FEBEE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-455.6</w:t>
            </w:r>
          </w:p>
        </w:tc>
      </w:tr>
      <w:tr w:rsidR="00027FBF" w:rsidRPr="00A83C94" w14:paraId="0AF58BC3" w14:textId="77777777" w:rsidTr="00027FBF">
        <w:trPr>
          <w:trHeight w:val="258"/>
        </w:trPr>
        <w:tc>
          <w:tcPr>
            <w:tcW w:w="3510" w:type="dxa"/>
            <w:shd w:val="clear" w:color="auto" w:fill="auto"/>
          </w:tcPr>
          <w:p w14:paraId="09F29D70" w14:textId="77777777" w:rsidR="00027FBF" w:rsidRPr="00A83C94" w:rsidRDefault="00027FBF" w:rsidP="00027FBF">
            <w:pPr>
              <w:spacing w:before="0" w:line="276" w:lineRule="auto"/>
              <w:ind w:firstLine="0"/>
              <w:jc w:val="left"/>
              <w:rPr>
                <w:rFonts w:cs="Sylfaen"/>
                <w:b w:val="0"/>
                <w:sz w:val="20"/>
                <w:szCs w:val="20"/>
              </w:rPr>
            </w:pPr>
            <w:r w:rsidRPr="00A83C94">
              <w:rPr>
                <w:rFonts w:cs="Sylfaen"/>
                <w:b w:val="0"/>
                <w:sz w:val="20"/>
                <w:szCs w:val="20"/>
              </w:rPr>
              <w:t>Ապրանքների և ծառայությունների հաշվեկշիռ</w:t>
            </w:r>
          </w:p>
        </w:tc>
        <w:tc>
          <w:tcPr>
            <w:tcW w:w="1276" w:type="dxa"/>
            <w:vAlign w:val="center"/>
          </w:tcPr>
          <w:p w14:paraId="3B8E907A"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-1,699.8</w:t>
            </w:r>
          </w:p>
        </w:tc>
        <w:tc>
          <w:tcPr>
            <w:tcW w:w="1134" w:type="dxa"/>
            <w:vAlign w:val="center"/>
          </w:tcPr>
          <w:p w14:paraId="67497A66"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-1,794.8</w:t>
            </w:r>
          </w:p>
        </w:tc>
        <w:tc>
          <w:tcPr>
            <w:tcW w:w="1153" w:type="dxa"/>
            <w:vAlign w:val="center"/>
          </w:tcPr>
          <w:p w14:paraId="08E9925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-1,256.1</w:t>
            </w:r>
          </w:p>
        </w:tc>
        <w:tc>
          <w:tcPr>
            <w:tcW w:w="1134" w:type="dxa"/>
            <w:shd w:val="clear" w:color="auto" w:fill="D9E2F3"/>
          </w:tcPr>
          <w:p w14:paraId="039FF40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-1,334.6</w:t>
            </w:r>
          </w:p>
        </w:tc>
        <w:tc>
          <w:tcPr>
            <w:tcW w:w="1281" w:type="dxa"/>
            <w:shd w:val="clear" w:color="auto" w:fill="D9E2F3"/>
          </w:tcPr>
          <w:p w14:paraId="2A61F4B5"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-1,657.5</w:t>
            </w:r>
          </w:p>
        </w:tc>
      </w:tr>
      <w:tr w:rsidR="00027FBF" w:rsidRPr="00A83C94" w14:paraId="67253F2D" w14:textId="77777777" w:rsidTr="00027FBF">
        <w:trPr>
          <w:trHeight w:val="258"/>
        </w:trPr>
        <w:tc>
          <w:tcPr>
            <w:tcW w:w="3510" w:type="dxa"/>
            <w:shd w:val="clear" w:color="auto" w:fill="auto"/>
          </w:tcPr>
          <w:p w14:paraId="08FF80AD"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Արտահանում</w:t>
            </w:r>
          </w:p>
        </w:tc>
        <w:tc>
          <w:tcPr>
            <w:tcW w:w="1276" w:type="dxa"/>
            <w:vAlign w:val="center"/>
          </w:tcPr>
          <w:p w14:paraId="4CF80F3D"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4,941.7</w:t>
            </w:r>
          </w:p>
        </w:tc>
        <w:tc>
          <w:tcPr>
            <w:tcW w:w="1134" w:type="dxa"/>
            <w:vAlign w:val="center"/>
          </w:tcPr>
          <w:p w14:paraId="636D7F4F"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5,718.1</w:t>
            </w:r>
          </w:p>
        </w:tc>
        <w:tc>
          <w:tcPr>
            <w:tcW w:w="1153" w:type="dxa"/>
            <w:vAlign w:val="center"/>
          </w:tcPr>
          <w:p w14:paraId="7AB9E5F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3,762.6</w:t>
            </w:r>
          </w:p>
        </w:tc>
        <w:tc>
          <w:tcPr>
            <w:tcW w:w="1134" w:type="dxa"/>
            <w:shd w:val="clear" w:color="auto" w:fill="D9E2F3"/>
          </w:tcPr>
          <w:p w14:paraId="48B846FE"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4,521.2</w:t>
            </w:r>
          </w:p>
        </w:tc>
        <w:tc>
          <w:tcPr>
            <w:tcW w:w="1281" w:type="dxa"/>
            <w:shd w:val="clear" w:color="auto" w:fill="D9E2F3"/>
          </w:tcPr>
          <w:p w14:paraId="60884754"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5,270.7</w:t>
            </w:r>
          </w:p>
        </w:tc>
      </w:tr>
      <w:tr w:rsidR="00027FBF" w:rsidRPr="00A83C94" w14:paraId="01EE93F4" w14:textId="77777777" w:rsidTr="00027FBF">
        <w:trPr>
          <w:trHeight w:val="258"/>
        </w:trPr>
        <w:tc>
          <w:tcPr>
            <w:tcW w:w="3510" w:type="dxa"/>
            <w:shd w:val="clear" w:color="auto" w:fill="auto"/>
          </w:tcPr>
          <w:p w14:paraId="1AF57D23"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Փոփոխություն,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E6EBF"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12.1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87B76B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15.7</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438648CF"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-34.2</w:t>
            </w:r>
          </w:p>
        </w:tc>
        <w:tc>
          <w:tcPr>
            <w:tcW w:w="1134" w:type="dxa"/>
            <w:shd w:val="clear" w:color="auto" w:fill="D9E2F3"/>
          </w:tcPr>
          <w:p w14:paraId="11A4107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20.2</w:t>
            </w:r>
          </w:p>
        </w:tc>
        <w:tc>
          <w:tcPr>
            <w:tcW w:w="1281" w:type="dxa"/>
            <w:shd w:val="clear" w:color="auto" w:fill="D9E2F3"/>
          </w:tcPr>
          <w:p w14:paraId="5E190C02"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16.6</w:t>
            </w:r>
          </w:p>
        </w:tc>
      </w:tr>
      <w:tr w:rsidR="00027FBF" w:rsidRPr="00A83C94" w14:paraId="17629EBF" w14:textId="77777777" w:rsidTr="00027FBF">
        <w:trPr>
          <w:trHeight w:val="430"/>
        </w:trPr>
        <w:tc>
          <w:tcPr>
            <w:tcW w:w="3510" w:type="dxa"/>
            <w:shd w:val="clear" w:color="auto" w:fill="auto"/>
          </w:tcPr>
          <w:p w14:paraId="38AEA858"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Ներմուծում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7D145C"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6,641.5</w:t>
            </w:r>
          </w:p>
        </w:tc>
        <w:tc>
          <w:tcPr>
            <w:tcW w:w="1134" w:type="dxa"/>
            <w:tcBorders>
              <w:top w:val="single" w:sz="4" w:space="0" w:color="000000"/>
              <w:left w:val="nil"/>
              <w:bottom w:val="single" w:sz="4" w:space="0" w:color="000000"/>
              <w:right w:val="single" w:sz="4" w:space="0" w:color="000000"/>
            </w:tcBorders>
            <w:shd w:val="clear" w:color="auto" w:fill="auto"/>
          </w:tcPr>
          <w:p w14:paraId="1C82D67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7,512.9</w:t>
            </w:r>
          </w:p>
        </w:tc>
        <w:tc>
          <w:tcPr>
            <w:tcW w:w="1153" w:type="dxa"/>
            <w:tcBorders>
              <w:top w:val="single" w:sz="4" w:space="0" w:color="000000"/>
              <w:left w:val="nil"/>
              <w:bottom w:val="single" w:sz="4" w:space="0" w:color="000000"/>
              <w:right w:val="single" w:sz="4" w:space="0" w:color="000000"/>
            </w:tcBorders>
            <w:shd w:val="clear" w:color="auto" w:fill="auto"/>
          </w:tcPr>
          <w:p w14:paraId="626AE3F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5,018.7</w:t>
            </w:r>
          </w:p>
        </w:tc>
        <w:tc>
          <w:tcPr>
            <w:tcW w:w="1134" w:type="dxa"/>
            <w:shd w:val="clear" w:color="auto" w:fill="D9E2F3"/>
          </w:tcPr>
          <w:p w14:paraId="39B8EFF9"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5,855.8</w:t>
            </w:r>
          </w:p>
        </w:tc>
        <w:tc>
          <w:tcPr>
            <w:tcW w:w="1281" w:type="dxa"/>
            <w:shd w:val="clear" w:color="auto" w:fill="D9E2F3"/>
          </w:tcPr>
          <w:p w14:paraId="06DAEA7E"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6,928.2</w:t>
            </w:r>
          </w:p>
        </w:tc>
      </w:tr>
      <w:tr w:rsidR="00027FBF" w:rsidRPr="00A83C94" w14:paraId="63D2ED6E" w14:textId="77777777" w:rsidTr="00027FBF">
        <w:trPr>
          <w:trHeight w:val="258"/>
        </w:trPr>
        <w:tc>
          <w:tcPr>
            <w:tcW w:w="3510" w:type="dxa"/>
            <w:shd w:val="clear" w:color="auto" w:fill="auto"/>
            <w:noWrap/>
          </w:tcPr>
          <w:p w14:paraId="3D70B6FD"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Փոփոխություն,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8EB31"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17.5</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4D38420"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13.1</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0180AADA"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-33.2</w:t>
            </w:r>
          </w:p>
        </w:tc>
        <w:tc>
          <w:tcPr>
            <w:tcW w:w="1134" w:type="dxa"/>
            <w:shd w:val="clear" w:color="auto" w:fill="D9E2F3"/>
          </w:tcPr>
          <w:p w14:paraId="40271DE6"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16.7</w:t>
            </w:r>
          </w:p>
        </w:tc>
        <w:tc>
          <w:tcPr>
            <w:tcW w:w="1281" w:type="dxa"/>
            <w:shd w:val="clear" w:color="auto" w:fill="D9E2F3"/>
          </w:tcPr>
          <w:p w14:paraId="37B2DCF1"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18.3</w:t>
            </w:r>
          </w:p>
        </w:tc>
      </w:tr>
      <w:tr w:rsidR="00027FBF" w:rsidRPr="00A83C94" w14:paraId="1E9D3462" w14:textId="77777777" w:rsidTr="00027FBF">
        <w:trPr>
          <w:trHeight w:val="258"/>
        </w:trPr>
        <w:tc>
          <w:tcPr>
            <w:tcW w:w="3510" w:type="dxa"/>
            <w:shd w:val="clear" w:color="auto" w:fill="auto"/>
            <w:noWrap/>
          </w:tcPr>
          <w:p w14:paraId="2DEB73AC"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Դրամական փոխանցումներ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157BD"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1,136.2</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04FC7B9"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1,143.8</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6FADEAC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1,040.2</w:t>
            </w:r>
          </w:p>
        </w:tc>
        <w:tc>
          <w:tcPr>
            <w:tcW w:w="1134" w:type="dxa"/>
            <w:shd w:val="clear" w:color="auto" w:fill="D9E2F3"/>
          </w:tcPr>
          <w:p w14:paraId="7E14EE0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1,398.8</w:t>
            </w:r>
          </w:p>
        </w:tc>
        <w:tc>
          <w:tcPr>
            <w:tcW w:w="1281" w:type="dxa"/>
            <w:shd w:val="clear" w:color="auto" w:fill="D9E2F3"/>
          </w:tcPr>
          <w:p w14:paraId="03FD11B6"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1,468.7</w:t>
            </w:r>
          </w:p>
        </w:tc>
      </w:tr>
      <w:tr w:rsidR="00027FBF" w:rsidRPr="00A83C94" w14:paraId="6ABA2E19" w14:textId="77777777" w:rsidTr="00027FBF">
        <w:trPr>
          <w:trHeight w:val="177"/>
        </w:trPr>
        <w:tc>
          <w:tcPr>
            <w:tcW w:w="9488" w:type="dxa"/>
            <w:gridSpan w:val="6"/>
            <w:shd w:val="clear" w:color="auto" w:fill="auto"/>
            <w:noWrap/>
            <w:vAlign w:val="center"/>
          </w:tcPr>
          <w:p w14:paraId="0FEF4F19" w14:textId="77777777" w:rsidR="00027FBF" w:rsidRPr="00A83C94" w:rsidRDefault="00027FBF" w:rsidP="00027FBF">
            <w:pPr>
              <w:spacing w:before="0" w:line="276" w:lineRule="auto"/>
              <w:jc w:val="center"/>
              <w:rPr>
                <w:sz w:val="20"/>
                <w:szCs w:val="20"/>
              </w:rPr>
            </w:pPr>
            <w:r w:rsidRPr="00A83C94">
              <w:rPr>
                <w:rFonts w:cs="Sylfaen"/>
                <w:sz w:val="20"/>
                <w:szCs w:val="20"/>
                <w:u w:val="single"/>
              </w:rPr>
              <w:t>ՀՆԱ-ի նկատմամբ %</w:t>
            </w:r>
          </w:p>
        </w:tc>
      </w:tr>
      <w:tr w:rsidR="00027FBF" w:rsidRPr="00A83C94" w14:paraId="1D294E9D" w14:textId="77777777" w:rsidTr="00027FBF">
        <w:trPr>
          <w:trHeight w:val="258"/>
        </w:trPr>
        <w:tc>
          <w:tcPr>
            <w:tcW w:w="3510" w:type="dxa"/>
            <w:shd w:val="clear" w:color="auto" w:fill="auto"/>
            <w:noWrap/>
          </w:tcPr>
          <w:p w14:paraId="038761E2"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 xml:space="preserve">Ընթացիկ հաշիվ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2C4AF"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-7.0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A006681"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-7.4</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7C6969A8" w14:textId="77777777" w:rsidR="00027FBF" w:rsidRPr="00A83C94" w:rsidRDefault="00027FBF" w:rsidP="00027FBF">
            <w:pPr>
              <w:spacing w:before="0" w:line="276" w:lineRule="auto"/>
              <w:ind w:firstLine="0"/>
              <w:jc w:val="center"/>
              <w:rPr>
                <w:rFonts w:eastAsia="Times New Roman" w:cs="Arial"/>
                <w:b w:val="0"/>
                <w:bCs/>
                <w:sz w:val="20"/>
                <w:szCs w:val="20"/>
              </w:rPr>
            </w:pPr>
            <w:r w:rsidRPr="00A83C94">
              <w:rPr>
                <w:b w:val="0"/>
                <w:color w:val="000000"/>
                <w:sz w:val="20"/>
              </w:rPr>
              <w:t>-3.8</w:t>
            </w:r>
          </w:p>
        </w:tc>
        <w:tc>
          <w:tcPr>
            <w:tcW w:w="1134" w:type="dxa"/>
            <w:shd w:val="clear" w:color="auto" w:fill="D9E2F3"/>
          </w:tcPr>
          <w:p w14:paraId="7307498A"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-1.7</w:t>
            </w:r>
          </w:p>
        </w:tc>
        <w:tc>
          <w:tcPr>
            <w:tcW w:w="1281" w:type="dxa"/>
            <w:shd w:val="clear" w:color="auto" w:fill="D9E2F3"/>
          </w:tcPr>
          <w:p w14:paraId="799D288B"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-3.0</w:t>
            </w:r>
          </w:p>
        </w:tc>
      </w:tr>
      <w:tr w:rsidR="00027FBF" w:rsidRPr="00A83C94" w14:paraId="654E17E7" w14:textId="77777777" w:rsidTr="00027FBF">
        <w:trPr>
          <w:trHeight w:val="258"/>
        </w:trPr>
        <w:tc>
          <w:tcPr>
            <w:tcW w:w="3510" w:type="dxa"/>
            <w:shd w:val="clear" w:color="auto" w:fill="auto"/>
            <w:noWrap/>
          </w:tcPr>
          <w:p w14:paraId="54B9A916" w14:textId="77777777" w:rsidR="00027FBF" w:rsidRPr="00A83C94" w:rsidRDefault="00027FBF" w:rsidP="00027FBF">
            <w:pPr>
              <w:spacing w:before="0" w:line="276" w:lineRule="auto"/>
              <w:ind w:firstLine="0"/>
              <w:jc w:val="left"/>
              <w:rPr>
                <w:rFonts w:cs="Sylfaen"/>
                <w:b w:val="0"/>
                <w:sz w:val="20"/>
                <w:szCs w:val="20"/>
                <w:u w:val="single"/>
              </w:rPr>
            </w:pPr>
            <w:r w:rsidRPr="00A83C94">
              <w:rPr>
                <w:rFonts w:cs="Sylfaen"/>
                <w:b w:val="0"/>
                <w:sz w:val="20"/>
                <w:szCs w:val="20"/>
              </w:rPr>
              <w:t>Ապրանքների և ծառայությունների հաշվեկշիռ</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19898D7"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-13.6</w:t>
            </w:r>
          </w:p>
        </w:tc>
        <w:tc>
          <w:tcPr>
            <w:tcW w:w="1134" w:type="dxa"/>
            <w:tcBorders>
              <w:top w:val="nil"/>
              <w:left w:val="nil"/>
              <w:bottom w:val="single" w:sz="4" w:space="0" w:color="000000"/>
              <w:right w:val="single" w:sz="4" w:space="0" w:color="000000"/>
            </w:tcBorders>
            <w:shd w:val="clear" w:color="auto" w:fill="auto"/>
            <w:vAlign w:val="center"/>
          </w:tcPr>
          <w:p w14:paraId="062C66DF"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-13.2</w:t>
            </w:r>
          </w:p>
        </w:tc>
        <w:tc>
          <w:tcPr>
            <w:tcW w:w="1153" w:type="dxa"/>
            <w:tcBorders>
              <w:top w:val="nil"/>
              <w:left w:val="nil"/>
              <w:bottom w:val="single" w:sz="4" w:space="0" w:color="000000"/>
              <w:right w:val="single" w:sz="4" w:space="0" w:color="000000"/>
            </w:tcBorders>
            <w:shd w:val="clear" w:color="auto" w:fill="auto"/>
            <w:vAlign w:val="center"/>
          </w:tcPr>
          <w:p w14:paraId="707328BD" w14:textId="77777777" w:rsidR="00027FBF" w:rsidRPr="00A83C94" w:rsidRDefault="00027FBF" w:rsidP="00027FBF">
            <w:pPr>
              <w:spacing w:before="0" w:line="276" w:lineRule="auto"/>
              <w:ind w:firstLine="0"/>
              <w:jc w:val="center"/>
              <w:rPr>
                <w:rFonts w:eastAsia="Times New Roman" w:cs="Arial"/>
                <w:b w:val="0"/>
                <w:bCs/>
                <w:sz w:val="20"/>
                <w:szCs w:val="20"/>
              </w:rPr>
            </w:pPr>
            <w:r w:rsidRPr="00A83C94">
              <w:rPr>
                <w:b w:val="0"/>
                <w:color w:val="000000"/>
                <w:sz w:val="20"/>
              </w:rPr>
              <w:t>-9.9</w:t>
            </w:r>
          </w:p>
        </w:tc>
        <w:tc>
          <w:tcPr>
            <w:tcW w:w="1134" w:type="dxa"/>
            <w:shd w:val="clear" w:color="auto" w:fill="D9E2F3"/>
          </w:tcPr>
          <w:p w14:paraId="0CEECF8D"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-9.6</w:t>
            </w:r>
          </w:p>
        </w:tc>
        <w:tc>
          <w:tcPr>
            <w:tcW w:w="1281" w:type="dxa"/>
            <w:shd w:val="clear" w:color="auto" w:fill="D9E2F3"/>
          </w:tcPr>
          <w:p w14:paraId="409D157C"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-10.9</w:t>
            </w:r>
          </w:p>
        </w:tc>
      </w:tr>
      <w:tr w:rsidR="00027FBF" w:rsidRPr="00A83C94" w14:paraId="6C4BCECC" w14:textId="77777777" w:rsidTr="00027FBF">
        <w:trPr>
          <w:trHeight w:val="258"/>
        </w:trPr>
        <w:tc>
          <w:tcPr>
            <w:tcW w:w="3510" w:type="dxa"/>
            <w:shd w:val="clear" w:color="auto" w:fill="auto"/>
          </w:tcPr>
          <w:p w14:paraId="7FF7DB4C"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Արտահանում</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2A4DF67"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39.7</w:t>
            </w:r>
          </w:p>
        </w:tc>
        <w:tc>
          <w:tcPr>
            <w:tcW w:w="1134" w:type="dxa"/>
            <w:tcBorders>
              <w:top w:val="nil"/>
              <w:left w:val="nil"/>
              <w:bottom w:val="single" w:sz="4" w:space="0" w:color="000000"/>
              <w:right w:val="single" w:sz="4" w:space="0" w:color="000000"/>
            </w:tcBorders>
            <w:shd w:val="clear" w:color="auto" w:fill="auto"/>
            <w:vAlign w:val="center"/>
          </w:tcPr>
          <w:p w14:paraId="6A1B68BA"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42.0</w:t>
            </w:r>
          </w:p>
        </w:tc>
        <w:tc>
          <w:tcPr>
            <w:tcW w:w="1153" w:type="dxa"/>
            <w:tcBorders>
              <w:top w:val="nil"/>
              <w:left w:val="nil"/>
              <w:bottom w:val="single" w:sz="4" w:space="0" w:color="000000"/>
              <w:right w:val="single" w:sz="4" w:space="0" w:color="000000"/>
            </w:tcBorders>
            <w:shd w:val="clear" w:color="auto" w:fill="auto"/>
            <w:vAlign w:val="center"/>
          </w:tcPr>
          <w:p w14:paraId="388DA081" w14:textId="77777777" w:rsidR="00027FBF" w:rsidRPr="00A83C94" w:rsidRDefault="00027FBF" w:rsidP="00027FBF">
            <w:pPr>
              <w:spacing w:before="0" w:line="276" w:lineRule="auto"/>
              <w:ind w:firstLine="0"/>
              <w:jc w:val="center"/>
              <w:rPr>
                <w:rFonts w:eastAsia="Times New Roman" w:cs="Arial"/>
                <w:b w:val="0"/>
                <w:bCs/>
                <w:sz w:val="20"/>
                <w:szCs w:val="20"/>
              </w:rPr>
            </w:pPr>
            <w:r w:rsidRPr="00A83C94">
              <w:rPr>
                <w:b w:val="0"/>
                <w:color w:val="000000"/>
                <w:sz w:val="20"/>
              </w:rPr>
              <w:t>29.8</w:t>
            </w:r>
          </w:p>
        </w:tc>
        <w:tc>
          <w:tcPr>
            <w:tcW w:w="1134" w:type="dxa"/>
            <w:shd w:val="clear" w:color="auto" w:fill="D9E2F3"/>
          </w:tcPr>
          <w:p w14:paraId="2C535526"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32.6</w:t>
            </w:r>
          </w:p>
        </w:tc>
        <w:tc>
          <w:tcPr>
            <w:tcW w:w="1281" w:type="dxa"/>
            <w:shd w:val="clear" w:color="auto" w:fill="D9E2F3"/>
          </w:tcPr>
          <w:p w14:paraId="13F655F2"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34.5</w:t>
            </w:r>
          </w:p>
        </w:tc>
      </w:tr>
      <w:tr w:rsidR="00027FBF" w:rsidRPr="00A83C94" w14:paraId="62E5D943" w14:textId="77777777" w:rsidTr="00027FBF">
        <w:trPr>
          <w:trHeight w:val="258"/>
        </w:trPr>
        <w:tc>
          <w:tcPr>
            <w:tcW w:w="3510" w:type="dxa"/>
            <w:shd w:val="clear" w:color="auto" w:fill="auto"/>
          </w:tcPr>
          <w:p w14:paraId="3349568E"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Ներմուծում</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F8A5589"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53.3</w:t>
            </w:r>
          </w:p>
        </w:tc>
        <w:tc>
          <w:tcPr>
            <w:tcW w:w="1134" w:type="dxa"/>
            <w:tcBorders>
              <w:top w:val="nil"/>
              <w:left w:val="nil"/>
              <w:bottom w:val="single" w:sz="4" w:space="0" w:color="000000"/>
              <w:right w:val="single" w:sz="4" w:space="0" w:color="000000"/>
            </w:tcBorders>
            <w:shd w:val="clear" w:color="auto" w:fill="auto"/>
            <w:vAlign w:val="center"/>
          </w:tcPr>
          <w:p w14:paraId="19003B58"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55.2</w:t>
            </w:r>
          </w:p>
        </w:tc>
        <w:tc>
          <w:tcPr>
            <w:tcW w:w="1153" w:type="dxa"/>
            <w:tcBorders>
              <w:top w:val="nil"/>
              <w:left w:val="nil"/>
              <w:bottom w:val="single" w:sz="4" w:space="0" w:color="000000"/>
              <w:right w:val="single" w:sz="4" w:space="0" w:color="000000"/>
            </w:tcBorders>
            <w:shd w:val="clear" w:color="auto" w:fill="auto"/>
            <w:vAlign w:val="center"/>
          </w:tcPr>
          <w:p w14:paraId="38F158E4" w14:textId="77777777" w:rsidR="00027FBF" w:rsidRPr="00A83C94" w:rsidRDefault="00027FBF" w:rsidP="00027FBF">
            <w:pPr>
              <w:spacing w:before="0" w:line="276" w:lineRule="auto"/>
              <w:ind w:firstLine="0"/>
              <w:jc w:val="center"/>
              <w:rPr>
                <w:rFonts w:eastAsia="Times New Roman" w:cs="Arial"/>
                <w:b w:val="0"/>
                <w:bCs/>
                <w:sz w:val="20"/>
                <w:szCs w:val="20"/>
              </w:rPr>
            </w:pPr>
            <w:r w:rsidRPr="00A83C94">
              <w:rPr>
                <w:b w:val="0"/>
                <w:color w:val="000000"/>
                <w:sz w:val="20"/>
              </w:rPr>
              <w:t>39.7</w:t>
            </w:r>
          </w:p>
        </w:tc>
        <w:tc>
          <w:tcPr>
            <w:tcW w:w="1134" w:type="dxa"/>
            <w:shd w:val="clear" w:color="auto" w:fill="D9E2F3"/>
          </w:tcPr>
          <w:p w14:paraId="1DEBE5F7"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42.2</w:t>
            </w:r>
          </w:p>
        </w:tc>
        <w:tc>
          <w:tcPr>
            <w:tcW w:w="1281" w:type="dxa"/>
            <w:shd w:val="clear" w:color="auto" w:fill="D9E2F3"/>
          </w:tcPr>
          <w:p w14:paraId="7DE204FA"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45.4</w:t>
            </w:r>
          </w:p>
        </w:tc>
      </w:tr>
      <w:tr w:rsidR="00027FBF" w:rsidRPr="00A83C94" w14:paraId="5BF9B86E" w14:textId="77777777" w:rsidTr="00027FBF">
        <w:trPr>
          <w:trHeight w:val="258"/>
        </w:trPr>
        <w:tc>
          <w:tcPr>
            <w:tcW w:w="3510" w:type="dxa"/>
            <w:shd w:val="clear" w:color="auto" w:fill="auto"/>
          </w:tcPr>
          <w:p w14:paraId="26CCD5A7"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Դրամական փոխանցումներ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D3A3E"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9.1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1201672"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8.4</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3709D68D" w14:textId="77777777" w:rsidR="00027FBF" w:rsidRPr="00A83C94" w:rsidRDefault="00027FBF" w:rsidP="00027FBF">
            <w:pPr>
              <w:spacing w:before="0" w:line="276" w:lineRule="auto"/>
              <w:ind w:firstLine="0"/>
              <w:jc w:val="center"/>
              <w:rPr>
                <w:rFonts w:eastAsia="Times New Roman" w:cs="Arial"/>
                <w:b w:val="0"/>
                <w:bCs/>
                <w:sz w:val="20"/>
                <w:szCs w:val="20"/>
              </w:rPr>
            </w:pPr>
            <w:r w:rsidRPr="00A83C94">
              <w:rPr>
                <w:b w:val="0"/>
                <w:color w:val="000000"/>
                <w:sz w:val="20"/>
              </w:rPr>
              <w:t>8.2</w:t>
            </w:r>
          </w:p>
        </w:tc>
        <w:tc>
          <w:tcPr>
            <w:tcW w:w="1134" w:type="dxa"/>
            <w:shd w:val="clear" w:color="auto" w:fill="D9E2F3"/>
          </w:tcPr>
          <w:p w14:paraId="0F78AF79"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10.1</w:t>
            </w:r>
          </w:p>
        </w:tc>
        <w:tc>
          <w:tcPr>
            <w:tcW w:w="1281" w:type="dxa"/>
            <w:shd w:val="clear" w:color="auto" w:fill="D9E2F3"/>
          </w:tcPr>
          <w:p w14:paraId="23F07D0A"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9.6</w:t>
            </w:r>
          </w:p>
        </w:tc>
      </w:tr>
    </w:tbl>
    <w:p w14:paraId="16253EF6" w14:textId="77777777" w:rsidR="00027FBF" w:rsidRPr="00A83C94" w:rsidRDefault="00027FBF" w:rsidP="00027FBF">
      <w:pPr>
        <w:tabs>
          <w:tab w:val="right" w:pos="0"/>
        </w:tabs>
        <w:spacing w:before="0" w:line="276" w:lineRule="auto"/>
        <w:rPr>
          <w:rFonts w:cs="Times Armenian"/>
          <w:bCs/>
          <w:szCs w:val="22"/>
          <w:lang w:val="en-US"/>
        </w:rPr>
      </w:pPr>
    </w:p>
    <w:p w14:paraId="2DED2588" w14:textId="77777777" w:rsidR="00027FBF" w:rsidRPr="00A83C94" w:rsidRDefault="00027FBF" w:rsidP="00027FBF">
      <w:pPr>
        <w:keepNext/>
        <w:keepLines/>
        <w:spacing w:before="0" w:line="276" w:lineRule="auto"/>
        <w:outlineLvl w:val="2"/>
        <w:rPr>
          <w:b w:val="0"/>
          <w:bCs/>
          <w:color w:val="1F497D"/>
          <w:sz w:val="28"/>
          <w:szCs w:val="28"/>
          <w:lang w:val="hy-AM"/>
        </w:rPr>
      </w:pPr>
    </w:p>
    <w:p w14:paraId="7DC594CA" w14:textId="77777777" w:rsidR="00027FBF" w:rsidRPr="00A83C94" w:rsidRDefault="00027FBF" w:rsidP="00027FBF">
      <w:pPr>
        <w:keepNext/>
        <w:keepLines/>
        <w:spacing w:before="0" w:line="276" w:lineRule="auto"/>
        <w:outlineLvl w:val="2"/>
        <w:rPr>
          <w:b w:val="0"/>
          <w:bCs/>
          <w:color w:val="1F497D"/>
          <w:sz w:val="28"/>
          <w:szCs w:val="28"/>
          <w:lang w:val="hy-AM"/>
        </w:rPr>
      </w:pPr>
    </w:p>
    <w:p w14:paraId="1FEA070A" w14:textId="77777777" w:rsidR="00027FBF" w:rsidRPr="00A83C94" w:rsidRDefault="00027FBF" w:rsidP="00027FBF">
      <w:pPr>
        <w:spacing w:before="0" w:line="259" w:lineRule="auto"/>
        <w:rPr>
          <w:b w:val="0"/>
          <w:bCs/>
          <w:color w:val="1F497D"/>
          <w:sz w:val="28"/>
          <w:szCs w:val="28"/>
          <w:lang w:val="hy-AM"/>
        </w:rPr>
      </w:pPr>
      <w:r w:rsidRPr="00A83C94">
        <w:rPr>
          <w:bCs/>
          <w:color w:val="1F497D"/>
          <w:sz w:val="28"/>
          <w:szCs w:val="28"/>
          <w:lang w:val="hy-AM"/>
        </w:rPr>
        <w:br w:type="page"/>
      </w:r>
    </w:p>
    <w:p w14:paraId="701CD5A2" w14:textId="77777777" w:rsidR="00027FBF" w:rsidRPr="00A83C94" w:rsidRDefault="00027FBF" w:rsidP="00027FBF">
      <w:pPr>
        <w:keepNext/>
        <w:keepLines/>
        <w:spacing w:before="0" w:line="276" w:lineRule="auto"/>
        <w:outlineLvl w:val="2"/>
        <w:rPr>
          <w:bCs/>
          <w:sz w:val="24"/>
          <w:lang w:val="hy-AM"/>
        </w:rPr>
      </w:pPr>
      <w:bookmarkStart w:id="15" w:name="_Toc51947413"/>
      <w:bookmarkStart w:id="16" w:name="_Toc52452086"/>
      <w:bookmarkStart w:id="17" w:name="_Toc57559413"/>
      <w:bookmarkStart w:id="18" w:name="_Toc83663895"/>
      <w:bookmarkStart w:id="19" w:name="_Toc83972831"/>
      <w:bookmarkStart w:id="20" w:name="_Toc89428286"/>
      <w:r w:rsidRPr="00A83C94">
        <w:rPr>
          <w:bCs/>
          <w:sz w:val="24"/>
          <w:lang w:val="hy-AM"/>
        </w:rPr>
        <w:lastRenderedPageBreak/>
        <w:t>1.2. ՀԱՄԱՇԽԱՐՀԱՅԻՆ ՏՆՏԵՍՈՒԹՅԱՆ ԵՎ ԳՈՐԾԸՆԿԵՐ ԵՐԿՐՆԵՐԻ ԶԱՐԳԱՑՈՒՄՆԵՐ ԵՎ ԿԱՆԽԱՏԵՍՈՒՄՆԵՐ</w:t>
      </w:r>
      <w:bookmarkEnd w:id="15"/>
      <w:bookmarkEnd w:id="16"/>
      <w:bookmarkEnd w:id="17"/>
      <w:bookmarkEnd w:id="18"/>
      <w:bookmarkEnd w:id="19"/>
      <w:bookmarkEnd w:id="20"/>
    </w:p>
    <w:p w14:paraId="1D3CA13D" w14:textId="77777777" w:rsidR="00027FBF" w:rsidRPr="00A83C94" w:rsidRDefault="00027FBF" w:rsidP="00027FBF">
      <w:pPr>
        <w:spacing w:before="0" w:line="276" w:lineRule="auto"/>
        <w:rPr>
          <w:rFonts w:cs="Sylfaen"/>
          <w:b w:val="0"/>
          <w:szCs w:val="22"/>
          <w:lang w:val="hy-AM"/>
        </w:rPr>
      </w:pPr>
      <w:r w:rsidRPr="00A83C94">
        <w:rPr>
          <w:rFonts w:eastAsia="Calibri"/>
          <w:bCs/>
          <w:lang w:val="hy-AM"/>
        </w:rPr>
        <w:t>Համաշխարհային տնտեսությունը՝ կորոնավիրուսի համավարակի հետևանքով առաջացած խորը անկումից հետո, արագ վերականգնվում է:</w:t>
      </w:r>
      <w:r w:rsidRPr="00A83C94">
        <w:rPr>
          <w:rFonts w:eastAsia="Calibri"/>
          <w:lang w:val="hy-AM"/>
        </w:rPr>
        <w:t xml:space="preserve"> </w:t>
      </w:r>
      <w:r w:rsidRPr="00A83C94">
        <w:rPr>
          <w:rFonts w:cs="Courier New"/>
          <w:b w:val="0"/>
          <w:lang w:val="hy-AM"/>
        </w:rPr>
        <w:t xml:space="preserve">Տնտեսական ակտիվության աճի սպասումները ամրապնդվել են՝ շնորհիվ պատվաստանյութերի առկայության և որոշ խոշոր երկրներում լրացուցիչ օժանդակության միջոցառումների։ </w:t>
      </w:r>
      <w:r w:rsidRPr="00A83C94">
        <w:rPr>
          <w:rFonts w:cs="Courier New"/>
          <w:b w:val="0"/>
          <w:szCs w:val="22"/>
          <w:lang w:val="hy-AM"/>
        </w:rPr>
        <w:t>Այդուհանդերձ, ե</w:t>
      </w:r>
      <w:r w:rsidRPr="00A83C94">
        <w:rPr>
          <w:rFonts w:cs="Sylfaen"/>
          <w:b w:val="0"/>
          <w:lang w:val="hy-AM"/>
        </w:rPr>
        <w:t xml:space="preserve">րկրների </w:t>
      </w:r>
      <w:r w:rsidRPr="00A83C94">
        <w:rPr>
          <w:rFonts w:cs="Courier New"/>
          <w:b w:val="0"/>
          <w:lang w:val="hy-AM"/>
        </w:rPr>
        <w:t xml:space="preserve">տնտեսական հեռանկարները զգալի տարբերվում են՝ կախված պատվաստանյութերի հասանելիության աստիճանից և կիրառման ընթացքից։ </w:t>
      </w:r>
      <w:r w:rsidRPr="00A83C94">
        <w:rPr>
          <w:rFonts w:cs="Sylfaen"/>
          <w:b w:val="0"/>
          <w:lang w:val="hy-AM"/>
        </w:rPr>
        <w:t>ԱՄՀ-ի</w:t>
      </w:r>
      <w:r w:rsidRPr="00A83C94">
        <w:rPr>
          <w:rFonts w:cs="Courier New"/>
          <w:b w:val="0"/>
          <w:lang w:val="hy-AM"/>
        </w:rPr>
        <w:t xml:space="preserve"> հուլիսի </w:t>
      </w:r>
      <w:r w:rsidRPr="00A83C94">
        <w:rPr>
          <w:rFonts w:cs="Sylfaen"/>
          <w:b w:val="0"/>
          <w:lang w:val="hy-AM"/>
        </w:rPr>
        <w:t xml:space="preserve">գնահատականներով </w:t>
      </w:r>
      <w:r w:rsidRPr="00A83C94">
        <w:rPr>
          <w:rFonts w:cs="Courier New"/>
          <w:b w:val="0"/>
          <w:lang w:val="hy-AM"/>
        </w:rPr>
        <w:t>2021թ. համաշխարհային տնտեսական աճը կ</w:t>
      </w:r>
      <w:r w:rsidRPr="00A83C94">
        <w:rPr>
          <w:rFonts w:cs="Sylfaen"/>
          <w:b w:val="0"/>
          <w:lang w:val="hy-AM"/>
        </w:rPr>
        <w:t>կազմի 6.0%, իսկ հաջորդ տարի</w:t>
      </w:r>
      <w:r w:rsidRPr="00A83C94">
        <w:rPr>
          <w:rFonts w:ascii="Cambria Math" w:hAnsi="Cambria Math" w:cs="Cambria Math"/>
          <w:b w:val="0"/>
          <w:lang w:val="hy-AM"/>
        </w:rPr>
        <w:t xml:space="preserve">՝ </w:t>
      </w:r>
      <w:r w:rsidRPr="00A83C94">
        <w:rPr>
          <w:rFonts w:cs="Sylfaen"/>
          <w:b w:val="0"/>
          <w:szCs w:val="22"/>
          <w:lang w:val="hy-AM"/>
        </w:rPr>
        <w:t>4.9%, ընդ որում, 2022թ</w:t>
      </w:r>
      <w:r w:rsidRPr="00A83C94">
        <w:rPr>
          <w:rFonts w:ascii="Cambria Math" w:hAnsi="Cambria Math" w:cs="Cambria Math"/>
          <w:b w:val="0"/>
          <w:szCs w:val="22"/>
          <w:lang w:val="hy-AM"/>
        </w:rPr>
        <w:t>․</w:t>
      </w:r>
      <w:r w:rsidRPr="00A83C94">
        <w:rPr>
          <w:rFonts w:cs="Sylfaen"/>
          <w:b w:val="0"/>
          <w:szCs w:val="22"/>
          <w:lang w:val="hy-AM"/>
        </w:rPr>
        <w:t xml:space="preserve"> ցուցանիշը ապրիլի կանխատեսումների համեմատ վերանայվել է դրական ուղղությամբ՝ պայմանավորված շատ երկրների սպասվածից ավելի լավ զարգացումներով: </w:t>
      </w:r>
      <w:r w:rsidRPr="00A83C94">
        <w:rPr>
          <w:rFonts w:cs="Courier New"/>
          <w:b w:val="0"/>
          <w:szCs w:val="22"/>
          <w:lang w:val="hy-AM"/>
        </w:rPr>
        <w:t>Հ</w:t>
      </w:r>
      <w:r w:rsidRPr="00A83C94">
        <w:rPr>
          <w:rFonts w:cs="Sylfaen"/>
          <w:b w:val="0"/>
          <w:szCs w:val="22"/>
          <w:lang w:val="hy-AM"/>
        </w:rPr>
        <w:t>ամաձայն ԱՄՀ-ի</w:t>
      </w:r>
      <w:r w:rsidRPr="00A83C94">
        <w:rPr>
          <w:rFonts w:cs="Courier New"/>
          <w:b w:val="0"/>
          <w:szCs w:val="22"/>
          <w:lang w:val="hy-AM"/>
        </w:rPr>
        <w:t xml:space="preserve"> հուլիսի </w:t>
      </w:r>
      <w:r w:rsidRPr="00A83C94">
        <w:rPr>
          <w:rFonts w:cs="Sylfaen"/>
          <w:b w:val="0"/>
          <w:szCs w:val="22"/>
          <w:lang w:val="hy-AM"/>
        </w:rPr>
        <w:t xml:space="preserve">գնահատականների </w:t>
      </w:r>
      <w:r w:rsidRPr="00A83C94">
        <w:rPr>
          <w:rFonts w:cs="Courier New"/>
          <w:b w:val="0"/>
          <w:szCs w:val="22"/>
          <w:lang w:val="hy-AM"/>
        </w:rPr>
        <w:t>2021թ. ՀՀ հիմնական գործընկեր երկրներից</w:t>
      </w:r>
      <w:r w:rsidRPr="00A83C94">
        <w:rPr>
          <w:rFonts w:ascii="Cambria Math" w:hAnsi="Cambria Math" w:cs="Cambria Math"/>
          <w:b w:val="0"/>
          <w:szCs w:val="22"/>
          <w:lang w:val="hy-AM"/>
        </w:rPr>
        <w:t>․</w:t>
      </w:r>
      <w:r w:rsidRPr="00A83C94">
        <w:rPr>
          <w:rFonts w:cs="Courier New"/>
          <w:b w:val="0"/>
          <w:szCs w:val="22"/>
          <w:lang w:val="hy-AM"/>
        </w:rPr>
        <w:t xml:space="preserve"> ՌԴ-ում կանխատեսվում է 4.4%, Եվրոգոտում՝ 4.6, ԱՄՆ-ում՝ 7.0, իսկ Չինաստանում՝ 8.1% աճ: Այդուհանդերձ, հ</w:t>
      </w:r>
      <w:r w:rsidRPr="00A83C94">
        <w:rPr>
          <w:rFonts w:eastAsia="Calibri" w:cs="Sylfaen"/>
          <w:b w:val="0"/>
          <w:szCs w:val="22"/>
          <w:lang w:val="hy-AM"/>
        </w:rPr>
        <w:t>ամավարակի հետ կապված անորոշությունները և իրավիճակի վատթարացման ռիսկերը պահպանվում են</w:t>
      </w:r>
      <w:r w:rsidRPr="00A83C94">
        <w:rPr>
          <w:rFonts w:cs="Sylfaen"/>
          <w:b w:val="0"/>
          <w:szCs w:val="22"/>
          <w:lang w:val="hy-AM"/>
        </w:rPr>
        <w:t>։</w:t>
      </w:r>
    </w:p>
    <w:p w14:paraId="3A025E87" w14:textId="77777777" w:rsidR="00027FBF" w:rsidRPr="00A83C94" w:rsidRDefault="00027FBF" w:rsidP="00027FBF">
      <w:pPr>
        <w:spacing w:before="0" w:line="276" w:lineRule="auto"/>
        <w:rPr>
          <w:rFonts w:cs="Sylfaen"/>
          <w:b w:val="0"/>
          <w:szCs w:val="22"/>
          <w:lang w:val="hy-AM"/>
        </w:rPr>
      </w:pPr>
    </w:p>
    <w:p w14:paraId="07F131D2" w14:textId="77777777" w:rsidR="00027FBF" w:rsidRPr="00A83C94" w:rsidRDefault="00027FBF" w:rsidP="00027FBF">
      <w:pPr>
        <w:keepNext/>
        <w:keepLines/>
        <w:spacing w:before="0" w:line="276" w:lineRule="auto"/>
        <w:rPr>
          <w:rFonts w:cs="Sylfaen"/>
          <w:b w:val="0"/>
          <w:bCs/>
          <w:i/>
          <w:color w:val="000000"/>
          <w:szCs w:val="22"/>
          <w:lang w:val="hy-AM"/>
        </w:rPr>
      </w:pPr>
      <w:r w:rsidRPr="00A83C94">
        <w:rPr>
          <w:rFonts w:cs="Sylfaen"/>
          <w:bCs/>
          <w:i/>
          <w:color w:val="000000"/>
          <w:szCs w:val="22"/>
          <w:lang w:val="hy-AM"/>
        </w:rPr>
        <w:t xml:space="preserve">Աղյուսակ 1.2. </w:t>
      </w:r>
      <w:r w:rsidRPr="00A83C94">
        <w:rPr>
          <w:rFonts w:cs="Sylfaen"/>
          <w:b w:val="0"/>
          <w:bCs/>
          <w:i/>
          <w:color w:val="000000"/>
          <w:szCs w:val="22"/>
          <w:lang w:val="hy-AM"/>
        </w:rPr>
        <w:t>ԱՄՀ կանխատեսումներ</w:t>
      </w:r>
    </w:p>
    <w:tbl>
      <w:tblPr>
        <w:tblpPr w:leftFromText="180" w:rightFromText="180" w:bottomFromText="160" w:vertAnchor="text" w:horzAnchor="margin" w:tblpY="40"/>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111"/>
        <w:gridCol w:w="829"/>
        <w:gridCol w:w="1229"/>
        <w:gridCol w:w="1007"/>
        <w:gridCol w:w="1000"/>
        <w:gridCol w:w="1147"/>
        <w:gridCol w:w="1007"/>
        <w:gridCol w:w="1416"/>
      </w:tblGrid>
      <w:tr w:rsidR="00027FBF" w:rsidRPr="00A83C94" w14:paraId="0E33D08E" w14:textId="77777777" w:rsidTr="00027FBF">
        <w:trPr>
          <w:trHeight w:val="503"/>
        </w:trPr>
        <w:tc>
          <w:tcPr>
            <w:tcW w:w="0" w:type="auto"/>
            <w:tcBorders>
              <w:top w:val="single" w:sz="4" w:space="0" w:color="8EAADB"/>
              <w:left w:val="single" w:sz="4" w:space="0" w:color="8EAADB"/>
              <w:bottom w:val="single" w:sz="4" w:space="0" w:color="8EAADB"/>
              <w:right w:val="single" w:sz="4" w:space="0" w:color="8EAADB"/>
            </w:tcBorders>
            <w:shd w:val="clear" w:color="auto" w:fill="0070C0"/>
            <w:vAlign w:val="center"/>
          </w:tcPr>
          <w:p w14:paraId="4B10F16C" w14:textId="77777777" w:rsidR="00027FBF" w:rsidRPr="00A83C94" w:rsidRDefault="00027FBF" w:rsidP="00027FBF">
            <w:pPr>
              <w:spacing w:before="0" w:line="276" w:lineRule="auto"/>
              <w:jc w:val="center"/>
              <w:rPr>
                <w:rFonts w:eastAsia="Calibri" w:cs="Sylfaen"/>
                <w:b w:val="0"/>
                <w:bCs/>
                <w:color w:val="FFFFFF" w:themeColor="background1"/>
                <w:sz w:val="16"/>
                <w:szCs w:val="16"/>
                <w:lang w:val="hy-AM"/>
              </w:rPr>
            </w:pPr>
          </w:p>
        </w:tc>
        <w:tc>
          <w:tcPr>
            <w:tcW w:w="0" w:type="auto"/>
            <w:tcBorders>
              <w:top w:val="single" w:sz="4" w:space="0" w:color="8EAADB"/>
              <w:left w:val="single" w:sz="4" w:space="0" w:color="8EAADB"/>
              <w:bottom w:val="single" w:sz="4" w:space="0" w:color="8EAADB"/>
              <w:right w:val="single" w:sz="4" w:space="0" w:color="8EAADB"/>
            </w:tcBorders>
            <w:shd w:val="clear" w:color="auto" w:fill="0070C0"/>
            <w:vAlign w:val="center"/>
          </w:tcPr>
          <w:p w14:paraId="640A958C" w14:textId="77777777" w:rsidR="00027FBF" w:rsidRPr="00A83C94" w:rsidRDefault="00027FBF" w:rsidP="00027FBF">
            <w:pPr>
              <w:spacing w:before="0" w:line="276" w:lineRule="auto"/>
              <w:ind w:right="-14" w:firstLine="0"/>
              <w:jc w:val="center"/>
              <w:rPr>
                <w:rFonts w:eastAsia="Calibri"/>
                <w:bCs/>
                <w:color w:val="FFFFFF" w:themeColor="background1"/>
                <w:sz w:val="20"/>
                <w:szCs w:val="20"/>
                <w:lang w:val="hy-AM"/>
              </w:rPr>
            </w:pPr>
            <w:r w:rsidRPr="00A83C94">
              <w:rPr>
                <w:rFonts w:eastAsia="Calibri"/>
                <w:bCs/>
                <w:color w:val="FFFFFF" w:themeColor="background1"/>
                <w:sz w:val="20"/>
                <w:szCs w:val="20"/>
                <w:lang w:val="hy-AM"/>
              </w:rPr>
              <w:t>2020</w:t>
            </w:r>
          </w:p>
        </w:tc>
        <w:tc>
          <w:tcPr>
            <w:tcW w:w="0" w:type="auto"/>
            <w:gridSpan w:val="3"/>
            <w:tcBorders>
              <w:top w:val="single" w:sz="4" w:space="0" w:color="8EAADB"/>
              <w:left w:val="single" w:sz="4" w:space="0" w:color="8EAADB"/>
              <w:bottom w:val="single" w:sz="4" w:space="0" w:color="8EAADB"/>
              <w:right w:val="single" w:sz="4" w:space="0" w:color="8EAADB"/>
            </w:tcBorders>
            <w:shd w:val="clear" w:color="auto" w:fill="0070C0"/>
            <w:vAlign w:val="center"/>
          </w:tcPr>
          <w:p w14:paraId="0518097C" w14:textId="77777777" w:rsidR="00027FBF" w:rsidRPr="00A83C94" w:rsidRDefault="00027FBF" w:rsidP="00027FBF">
            <w:pPr>
              <w:spacing w:before="0" w:line="276" w:lineRule="auto"/>
              <w:ind w:right="-14" w:firstLine="0"/>
              <w:jc w:val="center"/>
              <w:rPr>
                <w:rFonts w:eastAsia="Calibri"/>
                <w:b w:val="0"/>
                <w:color w:val="FFFFFF" w:themeColor="background1"/>
                <w:sz w:val="20"/>
                <w:szCs w:val="20"/>
                <w:lang w:val="hy-AM"/>
              </w:rPr>
            </w:pPr>
            <w:r w:rsidRPr="00A83C94">
              <w:rPr>
                <w:rFonts w:eastAsia="Calibri"/>
                <w:bCs/>
                <w:color w:val="FFFFFF" w:themeColor="background1"/>
                <w:sz w:val="20"/>
                <w:szCs w:val="20"/>
                <w:lang w:val="hy-AM"/>
              </w:rPr>
              <w:t>2021թ</w:t>
            </w:r>
            <w:r w:rsidRPr="00A83C94">
              <w:rPr>
                <w:rFonts w:ascii="Cambria Math" w:eastAsia="Calibri" w:hAnsi="Cambria Math" w:cs="Cambria Math"/>
                <w:bCs/>
                <w:color w:val="FFFFFF" w:themeColor="background1"/>
                <w:sz w:val="20"/>
                <w:szCs w:val="20"/>
                <w:lang w:val="hy-AM"/>
              </w:rPr>
              <w:t>․</w:t>
            </w:r>
            <w:r w:rsidRPr="00A83C94">
              <w:rPr>
                <w:rFonts w:eastAsia="Calibri"/>
                <w:bCs/>
                <w:color w:val="FFFFFF" w:themeColor="background1"/>
                <w:sz w:val="20"/>
                <w:szCs w:val="20"/>
                <w:lang w:val="hy-AM"/>
              </w:rPr>
              <w:t>-ի կանխատեսում</w:t>
            </w:r>
          </w:p>
        </w:tc>
        <w:tc>
          <w:tcPr>
            <w:tcW w:w="3627" w:type="dxa"/>
            <w:gridSpan w:val="3"/>
            <w:tcBorders>
              <w:top w:val="single" w:sz="4" w:space="0" w:color="8EAADB"/>
              <w:left w:val="single" w:sz="4" w:space="0" w:color="8EAADB"/>
              <w:bottom w:val="single" w:sz="4" w:space="0" w:color="8EAADB"/>
              <w:right w:val="single" w:sz="4" w:space="0" w:color="8EAADB"/>
            </w:tcBorders>
            <w:shd w:val="clear" w:color="auto" w:fill="0070C0"/>
            <w:vAlign w:val="center"/>
          </w:tcPr>
          <w:p w14:paraId="06308390" w14:textId="77777777" w:rsidR="00027FBF" w:rsidRPr="00A83C94" w:rsidRDefault="00027FBF" w:rsidP="00027FBF">
            <w:pPr>
              <w:spacing w:before="0" w:after="200" w:line="276" w:lineRule="auto"/>
              <w:ind w:right="-14" w:firstLine="0"/>
              <w:jc w:val="center"/>
              <w:rPr>
                <w:rFonts w:eastAsia="Calibri"/>
                <w:b w:val="0"/>
                <w:color w:val="FFFFFF" w:themeColor="background1"/>
                <w:sz w:val="20"/>
                <w:szCs w:val="20"/>
                <w:lang w:val="hy-AM"/>
              </w:rPr>
            </w:pPr>
            <w:r w:rsidRPr="00A83C94">
              <w:rPr>
                <w:rFonts w:eastAsia="Calibri"/>
                <w:bCs/>
                <w:color w:val="FFFFFF" w:themeColor="background1"/>
                <w:sz w:val="20"/>
                <w:szCs w:val="20"/>
                <w:lang w:val="hy-AM"/>
              </w:rPr>
              <w:t xml:space="preserve">2022 թ.-ի </w:t>
            </w:r>
            <w:r w:rsidRPr="00A83C94">
              <w:rPr>
                <w:rFonts w:eastAsia="Calibri"/>
                <w:bCs/>
                <w:color w:val="FFFFFF" w:themeColor="background1"/>
                <w:sz w:val="20"/>
                <w:szCs w:val="20"/>
                <w:lang w:val="en-US"/>
              </w:rPr>
              <w:t xml:space="preserve">                                        </w:t>
            </w:r>
            <w:r w:rsidRPr="00A83C94">
              <w:rPr>
                <w:rFonts w:eastAsia="Calibri"/>
                <w:bCs/>
                <w:color w:val="FFFFFF" w:themeColor="background1"/>
                <w:sz w:val="20"/>
                <w:szCs w:val="20"/>
                <w:lang w:val="hy-AM"/>
              </w:rPr>
              <w:t>կանխատեսում</w:t>
            </w:r>
          </w:p>
        </w:tc>
      </w:tr>
      <w:tr w:rsidR="00027FBF" w:rsidRPr="00A83C94" w14:paraId="6BDB0B22" w14:textId="77777777" w:rsidTr="00027FBF">
        <w:trPr>
          <w:trHeight w:val="503"/>
        </w:trPr>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tcPr>
          <w:p w14:paraId="74D495A0" w14:textId="77777777" w:rsidR="00027FBF" w:rsidRPr="00A83C94" w:rsidRDefault="00027FBF" w:rsidP="00027FBF">
            <w:pPr>
              <w:spacing w:before="0" w:line="276" w:lineRule="auto"/>
              <w:jc w:val="center"/>
              <w:rPr>
                <w:rFonts w:eastAsia="Calibri" w:cs="Sylfaen"/>
                <w:b w:val="0"/>
                <w:bCs/>
                <w:sz w:val="16"/>
                <w:szCs w:val="16"/>
                <w:lang w:val="hy-AM"/>
              </w:rPr>
            </w:pP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1A7D0441" w14:textId="77777777" w:rsidR="00027FBF" w:rsidRPr="00A83C94" w:rsidRDefault="00027FBF" w:rsidP="00027FBF">
            <w:pPr>
              <w:spacing w:before="0" w:line="276" w:lineRule="auto"/>
              <w:ind w:firstLine="0"/>
              <w:jc w:val="center"/>
              <w:rPr>
                <w:rFonts w:eastAsia="Calibri"/>
                <w:b w:val="0"/>
                <w:sz w:val="20"/>
                <w:szCs w:val="20"/>
                <w:lang w:val="hy-AM"/>
              </w:rPr>
            </w:pPr>
            <w:r w:rsidRPr="00A83C94">
              <w:rPr>
                <w:rFonts w:eastAsia="Calibri"/>
                <w:b w:val="0"/>
                <w:sz w:val="20"/>
                <w:szCs w:val="20"/>
                <w:lang w:val="hy-AM"/>
              </w:rPr>
              <w:t>Փաստ</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4918DF18" w14:textId="77777777" w:rsidR="00027FBF" w:rsidRPr="00A83C94" w:rsidRDefault="00027FBF" w:rsidP="00027FBF">
            <w:pPr>
              <w:spacing w:before="0" w:line="276" w:lineRule="auto"/>
              <w:ind w:firstLine="0"/>
              <w:jc w:val="center"/>
              <w:rPr>
                <w:rFonts w:eastAsia="Calibri"/>
                <w:b w:val="0"/>
                <w:sz w:val="20"/>
                <w:szCs w:val="20"/>
                <w:lang w:val="hy-AM"/>
              </w:rPr>
            </w:pPr>
            <w:r w:rsidRPr="00A83C94">
              <w:rPr>
                <w:rFonts w:eastAsia="Calibri"/>
                <w:b w:val="0"/>
                <w:sz w:val="20"/>
                <w:szCs w:val="20"/>
                <w:lang w:val="hy-AM"/>
              </w:rPr>
              <w:t>202</w:t>
            </w:r>
            <w:r w:rsidRPr="00A83C94">
              <w:rPr>
                <w:rFonts w:eastAsia="Calibri"/>
                <w:b w:val="0"/>
                <w:sz w:val="20"/>
                <w:szCs w:val="20"/>
                <w:lang w:val="en-US"/>
              </w:rPr>
              <w:t>1</w:t>
            </w:r>
            <w:r w:rsidRPr="00A83C94">
              <w:rPr>
                <w:rFonts w:eastAsia="Calibri"/>
                <w:b w:val="0"/>
                <w:sz w:val="20"/>
                <w:szCs w:val="20"/>
                <w:lang w:val="hy-AM"/>
              </w:rPr>
              <w:t xml:space="preserve"> Հունվար</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5A337F5F" w14:textId="77777777" w:rsidR="00027FBF" w:rsidRPr="00A83C94" w:rsidRDefault="00027FBF" w:rsidP="00027FBF">
            <w:pPr>
              <w:spacing w:before="0" w:line="276" w:lineRule="auto"/>
              <w:ind w:firstLine="0"/>
              <w:jc w:val="center"/>
              <w:rPr>
                <w:rFonts w:eastAsia="Calibri"/>
                <w:b w:val="0"/>
                <w:sz w:val="20"/>
                <w:szCs w:val="20"/>
                <w:lang w:val="hy-AM"/>
              </w:rPr>
            </w:pPr>
            <w:r w:rsidRPr="00A83C94">
              <w:rPr>
                <w:rFonts w:eastAsia="Calibri"/>
                <w:b w:val="0"/>
                <w:sz w:val="20"/>
                <w:szCs w:val="20"/>
                <w:lang w:val="hy-AM"/>
              </w:rPr>
              <w:t>202</w:t>
            </w:r>
            <w:r w:rsidRPr="00A83C94">
              <w:rPr>
                <w:rFonts w:eastAsia="Calibri"/>
                <w:b w:val="0"/>
                <w:sz w:val="20"/>
                <w:szCs w:val="20"/>
                <w:lang w:val="en-US"/>
              </w:rPr>
              <w:t>1</w:t>
            </w:r>
            <w:r w:rsidRPr="00A83C94">
              <w:rPr>
                <w:rFonts w:eastAsia="Calibri"/>
                <w:b w:val="0"/>
                <w:sz w:val="20"/>
                <w:szCs w:val="20"/>
                <w:lang w:val="hy-AM"/>
              </w:rPr>
              <w:t xml:space="preserve"> Ապրիլ</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04AA4FAF"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hy-AM"/>
              </w:rPr>
              <w:t>202</w:t>
            </w:r>
            <w:r w:rsidRPr="00A83C94">
              <w:rPr>
                <w:rFonts w:eastAsia="Calibri"/>
                <w:b w:val="0"/>
                <w:sz w:val="20"/>
                <w:szCs w:val="20"/>
                <w:lang w:val="en-US"/>
              </w:rPr>
              <w:t>1</w:t>
            </w:r>
            <w:r w:rsidRPr="00A83C94">
              <w:rPr>
                <w:rFonts w:eastAsia="Calibri"/>
                <w:b w:val="0"/>
                <w:sz w:val="20"/>
                <w:szCs w:val="20"/>
                <w:lang w:val="hy-AM"/>
              </w:rPr>
              <w:t xml:space="preserve"> Հուլիս</w:t>
            </w:r>
          </w:p>
        </w:tc>
        <w:tc>
          <w:tcPr>
            <w:tcW w:w="114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14BF9CD5" w14:textId="77777777" w:rsidR="00027FBF" w:rsidRPr="00A83C94" w:rsidRDefault="00027FBF" w:rsidP="00027FBF">
            <w:pPr>
              <w:spacing w:before="0" w:line="276" w:lineRule="auto"/>
              <w:ind w:firstLine="0"/>
              <w:jc w:val="center"/>
              <w:rPr>
                <w:rFonts w:eastAsia="Calibri"/>
                <w:b w:val="0"/>
                <w:sz w:val="20"/>
                <w:szCs w:val="20"/>
                <w:lang w:val="hy-AM"/>
              </w:rPr>
            </w:pPr>
            <w:r w:rsidRPr="00A83C94">
              <w:rPr>
                <w:rFonts w:eastAsia="Calibri"/>
                <w:b w:val="0"/>
                <w:sz w:val="20"/>
                <w:szCs w:val="20"/>
                <w:lang w:val="hy-AM"/>
              </w:rPr>
              <w:t>202</w:t>
            </w:r>
            <w:r w:rsidRPr="00A83C94">
              <w:rPr>
                <w:rFonts w:eastAsia="Calibri"/>
                <w:b w:val="0"/>
                <w:sz w:val="20"/>
                <w:szCs w:val="20"/>
                <w:lang w:val="en-US"/>
              </w:rPr>
              <w:t>1</w:t>
            </w:r>
            <w:r w:rsidRPr="00A83C94">
              <w:rPr>
                <w:rFonts w:eastAsia="Calibri"/>
                <w:b w:val="0"/>
                <w:sz w:val="20"/>
                <w:szCs w:val="20"/>
                <w:lang w:val="hy-AM"/>
              </w:rPr>
              <w:t xml:space="preserve"> Հունվար</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15F049F5" w14:textId="77777777" w:rsidR="00027FBF" w:rsidRPr="00A83C94" w:rsidRDefault="00027FBF" w:rsidP="00027FBF">
            <w:pPr>
              <w:spacing w:before="0" w:line="276" w:lineRule="auto"/>
              <w:ind w:firstLine="0"/>
              <w:jc w:val="center"/>
              <w:rPr>
                <w:rFonts w:eastAsia="Calibri"/>
                <w:b w:val="0"/>
                <w:sz w:val="20"/>
                <w:szCs w:val="20"/>
                <w:lang w:val="hy-AM"/>
              </w:rPr>
            </w:pPr>
            <w:r w:rsidRPr="00A83C94">
              <w:rPr>
                <w:rFonts w:eastAsia="Calibri"/>
                <w:b w:val="0"/>
                <w:sz w:val="20"/>
                <w:szCs w:val="20"/>
                <w:lang w:val="hy-AM"/>
              </w:rPr>
              <w:t>2</w:t>
            </w:r>
            <w:r w:rsidRPr="00A83C94">
              <w:rPr>
                <w:rFonts w:eastAsia="Calibri"/>
                <w:b w:val="0"/>
                <w:sz w:val="20"/>
                <w:szCs w:val="20"/>
              </w:rPr>
              <w:t>02</w:t>
            </w:r>
            <w:r w:rsidRPr="00A83C94">
              <w:rPr>
                <w:rFonts w:eastAsia="Calibri"/>
                <w:b w:val="0"/>
                <w:sz w:val="20"/>
                <w:szCs w:val="20"/>
                <w:lang w:val="en-US"/>
              </w:rPr>
              <w:t>1</w:t>
            </w:r>
            <w:r w:rsidRPr="00A83C94">
              <w:rPr>
                <w:rFonts w:eastAsia="Calibri"/>
                <w:b w:val="0"/>
                <w:sz w:val="20"/>
                <w:szCs w:val="20"/>
              </w:rPr>
              <w:t xml:space="preserve"> Ապրիլ</w:t>
            </w:r>
          </w:p>
        </w:tc>
        <w:tc>
          <w:tcPr>
            <w:tcW w:w="1416"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3E5206C8" w14:textId="77777777" w:rsidR="00027FBF" w:rsidRPr="00A83C94" w:rsidRDefault="00027FBF" w:rsidP="00027FBF">
            <w:pPr>
              <w:spacing w:before="0" w:line="276" w:lineRule="auto"/>
              <w:ind w:right="-14" w:firstLine="0"/>
              <w:jc w:val="center"/>
              <w:rPr>
                <w:rFonts w:eastAsia="Calibri"/>
                <w:b w:val="0"/>
                <w:sz w:val="20"/>
                <w:szCs w:val="20"/>
              </w:rPr>
            </w:pPr>
            <w:r w:rsidRPr="00A83C94">
              <w:rPr>
                <w:rFonts w:eastAsia="Calibri"/>
                <w:b w:val="0"/>
                <w:sz w:val="20"/>
                <w:szCs w:val="20"/>
              </w:rPr>
              <w:t>202</w:t>
            </w:r>
            <w:r w:rsidRPr="00A83C94">
              <w:rPr>
                <w:rFonts w:eastAsia="Calibri"/>
                <w:b w:val="0"/>
                <w:sz w:val="20"/>
                <w:szCs w:val="20"/>
                <w:lang w:val="en-US"/>
              </w:rPr>
              <w:t xml:space="preserve">1 </w:t>
            </w:r>
            <w:r w:rsidRPr="00A83C94">
              <w:rPr>
                <w:rFonts w:eastAsia="Calibri"/>
                <w:b w:val="0"/>
                <w:sz w:val="20"/>
                <w:szCs w:val="20"/>
                <w:lang w:val="hy-AM"/>
              </w:rPr>
              <w:t xml:space="preserve">   </w:t>
            </w:r>
            <w:r w:rsidRPr="00A83C94">
              <w:rPr>
                <w:rFonts w:eastAsia="Calibri"/>
                <w:b w:val="0"/>
                <w:sz w:val="20"/>
                <w:szCs w:val="20"/>
              </w:rPr>
              <w:t>Հու</w:t>
            </w:r>
            <w:r w:rsidRPr="00A83C94">
              <w:rPr>
                <w:rFonts w:eastAsia="Calibri"/>
                <w:b w:val="0"/>
                <w:sz w:val="20"/>
                <w:szCs w:val="20"/>
                <w:lang w:val="hy-AM"/>
              </w:rPr>
              <w:t>լ</w:t>
            </w:r>
            <w:r w:rsidRPr="00A83C94">
              <w:rPr>
                <w:rFonts w:eastAsia="Calibri"/>
                <w:b w:val="0"/>
                <w:sz w:val="20"/>
                <w:szCs w:val="20"/>
              </w:rPr>
              <w:t>իս</w:t>
            </w:r>
          </w:p>
        </w:tc>
      </w:tr>
      <w:tr w:rsidR="00027FBF" w:rsidRPr="00A83C94" w14:paraId="6FF96632" w14:textId="77777777" w:rsidTr="00027FBF">
        <w:trPr>
          <w:trHeight w:val="14"/>
        </w:trPr>
        <w:tc>
          <w:tcPr>
            <w:tcW w:w="0" w:type="auto"/>
            <w:tcBorders>
              <w:top w:val="single" w:sz="4" w:space="0" w:color="8EAADB"/>
              <w:left w:val="single" w:sz="4" w:space="0" w:color="8EAADB"/>
              <w:bottom w:val="single" w:sz="4" w:space="0" w:color="8EAADB"/>
              <w:right w:val="single" w:sz="4" w:space="0" w:color="8EAADB"/>
            </w:tcBorders>
            <w:hideMark/>
          </w:tcPr>
          <w:p w14:paraId="4D470772" w14:textId="77777777" w:rsidR="00027FBF" w:rsidRPr="00A83C94" w:rsidRDefault="00027FBF" w:rsidP="00027FBF">
            <w:pPr>
              <w:spacing w:before="0" w:line="276" w:lineRule="auto"/>
              <w:ind w:firstLine="0"/>
              <w:jc w:val="left"/>
              <w:rPr>
                <w:rFonts w:eastAsia="Calibri" w:cs="Sylfaen"/>
                <w:b w:val="0"/>
                <w:bCs/>
                <w:sz w:val="16"/>
                <w:szCs w:val="16"/>
              </w:rPr>
            </w:pPr>
            <w:r w:rsidRPr="00A83C94">
              <w:rPr>
                <w:rFonts w:eastAsia="Calibri"/>
                <w:bCs/>
                <w:color w:val="000000"/>
                <w:sz w:val="16"/>
                <w:szCs w:val="16"/>
              </w:rPr>
              <w:t>Աշխարհ</w:t>
            </w:r>
            <w:r w:rsidRPr="00A83C94">
              <w:rPr>
                <w:rFonts w:eastAsia="Calibri"/>
                <w:bCs/>
                <w:color w:val="000000"/>
                <w:sz w:val="16"/>
                <w:szCs w:val="16"/>
                <w:lang w:val="hy-AM"/>
              </w:rPr>
              <w:t xml:space="preserve">ի տնտեսական աճ, </w:t>
            </w:r>
            <w:r w:rsidRPr="00A83C94">
              <w:rPr>
                <w:rFonts w:eastAsia="Calibri"/>
                <w:bCs/>
                <w:color w:val="000000"/>
                <w:sz w:val="16"/>
                <w:szCs w:val="16"/>
              </w:rPr>
              <w:t>%</w:t>
            </w:r>
          </w:p>
        </w:tc>
        <w:tc>
          <w:tcPr>
            <w:tcW w:w="0" w:type="auto"/>
            <w:tcBorders>
              <w:top w:val="single" w:sz="4" w:space="0" w:color="8EAADB"/>
              <w:left w:val="single" w:sz="4" w:space="0" w:color="8EAADB"/>
              <w:bottom w:val="single" w:sz="4" w:space="0" w:color="8EAADB"/>
              <w:right w:val="single" w:sz="4" w:space="0" w:color="8EAADB"/>
            </w:tcBorders>
            <w:hideMark/>
          </w:tcPr>
          <w:p w14:paraId="38F57010"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-3.2</w:t>
            </w:r>
          </w:p>
        </w:tc>
        <w:tc>
          <w:tcPr>
            <w:tcW w:w="0" w:type="auto"/>
            <w:tcBorders>
              <w:top w:val="single" w:sz="4" w:space="0" w:color="8EAADB"/>
              <w:left w:val="single" w:sz="4" w:space="0" w:color="8EAADB"/>
              <w:bottom w:val="single" w:sz="4" w:space="0" w:color="8EAADB"/>
              <w:right w:val="single" w:sz="4" w:space="0" w:color="8EAADB"/>
            </w:tcBorders>
            <w:hideMark/>
          </w:tcPr>
          <w:p w14:paraId="3AD8F2E0"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5.5</w:t>
            </w:r>
          </w:p>
        </w:tc>
        <w:tc>
          <w:tcPr>
            <w:tcW w:w="0" w:type="auto"/>
            <w:tcBorders>
              <w:top w:val="single" w:sz="4" w:space="0" w:color="8EAADB"/>
              <w:left w:val="single" w:sz="4" w:space="0" w:color="8EAADB"/>
              <w:bottom w:val="single" w:sz="4" w:space="0" w:color="8EAADB"/>
              <w:right w:val="single" w:sz="4" w:space="0" w:color="8EAADB"/>
            </w:tcBorders>
            <w:hideMark/>
          </w:tcPr>
          <w:p w14:paraId="2FEA45C8"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6.0</w:t>
            </w:r>
          </w:p>
        </w:tc>
        <w:tc>
          <w:tcPr>
            <w:tcW w:w="0" w:type="auto"/>
            <w:tcBorders>
              <w:top w:val="single" w:sz="4" w:space="0" w:color="8EAADB"/>
              <w:left w:val="single" w:sz="4" w:space="0" w:color="8EAADB"/>
              <w:bottom w:val="single" w:sz="4" w:space="0" w:color="8EAADB"/>
              <w:right w:val="single" w:sz="4" w:space="0" w:color="8EAADB"/>
            </w:tcBorders>
            <w:hideMark/>
          </w:tcPr>
          <w:p w14:paraId="4983CB4B"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6.0</w:t>
            </w:r>
          </w:p>
        </w:tc>
        <w:tc>
          <w:tcPr>
            <w:tcW w:w="1147" w:type="dxa"/>
            <w:tcBorders>
              <w:top w:val="single" w:sz="4" w:space="0" w:color="8EAADB"/>
              <w:left w:val="single" w:sz="4" w:space="0" w:color="8EAADB"/>
              <w:bottom w:val="single" w:sz="4" w:space="0" w:color="8EAADB"/>
              <w:right w:val="single" w:sz="4" w:space="0" w:color="8EAADB"/>
            </w:tcBorders>
            <w:hideMark/>
          </w:tcPr>
          <w:p w14:paraId="601ADA94"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4.2</w:t>
            </w:r>
          </w:p>
        </w:tc>
        <w:tc>
          <w:tcPr>
            <w:tcW w:w="0" w:type="auto"/>
            <w:tcBorders>
              <w:top w:val="single" w:sz="4" w:space="0" w:color="8EAADB"/>
              <w:left w:val="single" w:sz="4" w:space="0" w:color="8EAADB"/>
              <w:bottom w:val="single" w:sz="4" w:space="0" w:color="8EAADB"/>
              <w:right w:val="single" w:sz="4" w:space="0" w:color="8EAADB"/>
            </w:tcBorders>
            <w:hideMark/>
          </w:tcPr>
          <w:p w14:paraId="014053E9"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4.4</w:t>
            </w:r>
          </w:p>
        </w:tc>
        <w:tc>
          <w:tcPr>
            <w:tcW w:w="1416" w:type="dxa"/>
            <w:tcBorders>
              <w:top w:val="single" w:sz="4" w:space="0" w:color="8EAADB"/>
              <w:left w:val="single" w:sz="4" w:space="0" w:color="8EAADB"/>
              <w:bottom w:val="single" w:sz="4" w:space="0" w:color="8EAADB"/>
              <w:right w:val="single" w:sz="4" w:space="0" w:color="8EAADB"/>
            </w:tcBorders>
            <w:hideMark/>
          </w:tcPr>
          <w:p w14:paraId="1BDFB397"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4.9</w:t>
            </w:r>
          </w:p>
        </w:tc>
      </w:tr>
      <w:tr w:rsidR="00027FBF" w:rsidRPr="00A83C94" w14:paraId="5E4B8377" w14:textId="77777777" w:rsidTr="00027FBF">
        <w:trPr>
          <w:trHeight w:val="265"/>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4DD2764D" w14:textId="77777777" w:rsidR="00027FBF" w:rsidRPr="00A83C94" w:rsidRDefault="00027FBF" w:rsidP="00027FBF">
            <w:pPr>
              <w:spacing w:before="0" w:line="276" w:lineRule="auto"/>
              <w:ind w:firstLine="0"/>
              <w:jc w:val="left"/>
              <w:rPr>
                <w:rFonts w:eastAsia="Calibri" w:cs="Sylfaen"/>
                <w:b w:val="0"/>
                <w:bCs/>
                <w:sz w:val="16"/>
                <w:szCs w:val="16"/>
              </w:rPr>
            </w:pPr>
            <w:r w:rsidRPr="00A83C94">
              <w:rPr>
                <w:rFonts w:eastAsia="Calibri"/>
                <w:bCs/>
                <w:sz w:val="16"/>
                <w:szCs w:val="16"/>
              </w:rPr>
              <w:t>ՌԴ</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1E113A06"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-3.0</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15EBA7B0"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3.0</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C8CC490"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3.8</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F5D6F94"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4.4</w:t>
            </w:r>
          </w:p>
        </w:tc>
        <w:tc>
          <w:tcPr>
            <w:tcW w:w="1147" w:type="dxa"/>
            <w:tcBorders>
              <w:top w:val="single" w:sz="4" w:space="0" w:color="8EAADB"/>
              <w:left w:val="single" w:sz="4" w:space="0" w:color="8EAADB"/>
              <w:bottom w:val="single" w:sz="4" w:space="0" w:color="8EAADB"/>
              <w:right w:val="single" w:sz="4" w:space="0" w:color="8EAADB"/>
            </w:tcBorders>
            <w:shd w:val="clear" w:color="auto" w:fill="D9E2F3"/>
            <w:hideMark/>
          </w:tcPr>
          <w:p w14:paraId="0E8E3B23"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3.9</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17F744D"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3.8</w:t>
            </w:r>
          </w:p>
        </w:tc>
        <w:tc>
          <w:tcPr>
            <w:tcW w:w="1416" w:type="dxa"/>
            <w:tcBorders>
              <w:top w:val="single" w:sz="4" w:space="0" w:color="8EAADB"/>
              <w:left w:val="single" w:sz="4" w:space="0" w:color="8EAADB"/>
              <w:bottom w:val="single" w:sz="4" w:space="0" w:color="8EAADB"/>
              <w:right w:val="single" w:sz="4" w:space="0" w:color="8EAADB"/>
            </w:tcBorders>
            <w:shd w:val="clear" w:color="auto" w:fill="D9E2F3"/>
            <w:hideMark/>
          </w:tcPr>
          <w:p w14:paraId="119D657F"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3.1</w:t>
            </w:r>
          </w:p>
        </w:tc>
      </w:tr>
      <w:tr w:rsidR="00027FBF" w:rsidRPr="00A83C94" w14:paraId="5108D2C4" w14:textId="77777777" w:rsidTr="00027FBF">
        <w:trPr>
          <w:trHeight w:val="352"/>
        </w:trPr>
        <w:tc>
          <w:tcPr>
            <w:tcW w:w="0" w:type="auto"/>
            <w:tcBorders>
              <w:top w:val="single" w:sz="4" w:space="0" w:color="8EAADB"/>
              <w:left w:val="single" w:sz="4" w:space="0" w:color="8EAADB"/>
              <w:bottom w:val="single" w:sz="4" w:space="0" w:color="8EAADB"/>
              <w:right w:val="single" w:sz="4" w:space="0" w:color="8EAADB"/>
            </w:tcBorders>
            <w:hideMark/>
          </w:tcPr>
          <w:p w14:paraId="11FF58C4" w14:textId="77777777" w:rsidR="00027FBF" w:rsidRPr="00A83C94" w:rsidRDefault="00027FBF" w:rsidP="00027FBF">
            <w:pPr>
              <w:spacing w:before="0" w:line="276" w:lineRule="auto"/>
              <w:ind w:firstLine="0"/>
              <w:jc w:val="left"/>
              <w:rPr>
                <w:rFonts w:eastAsia="Calibri" w:cs="Sylfaen"/>
                <w:b w:val="0"/>
                <w:bCs/>
                <w:sz w:val="16"/>
                <w:szCs w:val="16"/>
              </w:rPr>
            </w:pPr>
            <w:r w:rsidRPr="00A83C94">
              <w:rPr>
                <w:rFonts w:eastAsia="Calibri"/>
                <w:bCs/>
                <w:color w:val="000000"/>
                <w:sz w:val="16"/>
                <w:szCs w:val="16"/>
              </w:rPr>
              <w:t>Եվրոգոտի</w:t>
            </w:r>
          </w:p>
        </w:tc>
        <w:tc>
          <w:tcPr>
            <w:tcW w:w="0" w:type="auto"/>
            <w:tcBorders>
              <w:top w:val="single" w:sz="4" w:space="0" w:color="8EAADB"/>
              <w:left w:val="single" w:sz="4" w:space="0" w:color="8EAADB"/>
              <w:bottom w:val="single" w:sz="4" w:space="0" w:color="8EAADB"/>
              <w:right w:val="single" w:sz="4" w:space="0" w:color="8EAADB"/>
            </w:tcBorders>
            <w:hideMark/>
          </w:tcPr>
          <w:p w14:paraId="0BFD21FC"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-6.5</w:t>
            </w:r>
          </w:p>
        </w:tc>
        <w:tc>
          <w:tcPr>
            <w:tcW w:w="0" w:type="auto"/>
            <w:tcBorders>
              <w:top w:val="single" w:sz="4" w:space="0" w:color="8EAADB"/>
              <w:left w:val="single" w:sz="4" w:space="0" w:color="8EAADB"/>
              <w:bottom w:val="single" w:sz="4" w:space="0" w:color="8EAADB"/>
              <w:right w:val="single" w:sz="4" w:space="0" w:color="8EAADB"/>
            </w:tcBorders>
            <w:hideMark/>
          </w:tcPr>
          <w:p w14:paraId="090D7EAB"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4.2</w:t>
            </w:r>
          </w:p>
        </w:tc>
        <w:tc>
          <w:tcPr>
            <w:tcW w:w="0" w:type="auto"/>
            <w:tcBorders>
              <w:top w:val="single" w:sz="4" w:space="0" w:color="8EAADB"/>
              <w:left w:val="single" w:sz="4" w:space="0" w:color="8EAADB"/>
              <w:bottom w:val="single" w:sz="4" w:space="0" w:color="8EAADB"/>
              <w:right w:val="single" w:sz="4" w:space="0" w:color="8EAADB"/>
            </w:tcBorders>
            <w:hideMark/>
          </w:tcPr>
          <w:p w14:paraId="65C1097C"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4.4</w:t>
            </w:r>
          </w:p>
        </w:tc>
        <w:tc>
          <w:tcPr>
            <w:tcW w:w="0" w:type="auto"/>
            <w:tcBorders>
              <w:top w:val="single" w:sz="4" w:space="0" w:color="8EAADB"/>
              <w:left w:val="single" w:sz="4" w:space="0" w:color="8EAADB"/>
              <w:bottom w:val="single" w:sz="4" w:space="0" w:color="8EAADB"/>
              <w:right w:val="single" w:sz="4" w:space="0" w:color="8EAADB"/>
            </w:tcBorders>
            <w:hideMark/>
          </w:tcPr>
          <w:p w14:paraId="3995D00F"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4.6</w:t>
            </w:r>
          </w:p>
        </w:tc>
        <w:tc>
          <w:tcPr>
            <w:tcW w:w="1147" w:type="dxa"/>
            <w:tcBorders>
              <w:top w:val="single" w:sz="4" w:space="0" w:color="8EAADB"/>
              <w:left w:val="single" w:sz="4" w:space="0" w:color="8EAADB"/>
              <w:bottom w:val="single" w:sz="4" w:space="0" w:color="8EAADB"/>
              <w:right w:val="single" w:sz="4" w:space="0" w:color="8EAADB"/>
            </w:tcBorders>
            <w:hideMark/>
          </w:tcPr>
          <w:p w14:paraId="435BAC83"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3.6</w:t>
            </w:r>
          </w:p>
        </w:tc>
        <w:tc>
          <w:tcPr>
            <w:tcW w:w="0" w:type="auto"/>
            <w:tcBorders>
              <w:top w:val="single" w:sz="4" w:space="0" w:color="8EAADB"/>
              <w:left w:val="single" w:sz="4" w:space="0" w:color="8EAADB"/>
              <w:bottom w:val="single" w:sz="4" w:space="0" w:color="8EAADB"/>
              <w:right w:val="single" w:sz="4" w:space="0" w:color="8EAADB"/>
            </w:tcBorders>
            <w:hideMark/>
          </w:tcPr>
          <w:p w14:paraId="2EF5E7FF"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3.8</w:t>
            </w:r>
          </w:p>
        </w:tc>
        <w:tc>
          <w:tcPr>
            <w:tcW w:w="1416" w:type="dxa"/>
            <w:tcBorders>
              <w:top w:val="single" w:sz="4" w:space="0" w:color="8EAADB"/>
              <w:left w:val="single" w:sz="4" w:space="0" w:color="8EAADB"/>
              <w:bottom w:val="single" w:sz="4" w:space="0" w:color="8EAADB"/>
              <w:right w:val="single" w:sz="4" w:space="0" w:color="8EAADB"/>
            </w:tcBorders>
            <w:hideMark/>
          </w:tcPr>
          <w:p w14:paraId="2AD1E347"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cs="Sylfaen"/>
                <w:b w:val="0"/>
                <w:sz w:val="20"/>
                <w:szCs w:val="20"/>
                <w:lang w:val="en-US"/>
              </w:rPr>
              <w:t>4.3</w:t>
            </w:r>
          </w:p>
        </w:tc>
      </w:tr>
      <w:tr w:rsidR="00027FBF" w:rsidRPr="00A83C94" w14:paraId="4F1EF0F7" w14:textId="77777777" w:rsidTr="00027FBF">
        <w:trPr>
          <w:trHeight w:val="267"/>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5A8A76FA" w14:textId="77777777" w:rsidR="00027FBF" w:rsidRPr="00A83C94" w:rsidRDefault="00027FBF" w:rsidP="00027FBF">
            <w:pPr>
              <w:spacing w:before="0" w:line="276" w:lineRule="auto"/>
              <w:ind w:firstLine="0"/>
              <w:jc w:val="left"/>
              <w:rPr>
                <w:rFonts w:eastAsia="Calibri" w:cs="Sylfaen"/>
                <w:b w:val="0"/>
                <w:bCs/>
                <w:sz w:val="16"/>
                <w:szCs w:val="16"/>
              </w:rPr>
            </w:pPr>
            <w:r w:rsidRPr="00A83C94">
              <w:rPr>
                <w:rFonts w:eastAsia="Calibri"/>
                <w:bCs/>
                <w:color w:val="000000"/>
                <w:sz w:val="16"/>
                <w:szCs w:val="16"/>
              </w:rPr>
              <w:t>Չինաստան</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D03437E"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2.3</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5140F71D"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8.1</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4454F22B"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8.4</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9DB4546"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8.1</w:t>
            </w:r>
          </w:p>
        </w:tc>
        <w:tc>
          <w:tcPr>
            <w:tcW w:w="1147" w:type="dxa"/>
            <w:tcBorders>
              <w:top w:val="single" w:sz="4" w:space="0" w:color="8EAADB"/>
              <w:left w:val="single" w:sz="4" w:space="0" w:color="8EAADB"/>
              <w:bottom w:val="single" w:sz="4" w:space="0" w:color="8EAADB"/>
              <w:right w:val="single" w:sz="4" w:space="0" w:color="8EAADB"/>
            </w:tcBorders>
            <w:shd w:val="clear" w:color="auto" w:fill="D9E2F3"/>
            <w:hideMark/>
          </w:tcPr>
          <w:p w14:paraId="3BFD4640"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hy-AM"/>
              </w:rPr>
              <w:t>5</w:t>
            </w:r>
            <w:r w:rsidRPr="00A83C94">
              <w:rPr>
                <w:rFonts w:eastAsia="Calibri"/>
                <w:b w:val="0"/>
                <w:sz w:val="20"/>
                <w:szCs w:val="20"/>
                <w:lang w:val="en-US"/>
              </w:rPr>
              <w:t>.6</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7E7CEB73"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5.6</w:t>
            </w:r>
          </w:p>
        </w:tc>
        <w:tc>
          <w:tcPr>
            <w:tcW w:w="1416" w:type="dxa"/>
            <w:tcBorders>
              <w:top w:val="single" w:sz="4" w:space="0" w:color="8EAADB"/>
              <w:left w:val="single" w:sz="4" w:space="0" w:color="8EAADB"/>
              <w:bottom w:val="single" w:sz="4" w:space="0" w:color="8EAADB"/>
              <w:right w:val="single" w:sz="4" w:space="0" w:color="8EAADB"/>
            </w:tcBorders>
            <w:shd w:val="clear" w:color="auto" w:fill="D9E2F3"/>
            <w:hideMark/>
          </w:tcPr>
          <w:p w14:paraId="196191B1"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5.7</w:t>
            </w:r>
          </w:p>
        </w:tc>
      </w:tr>
      <w:tr w:rsidR="00027FBF" w:rsidRPr="00A83C94" w14:paraId="4847CF8F" w14:textId="77777777" w:rsidTr="00027FBF">
        <w:trPr>
          <w:trHeight w:val="234"/>
        </w:trPr>
        <w:tc>
          <w:tcPr>
            <w:tcW w:w="0" w:type="auto"/>
            <w:tcBorders>
              <w:top w:val="single" w:sz="4" w:space="0" w:color="8EAADB"/>
              <w:left w:val="single" w:sz="4" w:space="0" w:color="8EAADB"/>
              <w:bottom w:val="single" w:sz="4" w:space="0" w:color="8EAADB"/>
              <w:right w:val="single" w:sz="4" w:space="0" w:color="8EAADB"/>
            </w:tcBorders>
            <w:hideMark/>
          </w:tcPr>
          <w:p w14:paraId="710F2060" w14:textId="77777777" w:rsidR="00027FBF" w:rsidRPr="00A83C94" w:rsidRDefault="00027FBF" w:rsidP="00027FBF">
            <w:pPr>
              <w:spacing w:before="0" w:line="276" w:lineRule="auto"/>
              <w:ind w:firstLine="0"/>
              <w:jc w:val="left"/>
              <w:rPr>
                <w:rFonts w:eastAsia="Calibri" w:cs="Sylfaen"/>
                <w:b w:val="0"/>
                <w:bCs/>
                <w:sz w:val="16"/>
                <w:szCs w:val="16"/>
              </w:rPr>
            </w:pPr>
            <w:r w:rsidRPr="00A83C94">
              <w:rPr>
                <w:rFonts w:eastAsia="Calibri"/>
                <w:bCs/>
                <w:color w:val="000000"/>
                <w:sz w:val="16"/>
                <w:szCs w:val="16"/>
              </w:rPr>
              <w:t>ԱՄՆ</w:t>
            </w:r>
          </w:p>
        </w:tc>
        <w:tc>
          <w:tcPr>
            <w:tcW w:w="0" w:type="auto"/>
            <w:tcBorders>
              <w:top w:val="single" w:sz="4" w:space="0" w:color="8EAADB"/>
              <w:left w:val="single" w:sz="4" w:space="0" w:color="8EAADB"/>
              <w:bottom w:val="single" w:sz="4" w:space="0" w:color="8EAADB"/>
              <w:right w:val="single" w:sz="4" w:space="0" w:color="8EAADB"/>
            </w:tcBorders>
            <w:hideMark/>
          </w:tcPr>
          <w:p w14:paraId="6C59EB3F"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-3.5</w:t>
            </w:r>
          </w:p>
        </w:tc>
        <w:tc>
          <w:tcPr>
            <w:tcW w:w="0" w:type="auto"/>
            <w:tcBorders>
              <w:top w:val="single" w:sz="4" w:space="0" w:color="8EAADB"/>
              <w:left w:val="single" w:sz="4" w:space="0" w:color="8EAADB"/>
              <w:bottom w:val="single" w:sz="4" w:space="0" w:color="8EAADB"/>
              <w:right w:val="single" w:sz="4" w:space="0" w:color="8EAADB"/>
            </w:tcBorders>
            <w:hideMark/>
          </w:tcPr>
          <w:p w14:paraId="50A2D123"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5.1</w:t>
            </w:r>
          </w:p>
        </w:tc>
        <w:tc>
          <w:tcPr>
            <w:tcW w:w="0" w:type="auto"/>
            <w:tcBorders>
              <w:top w:val="single" w:sz="4" w:space="0" w:color="8EAADB"/>
              <w:left w:val="single" w:sz="4" w:space="0" w:color="8EAADB"/>
              <w:bottom w:val="single" w:sz="4" w:space="0" w:color="8EAADB"/>
              <w:right w:val="single" w:sz="4" w:space="0" w:color="8EAADB"/>
            </w:tcBorders>
            <w:hideMark/>
          </w:tcPr>
          <w:p w14:paraId="113E124B"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6.4</w:t>
            </w:r>
          </w:p>
        </w:tc>
        <w:tc>
          <w:tcPr>
            <w:tcW w:w="0" w:type="auto"/>
            <w:tcBorders>
              <w:top w:val="single" w:sz="4" w:space="0" w:color="8EAADB"/>
              <w:left w:val="single" w:sz="4" w:space="0" w:color="8EAADB"/>
              <w:bottom w:val="single" w:sz="4" w:space="0" w:color="8EAADB"/>
              <w:right w:val="single" w:sz="4" w:space="0" w:color="8EAADB"/>
            </w:tcBorders>
            <w:hideMark/>
          </w:tcPr>
          <w:p w14:paraId="15509446"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7.0</w:t>
            </w:r>
          </w:p>
        </w:tc>
        <w:tc>
          <w:tcPr>
            <w:tcW w:w="1147" w:type="dxa"/>
            <w:tcBorders>
              <w:top w:val="single" w:sz="4" w:space="0" w:color="8EAADB"/>
              <w:left w:val="single" w:sz="4" w:space="0" w:color="8EAADB"/>
              <w:bottom w:val="single" w:sz="4" w:space="0" w:color="8EAADB"/>
              <w:right w:val="single" w:sz="4" w:space="0" w:color="8EAADB"/>
            </w:tcBorders>
            <w:hideMark/>
          </w:tcPr>
          <w:p w14:paraId="4F5510C7"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2.5</w:t>
            </w:r>
          </w:p>
        </w:tc>
        <w:tc>
          <w:tcPr>
            <w:tcW w:w="0" w:type="auto"/>
            <w:tcBorders>
              <w:top w:val="single" w:sz="4" w:space="0" w:color="8EAADB"/>
              <w:left w:val="single" w:sz="4" w:space="0" w:color="8EAADB"/>
              <w:bottom w:val="single" w:sz="4" w:space="0" w:color="8EAADB"/>
              <w:right w:val="single" w:sz="4" w:space="0" w:color="8EAADB"/>
            </w:tcBorders>
            <w:hideMark/>
          </w:tcPr>
          <w:p w14:paraId="0D7189D9"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3.5</w:t>
            </w:r>
          </w:p>
        </w:tc>
        <w:tc>
          <w:tcPr>
            <w:tcW w:w="1416" w:type="dxa"/>
            <w:tcBorders>
              <w:top w:val="single" w:sz="4" w:space="0" w:color="8EAADB"/>
              <w:left w:val="single" w:sz="4" w:space="0" w:color="8EAADB"/>
              <w:bottom w:val="single" w:sz="4" w:space="0" w:color="8EAADB"/>
              <w:right w:val="single" w:sz="4" w:space="0" w:color="8EAADB"/>
            </w:tcBorders>
            <w:hideMark/>
          </w:tcPr>
          <w:p w14:paraId="57C1FE5B"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hy-AM"/>
              </w:rPr>
              <w:t>4.</w:t>
            </w:r>
            <w:r w:rsidRPr="00A83C94">
              <w:rPr>
                <w:rFonts w:eastAsia="Calibri"/>
                <w:b w:val="0"/>
                <w:sz w:val="20"/>
                <w:szCs w:val="20"/>
                <w:lang w:val="en-US"/>
              </w:rPr>
              <w:t>9</w:t>
            </w:r>
          </w:p>
        </w:tc>
      </w:tr>
      <w:tr w:rsidR="00027FBF" w:rsidRPr="00A83C94" w14:paraId="035D0B54" w14:textId="77777777" w:rsidTr="00027FBF">
        <w:trPr>
          <w:trHeight w:val="14"/>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5F28D60" w14:textId="77777777" w:rsidR="00027FBF" w:rsidRPr="00A83C94" w:rsidRDefault="00027FBF" w:rsidP="00027FBF">
            <w:pPr>
              <w:spacing w:before="0" w:line="276" w:lineRule="auto"/>
              <w:ind w:firstLine="0"/>
              <w:jc w:val="left"/>
              <w:rPr>
                <w:rFonts w:eastAsia="Calibri" w:cs="Sylfaen"/>
                <w:b w:val="0"/>
                <w:bCs/>
                <w:sz w:val="16"/>
                <w:szCs w:val="16"/>
              </w:rPr>
            </w:pPr>
            <w:r w:rsidRPr="00A83C94">
              <w:rPr>
                <w:rFonts w:eastAsia="Calibri"/>
                <w:bCs/>
                <w:color w:val="000000"/>
                <w:sz w:val="16"/>
                <w:szCs w:val="16"/>
              </w:rPr>
              <w:t>Համաշխարհային առևտ</w:t>
            </w:r>
            <w:r w:rsidRPr="00A83C94">
              <w:rPr>
                <w:rFonts w:eastAsia="Calibri"/>
                <w:bCs/>
                <w:color w:val="000000"/>
                <w:sz w:val="16"/>
                <w:szCs w:val="16"/>
                <w:lang w:val="hy-AM"/>
              </w:rPr>
              <w:t xml:space="preserve">րի աճ, </w:t>
            </w:r>
            <w:r w:rsidRPr="00A83C94">
              <w:rPr>
                <w:rFonts w:eastAsia="Calibri"/>
                <w:bCs/>
                <w:color w:val="000000"/>
                <w:sz w:val="16"/>
                <w:szCs w:val="16"/>
              </w:rPr>
              <w:t>%</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452648FB"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-8.3</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68CAAC5C"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8.1</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424323D5"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8.4</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24C27720"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9.7</w:t>
            </w:r>
          </w:p>
        </w:tc>
        <w:tc>
          <w:tcPr>
            <w:tcW w:w="1147" w:type="dxa"/>
            <w:tcBorders>
              <w:top w:val="single" w:sz="4" w:space="0" w:color="8EAADB"/>
              <w:left w:val="single" w:sz="4" w:space="0" w:color="8EAADB"/>
              <w:bottom w:val="single" w:sz="4" w:space="0" w:color="8EAADB"/>
              <w:right w:val="single" w:sz="4" w:space="0" w:color="8EAADB"/>
            </w:tcBorders>
            <w:shd w:val="clear" w:color="auto" w:fill="D9E2F3"/>
            <w:hideMark/>
          </w:tcPr>
          <w:p w14:paraId="5360CACF"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6.3</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43514C47"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6.5</w:t>
            </w:r>
          </w:p>
        </w:tc>
        <w:tc>
          <w:tcPr>
            <w:tcW w:w="1416" w:type="dxa"/>
            <w:tcBorders>
              <w:top w:val="single" w:sz="4" w:space="0" w:color="8EAADB"/>
              <w:left w:val="single" w:sz="4" w:space="0" w:color="8EAADB"/>
              <w:bottom w:val="single" w:sz="4" w:space="0" w:color="8EAADB"/>
              <w:right w:val="single" w:sz="4" w:space="0" w:color="8EAADB"/>
            </w:tcBorders>
            <w:shd w:val="clear" w:color="auto" w:fill="D9E2F3"/>
            <w:hideMark/>
          </w:tcPr>
          <w:p w14:paraId="20E81AE8" w14:textId="77777777" w:rsidR="00027FBF" w:rsidRPr="00A83C94" w:rsidRDefault="00027FBF" w:rsidP="00027FBF">
            <w:pPr>
              <w:spacing w:before="0" w:line="276" w:lineRule="auto"/>
              <w:ind w:firstLine="0"/>
              <w:jc w:val="center"/>
              <w:rPr>
                <w:rFonts w:eastAsia="Calibri" w:cs="Sylfaen"/>
                <w:b w:val="0"/>
                <w:sz w:val="20"/>
                <w:szCs w:val="20"/>
              </w:rPr>
            </w:pPr>
            <w:r w:rsidRPr="00A83C94">
              <w:rPr>
                <w:rFonts w:eastAsia="Calibri"/>
                <w:b w:val="0"/>
                <w:sz w:val="20"/>
                <w:szCs w:val="20"/>
                <w:lang w:val="en-US"/>
              </w:rPr>
              <w:t>7</w:t>
            </w:r>
            <w:r w:rsidRPr="00A83C94">
              <w:rPr>
                <w:rFonts w:eastAsia="Calibri"/>
                <w:b w:val="0"/>
                <w:sz w:val="20"/>
                <w:szCs w:val="20"/>
              </w:rPr>
              <w:t>.0</w:t>
            </w:r>
          </w:p>
        </w:tc>
      </w:tr>
    </w:tbl>
    <w:p w14:paraId="23884F36" w14:textId="77777777" w:rsidR="00027FBF" w:rsidRPr="00A83C94" w:rsidRDefault="00027FBF" w:rsidP="00027FBF">
      <w:pPr>
        <w:spacing w:before="0" w:line="276" w:lineRule="auto"/>
        <w:rPr>
          <w:rFonts w:cs="Sylfaen"/>
          <w:i/>
          <w:sz w:val="16"/>
          <w:szCs w:val="16"/>
          <w:lang w:val="hy-AM"/>
        </w:rPr>
      </w:pPr>
      <w:r w:rsidRPr="00A83C94">
        <w:rPr>
          <w:rFonts w:cs="Sylfaen"/>
          <w:i/>
          <w:sz w:val="16"/>
          <w:szCs w:val="16"/>
        </w:rPr>
        <w:t>Աղբյուրը</w:t>
      </w:r>
      <w:r w:rsidRPr="00A83C94">
        <w:rPr>
          <w:rFonts w:cs="Sylfaen"/>
          <w:i/>
          <w:sz w:val="16"/>
          <w:szCs w:val="16"/>
          <w:lang w:val="en-US"/>
        </w:rPr>
        <w:t xml:space="preserve">` </w:t>
      </w:r>
      <w:r w:rsidRPr="00A83C94">
        <w:rPr>
          <w:rFonts w:cs="Sylfaen"/>
          <w:i/>
          <w:sz w:val="16"/>
          <w:szCs w:val="16"/>
          <w:lang w:val="hy-AM"/>
        </w:rPr>
        <w:t>ԱՄՀ «</w:t>
      </w:r>
      <w:r w:rsidRPr="00A83C94">
        <w:rPr>
          <w:rFonts w:cs="Sylfaen"/>
          <w:i/>
          <w:sz w:val="16"/>
          <w:szCs w:val="16"/>
          <w:lang w:val="en-US"/>
        </w:rPr>
        <w:t>World Economic Outlook</w:t>
      </w:r>
      <w:r w:rsidRPr="00A83C94">
        <w:rPr>
          <w:rFonts w:cs="Sylfaen"/>
          <w:i/>
          <w:sz w:val="16"/>
          <w:szCs w:val="16"/>
          <w:lang w:val="hy-AM"/>
        </w:rPr>
        <w:t>»</w:t>
      </w:r>
    </w:p>
    <w:p w14:paraId="3F539F36" w14:textId="77777777" w:rsidR="00027FBF" w:rsidRPr="00A83C94" w:rsidRDefault="00027FBF" w:rsidP="00027FBF">
      <w:pPr>
        <w:spacing w:before="0" w:line="276" w:lineRule="auto"/>
        <w:rPr>
          <w:rFonts w:cs="Sylfaen"/>
          <w:i/>
          <w:sz w:val="16"/>
          <w:szCs w:val="16"/>
          <w:lang w:val="hy-AM"/>
        </w:rPr>
      </w:pPr>
    </w:p>
    <w:p w14:paraId="060FB73B" w14:textId="77777777" w:rsidR="00027FBF" w:rsidRPr="00A83C94" w:rsidRDefault="00027FBF" w:rsidP="00027FBF">
      <w:pPr>
        <w:spacing w:before="0" w:line="276" w:lineRule="auto"/>
        <w:rPr>
          <w:rFonts w:eastAsia="Calibri"/>
          <w:b w:val="0"/>
          <w:bCs/>
          <w:color w:val="FF0000"/>
          <w:szCs w:val="22"/>
          <w:lang w:val="hy-AM"/>
        </w:rPr>
      </w:pPr>
      <w:bookmarkStart w:id="21" w:name="_Toc51947414"/>
      <w:bookmarkStart w:id="22" w:name="_Toc52452087"/>
      <w:r w:rsidRPr="00A83C94">
        <w:rPr>
          <w:rFonts w:eastAsia="Calibri"/>
          <w:szCs w:val="22"/>
          <w:lang w:val="hy-AM"/>
        </w:rPr>
        <w:t xml:space="preserve">Հումքային ապրանքների համաշխարհային գները կտրուկ աճում են։ </w:t>
      </w:r>
      <w:r w:rsidRPr="00A83C94">
        <w:rPr>
          <w:rFonts w:eastAsia="Calibri"/>
          <w:b w:val="0"/>
          <w:bCs/>
          <w:szCs w:val="22"/>
          <w:lang w:val="hy-AM"/>
        </w:rPr>
        <w:t>Համավարակով պայմանավորված` ամբողջ աշխարհում պահանջարկի անկումը, անորոշության բարձրացումը և նավթի շուկայում հիմնական խաղացողների միջև տարաձայնությունները 2020թ</w:t>
      </w:r>
      <w:r w:rsidRPr="00A83C94">
        <w:rPr>
          <w:rFonts w:ascii="Cambria Math" w:eastAsia="Calibri" w:hAnsi="Cambria Math" w:cs="Cambria Math"/>
          <w:b w:val="0"/>
          <w:bCs/>
          <w:szCs w:val="22"/>
          <w:lang w:val="hy-AM"/>
        </w:rPr>
        <w:t>․</w:t>
      </w:r>
      <w:r w:rsidRPr="00A83C94">
        <w:rPr>
          <w:rFonts w:eastAsia="Calibri"/>
          <w:b w:val="0"/>
          <w:bCs/>
          <w:szCs w:val="22"/>
          <w:lang w:val="hy-AM"/>
        </w:rPr>
        <w:t xml:space="preserve"> հանգեցրել են նավթի միջազգային գների շուրջ 34% նվազման, մինչդեռ պղնձի միջազգային գները, պայմանավորված երկրորդ կիսամյակի զարգացումներով, աճել են 2.7%-ով: </w:t>
      </w:r>
      <w:r w:rsidRPr="00A83C94">
        <w:rPr>
          <w:rFonts w:eastAsia="Calibri"/>
          <w:b w:val="0"/>
          <w:bCs/>
          <w:color w:val="FF0000"/>
          <w:szCs w:val="22"/>
          <w:lang w:val="hy-AM"/>
        </w:rPr>
        <w:t xml:space="preserve"> </w:t>
      </w:r>
    </w:p>
    <w:p w14:paraId="23F51965" w14:textId="77777777" w:rsidR="00027FBF" w:rsidRPr="00A83C94" w:rsidRDefault="00027FBF" w:rsidP="00027FBF">
      <w:pPr>
        <w:spacing w:before="0" w:line="276" w:lineRule="auto"/>
        <w:rPr>
          <w:rFonts w:eastAsia="Calibri"/>
          <w:b w:val="0"/>
          <w:szCs w:val="22"/>
          <w:lang w:val="hy-AM"/>
        </w:rPr>
      </w:pPr>
      <w:r w:rsidRPr="00A83C94">
        <w:rPr>
          <w:rFonts w:eastAsia="Calibri"/>
          <w:b w:val="0"/>
          <w:szCs w:val="22"/>
          <w:lang w:val="hy-AM"/>
        </w:rPr>
        <w:t>2021թ. հունվար-օգոստոս ամիսներին նավթի միջազգային գներն աճել են 59.8%-ով, պղնձի գները՝ 60.1%-ով: Վերջին կանխատեսումներով</w:t>
      </w:r>
      <w:r w:rsidRPr="00A83C94">
        <w:rPr>
          <w:rStyle w:val="FootnoteReference"/>
          <w:rFonts w:eastAsia="Calibri"/>
          <w:b w:val="0"/>
          <w:lang w:val="hy-AM"/>
        </w:rPr>
        <w:footnoteReference w:id="2"/>
      </w:r>
      <w:r w:rsidRPr="00A83C94">
        <w:rPr>
          <w:rFonts w:eastAsia="Calibri"/>
          <w:b w:val="0"/>
          <w:szCs w:val="22"/>
          <w:lang w:val="hy-AM"/>
        </w:rPr>
        <w:t xml:space="preserve"> 2021թ. նավթի բորսային գները կաճեն 62.4%-ով, իսկ պղնձի գները՝ 52.2%</w:t>
      </w:r>
      <w:r w:rsidRPr="00A83C94">
        <w:rPr>
          <w:rFonts w:eastAsia="Calibri"/>
          <w:b w:val="0"/>
          <w:szCs w:val="22"/>
          <w:lang w:val="hy-AM"/>
        </w:rPr>
        <w:noBreakHyphen/>
        <w:t>ով, ընդ որում՝ 2022թ. պղնձի գները կշարունակեն աճել, իսկ նավթի գները՝ կսկսեն նվազել, համամապատասխանաբար՝ 1</w:t>
      </w:r>
      <w:r w:rsidRPr="00A83C94">
        <w:rPr>
          <w:rFonts w:ascii="Cambria Math" w:eastAsia="Calibri" w:hAnsi="Cambria Math"/>
          <w:b w:val="0"/>
          <w:szCs w:val="22"/>
          <w:lang w:val="hy-AM"/>
        </w:rPr>
        <w:t>․</w:t>
      </w:r>
      <w:r w:rsidRPr="00A83C94">
        <w:rPr>
          <w:rFonts w:eastAsia="Calibri"/>
          <w:b w:val="0"/>
          <w:szCs w:val="22"/>
          <w:lang w:val="hy-AM"/>
        </w:rPr>
        <w:t>5% և -2</w:t>
      </w:r>
      <w:r w:rsidRPr="00A83C94">
        <w:rPr>
          <w:rFonts w:ascii="Cambria Math" w:eastAsia="Calibri" w:hAnsi="Cambria Math"/>
          <w:b w:val="0"/>
          <w:szCs w:val="22"/>
          <w:lang w:val="hy-AM"/>
        </w:rPr>
        <w:t>․</w:t>
      </w:r>
      <w:r w:rsidRPr="00A83C94">
        <w:rPr>
          <w:rFonts w:eastAsia="Calibri"/>
          <w:b w:val="0"/>
          <w:szCs w:val="22"/>
          <w:lang w:val="hy-AM"/>
        </w:rPr>
        <w:t>9%-ով։</w:t>
      </w:r>
    </w:p>
    <w:p w14:paraId="0CDBEBB2" w14:textId="77777777" w:rsidR="00027FBF" w:rsidRPr="00A83C94" w:rsidRDefault="00027FBF" w:rsidP="00027FBF">
      <w:pPr>
        <w:spacing w:line="276" w:lineRule="auto"/>
        <w:rPr>
          <w:rFonts w:eastAsia="Calibri"/>
          <w:b w:val="0"/>
          <w:szCs w:val="22"/>
          <w:lang w:val="hy-AM" w:eastAsia="en-US"/>
        </w:rPr>
      </w:pPr>
      <w:r w:rsidRPr="00A83C94">
        <w:rPr>
          <w:rFonts w:eastAsia="Calibri"/>
          <w:szCs w:val="22"/>
          <w:lang w:val="hy-AM" w:eastAsia="en-US"/>
        </w:rPr>
        <w:lastRenderedPageBreak/>
        <w:t>Զարգացող երկրներում ազգային արժույթները թուլացել են, իսկ երկրների ռիսկի հավելավճարները՝ որոշակի կտրուկ բարձրացումից հետո նվազել և կայունացել են:</w:t>
      </w:r>
      <w:r w:rsidRPr="00A83C94" w:rsidDel="00F227B8">
        <w:rPr>
          <w:rFonts w:eastAsia="Calibri"/>
          <w:szCs w:val="22"/>
          <w:lang w:val="hy-AM" w:eastAsia="en-US"/>
        </w:rPr>
        <w:t xml:space="preserve"> </w:t>
      </w:r>
      <w:r w:rsidRPr="00A83C94">
        <w:rPr>
          <w:rFonts w:eastAsia="Calibri"/>
          <w:b w:val="0"/>
          <w:szCs w:val="22"/>
          <w:lang w:val="hy-AM" w:eastAsia="en-US"/>
        </w:rPr>
        <w:t>Համավարակն իր բացասական ազդեցությունն է թողել նաև միջազգային ֆինանսական շուկաների վրա, երկրների միջև առևտրային սահմանափակումները, ներդրումային միջավայրի բարձր անորոշությունը թուլացրել են զարգացող երկրների ազգային արժույթները,  երկրների ռիսկի հավելավճարներն՝ անցած տարվա կտրուկ բարձրացումից հետո նվազել են և կայունացել</w:t>
      </w:r>
      <w:r w:rsidRPr="00A83C94">
        <w:rPr>
          <w:rFonts w:eastAsia="Calibri"/>
          <w:b w:val="0"/>
          <w:szCs w:val="22"/>
          <w:vertAlign w:val="superscript"/>
          <w:lang w:val="hy-AM" w:eastAsia="en-US"/>
        </w:rPr>
        <w:footnoteReference w:id="3"/>
      </w:r>
      <w:r w:rsidRPr="00A83C94">
        <w:rPr>
          <w:rFonts w:eastAsia="Calibri"/>
          <w:b w:val="0"/>
          <w:szCs w:val="22"/>
          <w:lang w:val="hy-AM" w:eastAsia="en-US"/>
        </w:rPr>
        <w:t>։</w:t>
      </w:r>
    </w:p>
    <w:p w14:paraId="6BEDC163" w14:textId="77777777" w:rsidR="00027FBF" w:rsidRPr="00A83C94" w:rsidRDefault="00027FBF" w:rsidP="00027FBF">
      <w:pPr>
        <w:keepNext/>
        <w:keepLines/>
        <w:spacing w:before="0" w:line="276" w:lineRule="auto"/>
        <w:rPr>
          <w:rFonts w:eastAsia="Calibri"/>
          <w:b w:val="0"/>
          <w:color w:val="000000"/>
          <w:szCs w:val="22"/>
          <w:lang w:val="hy-AM"/>
        </w:rPr>
      </w:pPr>
      <w:r w:rsidRPr="00A83C94">
        <w:rPr>
          <w:rFonts w:eastAsia="Calibri"/>
          <w:color w:val="000000"/>
          <w:szCs w:val="22"/>
          <w:lang w:val="hy-AM"/>
        </w:rPr>
        <w:t>Միջազգային տնտեսական և ֆինանսական զարգացումները և կանխատեսումները</w:t>
      </w:r>
    </w:p>
    <w:tbl>
      <w:tblPr>
        <w:tblStyle w:val="TableGrid2214"/>
        <w:tblW w:w="10184" w:type="dxa"/>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4A0" w:firstRow="1" w:lastRow="0" w:firstColumn="1" w:lastColumn="0" w:noHBand="0" w:noVBand="1"/>
      </w:tblPr>
      <w:tblGrid>
        <w:gridCol w:w="5076"/>
        <w:gridCol w:w="5108"/>
      </w:tblGrid>
      <w:tr w:rsidR="00027FBF" w:rsidRPr="006B7E7B" w14:paraId="4B7A7766" w14:textId="77777777" w:rsidTr="00027FBF">
        <w:trPr>
          <w:trHeight w:val="3799"/>
        </w:trPr>
        <w:tc>
          <w:tcPr>
            <w:tcW w:w="5076" w:type="dxa"/>
            <w:tcBorders>
              <w:top w:val="single" w:sz="6" w:space="0" w:color="4F81BD"/>
              <w:left w:val="single" w:sz="6" w:space="0" w:color="4F81BD"/>
              <w:bottom w:val="single" w:sz="6" w:space="0" w:color="4F81BD"/>
              <w:right w:val="single" w:sz="6" w:space="0" w:color="4F81BD"/>
            </w:tcBorders>
            <w:hideMark/>
          </w:tcPr>
          <w:p w14:paraId="1B20D5DF" w14:textId="77777777" w:rsidR="00027FBF" w:rsidRPr="00A83C94" w:rsidRDefault="00027FBF" w:rsidP="00027FBF">
            <w:pPr>
              <w:spacing w:line="240" w:lineRule="auto"/>
              <w:ind w:firstLine="0"/>
              <w:rPr>
                <w:lang w:val="hy-AM"/>
              </w:rPr>
            </w:pPr>
            <w:r w:rsidRPr="00A83C94">
              <w:rPr>
                <w:bCs/>
                <w:i/>
                <w:noProof/>
                <w:sz w:val="18"/>
                <w:szCs w:val="18"/>
                <w:lang w:val="en-US" w:eastAsia="en-US"/>
              </w:rPr>
              <w:drawing>
                <wp:anchor distT="0" distB="0" distL="114300" distR="114300" simplePos="0" relativeHeight="251704320" behindDoc="1" locked="0" layoutInCell="1" allowOverlap="1" wp14:anchorId="06F2DD08" wp14:editId="2E163082">
                  <wp:simplePos x="0" y="0"/>
                  <wp:positionH relativeFrom="column">
                    <wp:posOffset>-13970</wp:posOffset>
                  </wp:positionH>
                  <wp:positionV relativeFrom="paragraph">
                    <wp:posOffset>537845</wp:posOffset>
                  </wp:positionV>
                  <wp:extent cx="3145790" cy="1810385"/>
                  <wp:effectExtent l="0" t="0" r="16510" b="18415"/>
                  <wp:wrapTight wrapText="bothSides">
                    <wp:wrapPolygon edited="0">
                      <wp:start x="0" y="0"/>
                      <wp:lineTo x="0" y="21592"/>
                      <wp:lineTo x="21583" y="21592"/>
                      <wp:lineTo x="21583" y="0"/>
                      <wp:lineTo x="0" y="0"/>
                    </wp:wrapPolygon>
                  </wp:wrapTight>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A83C94">
              <w:rPr>
                <w:bCs/>
                <w:i/>
                <w:sz w:val="18"/>
                <w:szCs w:val="18"/>
                <w:lang w:val="hy-AM"/>
              </w:rPr>
              <w:t>Գծապատկեր 1.1. Համաշխարհային խոր անկումից հետո տնտեսությունները</w:t>
            </w:r>
            <w:r w:rsidRPr="00A83C94">
              <w:rPr>
                <w:lang w:val="hy-AM"/>
              </w:rPr>
              <w:t xml:space="preserve"> </w:t>
            </w:r>
            <w:r w:rsidRPr="00A83C94">
              <w:rPr>
                <w:bCs/>
                <w:i/>
                <w:sz w:val="18"/>
                <w:szCs w:val="18"/>
                <w:lang w:val="hy-AM"/>
              </w:rPr>
              <w:t>վերականգնվում են (տնտեսական աճեր, %)</w:t>
            </w:r>
          </w:p>
          <w:p w14:paraId="55B99CDC" w14:textId="77777777" w:rsidR="00027FBF" w:rsidRPr="00A83C94" w:rsidRDefault="00027FBF" w:rsidP="00027FBF">
            <w:pPr>
              <w:spacing w:before="0" w:line="240" w:lineRule="auto"/>
              <w:ind w:firstLine="0"/>
              <w:jc w:val="left"/>
              <w:rPr>
                <w:b w:val="0"/>
                <w:i/>
                <w:sz w:val="16"/>
                <w:szCs w:val="16"/>
                <w:lang w:val="hy-AM"/>
              </w:rPr>
            </w:pPr>
            <w:r w:rsidRPr="00A83C94">
              <w:rPr>
                <w:i/>
                <w:sz w:val="16"/>
                <w:szCs w:val="16"/>
                <w:lang w:val="hy-AM"/>
              </w:rPr>
              <w:t xml:space="preserve"> </w:t>
            </w:r>
            <w:r w:rsidRPr="00A83C94">
              <w:rPr>
                <w:b w:val="0"/>
                <w:i/>
                <w:sz w:val="16"/>
                <w:szCs w:val="16"/>
                <w:lang w:val="hy-AM"/>
              </w:rPr>
              <w:t>Աղբյուրը՝ ԱՄՀ</w:t>
            </w:r>
          </w:p>
        </w:tc>
        <w:tc>
          <w:tcPr>
            <w:tcW w:w="5108" w:type="dxa"/>
            <w:tcBorders>
              <w:top w:val="single" w:sz="6" w:space="0" w:color="4F81BD"/>
              <w:left w:val="single" w:sz="6" w:space="0" w:color="4F81BD"/>
              <w:bottom w:val="single" w:sz="6" w:space="0" w:color="4F81BD"/>
              <w:right w:val="single" w:sz="6" w:space="0" w:color="4F81BD"/>
            </w:tcBorders>
            <w:hideMark/>
          </w:tcPr>
          <w:p w14:paraId="4CC37D63" w14:textId="77777777" w:rsidR="00027FBF" w:rsidRPr="00A83C94" w:rsidRDefault="00027FBF" w:rsidP="00027FBF">
            <w:pPr>
              <w:spacing w:before="0" w:line="240" w:lineRule="auto"/>
              <w:ind w:firstLine="0"/>
              <w:rPr>
                <w:i/>
                <w:sz w:val="18"/>
                <w:szCs w:val="18"/>
                <w:lang w:val="hy-AM"/>
              </w:rPr>
            </w:pPr>
            <w:r w:rsidRPr="00A83C94">
              <w:rPr>
                <w:bCs/>
                <w:i/>
                <w:sz w:val="18"/>
                <w:szCs w:val="18"/>
                <w:lang w:val="hy-AM"/>
              </w:rPr>
              <w:t xml:space="preserve">Գծապատկեր 1.2 </w:t>
            </w:r>
            <w:r w:rsidRPr="00A83C94">
              <w:rPr>
                <w:i/>
                <w:sz w:val="18"/>
                <w:szCs w:val="18"/>
                <w:lang w:val="hy-AM"/>
              </w:rPr>
              <w:t>Հումքային ապրանքների գների դինամիկան</w:t>
            </w:r>
          </w:p>
          <w:p w14:paraId="02AE142A" w14:textId="77777777" w:rsidR="00027FBF" w:rsidRPr="00A83C94" w:rsidRDefault="00027FBF" w:rsidP="00027FBF">
            <w:pPr>
              <w:spacing w:before="0" w:line="240" w:lineRule="auto"/>
              <w:rPr>
                <w:bCs/>
                <w:i/>
                <w:sz w:val="18"/>
                <w:szCs w:val="18"/>
                <w:lang w:val="hy-AM"/>
              </w:rPr>
            </w:pPr>
            <w:r w:rsidRPr="00A83C94">
              <w:rPr>
                <w:noProof/>
                <w:lang w:val="en-US" w:eastAsia="en-US"/>
              </w:rPr>
              <w:drawing>
                <wp:anchor distT="0" distB="0" distL="114300" distR="114300" simplePos="0" relativeHeight="251707392" behindDoc="1" locked="0" layoutInCell="1" allowOverlap="1" wp14:anchorId="244FB256" wp14:editId="20794F2E">
                  <wp:simplePos x="0" y="0"/>
                  <wp:positionH relativeFrom="column">
                    <wp:posOffset>-70485</wp:posOffset>
                  </wp:positionH>
                  <wp:positionV relativeFrom="paragraph">
                    <wp:posOffset>175895</wp:posOffset>
                  </wp:positionV>
                  <wp:extent cx="3181985" cy="1810385"/>
                  <wp:effectExtent l="0" t="0" r="18415" b="18415"/>
                  <wp:wrapTight wrapText="bothSides">
                    <wp:wrapPolygon edited="0">
                      <wp:start x="0" y="0"/>
                      <wp:lineTo x="0" y="21592"/>
                      <wp:lineTo x="21596" y="21592"/>
                      <wp:lineTo x="21596"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6B483086" w14:textId="77777777" w:rsidR="00027FBF" w:rsidRPr="00A83C94" w:rsidRDefault="00027FBF" w:rsidP="00027FBF">
            <w:pPr>
              <w:spacing w:before="0" w:line="240" w:lineRule="auto"/>
              <w:ind w:firstLine="0"/>
              <w:rPr>
                <w:b w:val="0"/>
                <w:sz w:val="16"/>
                <w:szCs w:val="16"/>
                <w:lang w:val="hy-AM"/>
              </w:rPr>
            </w:pPr>
            <w:r w:rsidRPr="00A83C94">
              <w:rPr>
                <w:b w:val="0"/>
                <w:i/>
                <w:sz w:val="16"/>
                <w:szCs w:val="16"/>
                <w:lang w:val="hy-AM"/>
              </w:rPr>
              <w:t xml:space="preserve">Աղբյուրը՝ կանխատեսումները ըստ Բլումբերգի </w:t>
            </w:r>
          </w:p>
        </w:tc>
      </w:tr>
      <w:tr w:rsidR="00027FBF" w:rsidRPr="006B7E7B" w14:paraId="79E943C5" w14:textId="77777777" w:rsidTr="00027FBF">
        <w:trPr>
          <w:trHeight w:val="204"/>
        </w:trPr>
        <w:tc>
          <w:tcPr>
            <w:tcW w:w="5076" w:type="dxa"/>
            <w:tcBorders>
              <w:top w:val="single" w:sz="6" w:space="0" w:color="4F81BD"/>
              <w:left w:val="single" w:sz="6" w:space="0" w:color="4F81BD"/>
              <w:bottom w:val="single" w:sz="6" w:space="0" w:color="4F81BD"/>
              <w:right w:val="single" w:sz="6" w:space="0" w:color="4F81BD"/>
            </w:tcBorders>
            <w:hideMark/>
          </w:tcPr>
          <w:p w14:paraId="3443520E" w14:textId="77777777" w:rsidR="00027FBF" w:rsidRPr="00A83C94" w:rsidRDefault="00027FBF" w:rsidP="00027FBF">
            <w:pPr>
              <w:spacing w:line="240" w:lineRule="auto"/>
              <w:ind w:firstLine="0"/>
              <w:rPr>
                <w:bCs/>
                <w:i/>
                <w:sz w:val="18"/>
                <w:szCs w:val="18"/>
                <w:lang w:val="hy-AM"/>
              </w:rPr>
            </w:pPr>
            <w:r w:rsidRPr="00A83C94">
              <w:rPr>
                <w:bCs/>
                <w:i/>
                <w:sz w:val="18"/>
                <w:szCs w:val="18"/>
                <w:lang w:val="hy-AM"/>
              </w:rPr>
              <w:t xml:space="preserve">Գծապատկեր 1.3. Համաշխարհային առևտուրը վերականգնվում է </w:t>
            </w:r>
          </w:p>
          <w:p w14:paraId="15AFC04D" w14:textId="77777777" w:rsidR="00027FBF" w:rsidRPr="00A83C94" w:rsidRDefault="00027FBF" w:rsidP="00027FBF">
            <w:pPr>
              <w:spacing w:before="0" w:line="240" w:lineRule="auto"/>
              <w:ind w:firstLine="0"/>
              <w:rPr>
                <w:b w:val="0"/>
                <w:i/>
                <w:sz w:val="16"/>
                <w:szCs w:val="16"/>
                <w:lang w:val="hy-AM"/>
              </w:rPr>
            </w:pPr>
            <w:r w:rsidRPr="00A83C94">
              <w:rPr>
                <w:noProof/>
                <w:lang w:val="en-US" w:eastAsia="en-US"/>
              </w:rPr>
              <w:drawing>
                <wp:anchor distT="0" distB="0" distL="114300" distR="114300" simplePos="0" relativeHeight="251716608" behindDoc="1" locked="0" layoutInCell="1" allowOverlap="1" wp14:anchorId="68DF6B8E" wp14:editId="5E2E0A3D">
                  <wp:simplePos x="0" y="0"/>
                  <wp:positionH relativeFrom="column">
                    <wp:posOffset>-6985</wp:posOffset>
                  </wp:positionH>
                  <wp:positionV relativeFrom="paragraph">
                    <wp:posOffset>140335</wp:posOffset>
                  </wp:positionV>
                  <wp:extent cx="3096260" cy="1748790"/>
                  <wp:effectExtent l="0" t="0" r="8890" b="3810"/>
                  <wp:wrapTight wrapText="bothSides">
                    <wp:wrapPolygon edited="0">
                      <wp:start x="0" y="0"/>
                      <wp:lineTo x="0" y="21412"/>
                      <wp:lineTo x="21529" y="21412"/>
                      <wp:lineTo x="21529" y="0"/>
                      <wp:lineTo x="0" y="0"/>
                    </wp:wrapPolygon>
                  </wp:wrapTight>
                  <wp:docPr id="2065" name="Chart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1270FBF4" w14:textId="77777777" w:rsidR="00027FBF" w:rsidRPr="00A83C94" w:rsidRDefault="00027FBF" w:rsidP="00027FBF">
            <w:pPr>
              <w:spacing w:before="0" w:line="240" w:lineRule="auto"/>
              <w:ind w:firstLine="0"/>
              <w:rPr>
                <w:b w:val="0"/>
                <w:i/>
                <w:sz w:val="16"/>
                <w:szCs w:val="16"/>
                <w:lang w:val="hy-AM"/>
              </w:rPr>
            </w:pPr>
            <w:r w:rsidRPr="00A83C94">
              <w:rPr>
                <w:b w:val="0"/>
                <w:i/>
                <w:sz w:val="16"/>
                <w:szCs w:val="16"/>
                <w:lang w:val="hy-AM"/>
              </w:rPr>
              <w:t>Աղբյուրը՝ ԱՄՀ</w:t>
            </w:r>
          </w:p>
        </w:tc>
        <w:tc>
          <w:tcPr>
            <w:tcW w:w="5108" w:type="dxa"/>
            <w:tcBorders>
              <w:top w:val="single" w:sz="6" w:space="0" w:color="4F81BD"/>
              <w:left w:val="single" w:sz="6" w:space="0" w:color="4F81BD"/>
              <w:bottom w:val="single" w:sz="6" w:space="0" w:color="4F81BD"/>
              <w:right w:val="single" w:sz="6" w:space="0" w:color="4F81BD"/>
            </w:tcBorders>
          </w:tcPr>
          <w:p w14:paraId="137E790A" w14:textId="77777777" w:rsidR="00027FBF" w:rsidRPr="00A83C94" w:rsidRDefault="00027FBF" w:rsidP="00027FBF">
            <w:pPr>
              <w:spacing w:line="240" w:lineRule="auto"/>
              <w:ind w:firstLine="0"/>
              <w:rPr>
                <w:bCs/>
                <w:i/>
                <w:sz w:val="18"/>
                <w:szCs w:val="18"/>
                <w:lang w:val="hy-AM"/>
              </w:rPr>
            </w:pPr>
            <w:r w:rsidRPr="00A83C94">
              <w:rPr>
                <w:bCs/>
                <w:i/>
                <w:sz w:val="18"/>
                <w:szCs w:val="18"/>
                <w:lang w:val="hy-AM"/>
              </w:rPr>
              <w:t>Գծապատկեր 1.4. Զարգացող երկրներում ազգային արժույթները  դոլարի նկատմամբ կայունացել են</w:t>
            </w:r>
          </w:p>
          <w:p w14:paraId="75F62D5A" w14:textId="77777777" w:rsidR="00027FBF" w:rsidRPr="00A83C94" w:rsidRDefault="00027FBF" w:rsidP="00027FBF">
            <w:pPr>
              <w:spacing w:before="0" w:line="240" w:lineRule="auto"/>
              <w:ind w:firstLine="0"/>
              <w:rPr>
                <w:b w:val="0"/>
                <w:i/>
                <w:sz w:val="16"/>
                <w:szCs w:val="16"/>
                <w:lang w:val="hy-AM"/>
              </w:rPr>
            </w:pPr>
          </w:p>
          <w:p w14:paraId="0036C2CC" w14:textId="77777777" w:rsidR="00027FBF" w:rsidRPr="00A83C94" w:rsidRDefault="00027FBF" w:rsidP="00027FBF">
            <w:pPr>
              <w:spacing w:before="0" w:line="240" w:lineRule="auto"/>
              <w:ind w:firstLine="0"/>
              <w:jc w:val="left"/>
              <w:rPr>
                <w:b w:val="0"/>
                <w:i/>
                <w:sz w:val="16"/>
                <w:szCs w:val="16"/>
                <w:lang w:val="hy-AM"/>
              </w:rPr>
            </w:pPr>
            <w:r w:rsidRPr="00A83C94">
              <w:rPr>
                <w:b w:val="0"/>
                <w:noProof/>
                <w:lang w:val="en-US" w:eastAsia="en-US"/>
              </w:rPr>
              <w:drawing>
                <wp:inline distT="0" distB="0" distL="0" distR="0" wp14:anchorId="274BB654" wp14:editId="1E9E8B23">
                  <wp:extent cx="3124200" cy="17621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DBAB34" w14:textId="77777777" w:rsidR="00027FBF" w:rsidRPr="00A83C94" w:rsidRDefault="00027FBF" w:rsidP="00027FBF">
            <w:pPr>
              <w:spacing w:before="0" w:line="240" w:lineRule="auto"/>
              <w:ind w:firstLine="0"/>
              <w:jc w:val="left"/>
              <w:rPr>
                <w:b w:val="0"/>
                <w:i/>
                <w:sz w:val="16"/>
                <w:szCs w:val="16"/>
                <w:lang w:val="hy-AM"/>
              </w:rPr>
            </w:pPr>
            <w:r w:rsidRPr="00A83C94">
              <w:rPr>
                <w:b w:val="0"/>
                <w:i/>
                <w:sz w:val="16"/>
                <w:szCs w:val="16"/>
                <w:lang w:val="hy-AM"/>
              </w:rPr>
              <w:t>Աղբյուրը՝ Բլումբերգ, ՀՀ ԿԲ, ՀՀ ՖՆ հաշվարկներ</w:t>
            </w:r>
          </w:p>
          <w:p w14:paraId="3943D258" w14:textId="77777777" w:rsidR="00027FBF" w:rsidRPr="00A83C94" w:rsidRDefault="00027FBF" w:rsidP="00027FBF">
            <w:pPr>
              <w:spacing w:before="0" w:line="240" w:lineRule="auto"/>
              <w:ind w:firstLine="0"/>
              <w:rPr>
                <w:b w:val="0"/>
                <w:i/>
                <w:sz w:val="16"/>
                <w:szCs w:val="16"/>
                <w:lang w:val="hy-AM"/>
              </w:rPr>
            </w:pPr>
          </w:p>
        </w:tc>
      </w:tr>
      <w:tr w:rsidR="00027FBF" w:rsidRPr="00A83C94" w14:paraId="4ECE08DF" w14:textId="77777777" w:rsidTr="00027FBF">
        <w:trPr>
          <w:trHeight w:val="3556"/>
        </w:trPr>
        <w:tc>
          <w:tcPr>
            <w:tcW w:w="5076" w:type="dxa"/>
            <w:tcBorders>
              <w:top w:val="single" w:sz="6" w:space="0" w:color="4F81BD"/>
              <w:left w:val="single" w:sz="6" w:space="0" w:color="4F81BD"/>
              <w:bottom w:val="single" w:sz="6" w:space="0" w:color="4F81BD"/>
              <w:right w:val="single" w:sz="6" w:space="0" w:color="4F81BD"/>
            </w:tcBorders>
            <w:hideMark/>
          </w:tcPr>
          <w:p w14:paraId="04D9D98D" w14:textId="77777777" w:rsidR="00027FBF" w:rsidRPr="00A83C94" w:rsidRDefault="00027FBF" w:rsidP="00027FBF">
            <w:pPr>
              <w:spacing w:line="240" w:lineRule="auto"/>
              <w:ind w:firstLine="0"/>
              <w:rPr>
                <w:bCs/>
                <w:i/>
                <w:sz w:val="18"/>
                <w:szCs w:val="18"/>
                <w:lang w:val="hy-AM"/>
              </w:rPr>
            </w:pPr>
            <w:r w:rsidRPr="00A83C94">
              <w:rPr>
                <w:bCs/>
                <w:i/>
                <w:sz w:val="18"/>
                <w:szCs w:val="18"/>
                <w:lang w:val="hy-AM"/>
              </w:rPr>
              <w:lastRenderedPageBreak/>
              <w:t>Գծապատկեր 1.5. Բաժնետոմսերի միջազգային շուկան  վերականգնվել է</w:t>
            </w:r>
          </w:p>
          <w:p w14:paraId="347BA8CD" w14:textId="77777777" w:rsidR="00027FBF" w:rsidRPr="00A83C94" w:rsidRDefault="00027FBF" w:rsidP="00027FBF">
            <w:pPr>
              <w:spacing w:before="0" w:line="240" w:lineRule="auto"/>
              <w:ind w:firstLine="0"/>
              <w:rPr>
                <w:i/>
                <w:sz w:val="18"/>
                <w:szCs w:val="18"/>
                <w:lang w:val="hy-AM"/>
              </w:rPr>
            </w:pPr>
            <w:r w:rsidRPr="00A83C94">
              <w:rPr>
                <w:b w:val="0"/>
                <w:noProof/>
                <w:lang w:val="en-US" w:eastAsia="en-US"/>
              </w:rPr>
              <w:drawing>
                <wp:inline distT="0" distB="0" distL="0" distR="0" wp14:anchorId="434C704B" wp14:editId="667CB806">
                  <wp:extent cx="3095625" cy="1977292"/>
                  <wp:effectExtent l="0" t="0" r="9525" b="4445"/>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078B41" w14:textId="77777777" w:rsidR="00027FBF" w:rsidRPr="00A83C94" w:rsidRDefault="00027FBF" w:rsidP="00027FBF">
            <w:pPr>
              <w:spacing w:before="0" w:line="240" w:lineRule="auto"/>
              <w:ind w:firstLine="0"/>
              <w:rPr>
                <w:b w:val="0"/>
                <w:bCs/>
                <w:i/>
                <w:sz w:val="18"/>
                <w:szCs w:val="18"/>
                <w:lang w:val="hy-AM"/>
              </w:rPr>
            </w:pPr>
          </w:p>
          <w:p w14:paraId="4775FABB" w14:textId="77777777" w:rsidR="00027FBF" w:rsidRPr="00A83C94" w:rsidRDefault="00027FBF" w:rsidP="00027FBF">
            <w:pPr>
              <w:spacing w:before="0" w:line="240" w:lineRule="auto"/>
              <w:ind w:firstLine="0"/>
              <w:jc w:val="left"/>
              <w:rPr>
                <w:b w:val="0"/>
                <w:bCs/>
                <w:i/>
                <w:sz w:val="18"/>
                <w:szCs w:val="18"/>
                <w:lang w:val="hy-AM"/>
              </w:rPr>
            </w:pPr>
            <w:r w:rsidRPr="00A83C94">
              <w:rPr>
                <w:b w:val="0"/>
                <w:i/>
                <w:sz w:val="16"/>
                <w:szCs w:val="16"/>
                <w:lang w:val="hy-AM"/>
              </w:rPr>
              <w:t>Աղբյուրը՝ Բլումբերգ, ՀՀ ՖՆ հաշվարկներ</w:t>
            </w:r>
          </w:p>
        </w:tc>
        <w:tc>
          <w:tcPr>
            <w:tcW w:w="5108" w:type="dxa"/>
            <w:tcBorders>
              <w:top w:val="single" w:sz="6" w:space="0" w:color="4F81BD"/>
              <w:left w:val="single" w:sz="6" w:space="0" w:color="4F81BD"/>
              <w:bottom w:val="single" w:sz="6" w:space="0" w:color="4F81BD"/>
              <w:right w:val="single" w:sz="6" w:space="0" w:color="4F81BD"/>
            </w:tcBorders>
            <w:hideMark/>
          </w:tcPr>
          <w:p w14:paraId="1420A1AB" w14:textId="77777777" w:rsidR="00027FBF" w:rsidRPr="00A83C94" w:rsidRDefault="00027FBF" w:rsidP="00027FBF">
            <w:pPr>
              <w:spacing w:line="240" w:lineRule="auto"/>
              <w:ind w:firstLine="0"/>
              <w:rPr>
                <w:bCs/>
                <w:i/>
                <w:sz w:val="18"/>
                <w:szCs w:val="18"/>
                <w:lang w:val="hy-AM"/>
              </w:rPr>
            </w:pPr>
            <w:r w:rsidRPr="00A83C94">
              <w:rPr>
                <w:bCs/>
                <w:i/>
                <w:sz w:val="18"/>
                <w:szCs w:val="18"/>
                <w:lang w:val="hy-AM"/>
              </w:rPr>
              <w:t>Գծապատկեր 1.6. Զարգացող երկրներում ռիսկի հավելավճարները</w:t>
            </w:r>
            <w:r w:rsidRPr="00A83C94">
              <w:rPr>
                <w:bCs/>
                <w:i/>
                <w:sz w:val="18"/>
                <w:szCs w:val="18"/>
                <w:lang w:val="hy-AM"/>
              </w:rPr>
              <w:footnoteReference w:id="4"/>
            </w:r>
            <w:r w:rsidRPr="00A83C94">
              <w:rPr>
                <w:bCs/>
                <w:i/>
                <w:sz w:val="18"/>
                <w:szCs w:val="18"/>
                <w:lang w:val="hy-AM"/>
              </w:rPr>
              <w:t xml:space="preserve"> կայունացել են։ </w:t>
            </w:r>
          </w:p>
          <w:p w14:paraId="42E6C668" w14:textId="77777777" w:rsidR="00027FBF" w:rsidRPr="00A83C94" w:rsidRDefault="00027FBF" w:rsidP="00027FBF">
            <w:pPr>
              <w:rPr>
                <w:lang w:val="hy-AM"/>
              </w:rPr>
            </w:pPr>
            <w:r w:rsidRPr="00A83C94">
              <w:rPr>
                <w:b w:val="0"/>
                <w:noProof/>
                <w:lang w:val="en-US" w:eastAsia="en-US"/>
              </w:rPr>
              <w:drawing>
                <wp:inline distT="0" distB="0" distL="0" distR="0" wp14:anchorId="59ACA2A8" wp14:editId="4EE8F720">
                  <wp:extent cx="3181350" cy="2035534"/>
                  <wp:effectExtent l="0" t="0" r="0" b="3175"/>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5660D8" w14:textId="77777777" w:rsidR="00027FBF" w:rsidRPr="00A83C94" w:rsidRDefault="00027FBF" w:rsidP="00027FBF">
            <w:pPr>
              <w:spacing w:before="0" w:line="240" w:lineRule="auto"/>
              <w:ind w:firstLine="0"/>
              <w:jc w:val="left"/>
              <w:rPr>
                <w:b w:val="0"/>
                <w:bCs/>
                <w:i/>
                <w:sz w:val="16"/>
                <w:szCs w:val="16"/>
                <w:lang w:val="en-US"/>
              </w:rPr>
            </w:pPr>
            <w:r w:rsidRPr="00A83C94">
              <w:rPr>
                <w:b w:val="0"/>
                <w:i/>
                <w:sz w:val="16"/>
                <w:szCs w:val="16"/>
                <w:lang w:val="hy-AM"/>
              </w:rPr>
              <w:t>Աղբյուրը՝ Բլումբերգ</w:t>
            </w:r>
            <w:r w:rsidRPr="00A83C94" w:rsidDel="00E34D0C">
              <w:rPr>
                <w:b w:val="0"/>
                <w:bCs/>
                <w:i/>
                <w:sz w:val="18"/>
                <w:szCs w:val="18"/>
                <w:lang w:val="hy-AM"/>
              </w:rPr>
              <w:t xml:space="preserve"> </w:t>
            </w:r>
          </w:p>
        </w:tc>
      </w:tr>
    </w:tbl>
    <w:p w14:paraId="51373B03" w14:textId="77777777" w:rsidR="00027FBF" w:rsidRPr="00A83C94" w:rsidRDefault="00027FBF" w:rsidP="00027FBF">
      <w:pPr>
        <w:spacing w:before="0" w:line="276" w:lineRule="auto"/>
        <w:rPr>
          <w:rFonts w:eastAsia="Calibri"/>
          <w:szCs w:val="22"/>
          <w:lang w:val="hy-AM"/>
        </w:rPr>
      </w:pPr>
    </w:p>
    <w:p w14:paraId="4EDFC06D" w14:textId="77777777" w:rsidR="00027FBF" w:rsidRPr="00A83C94" w:rsidRDefault="00027FBF" w:rsidP="00027FBF">
      <w:pPr>
        <w:spacing w:line="276" w:lineRule="auto"/>
        <w:rPr>
          <w:b w:val="0"/>
          <w:bCs/>
          <w:szCs w:val="22"/>
          <w:lang w:val="hy-AM" w:eastAsia="en-US"/>
        </w:rPr>
      </w:pPr>
      <w:r w:rsidRPr="00A83C94">
        <w:rPr>
          <w:bCs/>
          <w:lang w:val="hy-AM"/>
        </w:rPr>
        <w:t>Առողջապահական և տնտեսական ճգնաժամին հակազդելու համար աշխարհում Կառավարությունները և Կենտրոնական բանկերը ավելի «ագրեսիվ» են խթանում տնտեսություններին, քան իրականացրել են համաշխարհային ֆինանսական ճգնաժամի ժամանակ։</w:t>
      </w:r>
      <w:r w:rsidRPr="00A83C94">
        <w:rPr>
          <w:lang w:val="hy-AM"/>
        </w:rPr>
        <w:t xml:space="preserve"> </w:t>
      </w:r>
      <w:r w:rsidRPr="00A83C94">
        <w:rPr>
          <w:b w:val="0"/>
          <w:bCs/>
          <w:lang w:val="hy-AM"/>
        </w:rPr>
        <w:t>COVID-19 համարավարակի հետևանքները հաղթահարելու համար հարկաբյուջետային քաղաքականությունը առանցքային դերակատարում ունի։ Ընդհանուր առմամբ, համավարակին հակազդելու համար մշակված հարկաբյուջետային փաթեթներն աշխարհի մակարդակով գնահատվում են 16.5 տրիլիոն դոլար (վերաբերում է ինչպես 2020, այնպես էլ 2021թ</w:t>
      </w:r>
      <w:r w:rsidRPr="00A83C94">
        <w:rPr>
          <w:rFonts w:ascii="Cambria Math" w:hAnsi="Cambria Math" w:cs="Cambria Math"/>
          <w:b w:val="0"/>
          <w:bCs/>
          <w:lang w:val="hy-AM"/>
        </w:rPr>
        <w:t>․</w:t>
      </w:r>
      <w:r w:rsidRPr="00A83C94">
        <w:rPr>
          <w:b w:val="0"/>
          <w:bCs/>
          <w:lang w:val="hy-AM"/>
        </w:rPr>
        <w:t xml:space="preserve"> համար նախատեսված միջոցառումներին)</w:t>
      </w:r>
      <w:r w:rsidRPr="00A83C94">
        <w:rPr>
          <w:b w:val="0"/>
          <w:bCs/>
          <w:vertAlign w:val="superscript"/>
        </w:rPr>
        <w:footnoteReference w:id="5"/>
      </w:r>
      <w:r w:rsidRPr="00A83C94">
        <w:rPr>
          <w:b w:val="0"/>
          <w:bCs/>
          <w:lang w:val="hy-AM"/>
        </w:rPr>
        <w:t>։ Վերջինից 10 տրիլիոնը վերաբերում է ծախսային և հարկային միջոցառումներին (բյուջեի վրա ուղղակի ազդեցություն ունեցող), իսկ 6 տրիլիոնը՝ պետական վարկերի, կապիտալի ներարկումների և վարկային երաշխիքների տրամադրմանը։ Կենտրոնական բանկերը ևս խթանող դրամավարկային քաղաքականությամբ (տոկոսադրույքների նվազեցում և ֆինանսական շուկայից ակտիվների ձեռք բերման աննախադեպ ծրագրերի իրականացում) հակազդել են համավարակի տարածման տնտեսական ազդեցություններին։</w:t>
      </w:r>
    </w:p>
    <w:p w14:paraId="78E5E35F" w14:textId="77777777" w:rsidR="00027FBF" w:rsidRPr="00A83C94" w:rsidRDefault="00027FBF" w:rsidP="00027FBF">
      <w:pPr>
        <w:spacing w:line="276" w:lineRule="auto"/>
        <w:rPr>
          <w:b w:val="0"/>
          <w:bCs/>
          <w:lang w:val="hy-AM"/>
        </w:rPr>
      </w:pPr>
      <w:r w:rsidRPr="00A83C94">
        <w:rPr>
          <w:b w:val="0"/>
          <w:bCs/>
          <w:lang w:val="hy-AM"/>
        </w:rPr>
        <w:t>Խթանող հարկաբյուջետային քաղաքականության պայմաններում 2020թ. աշխարհում գրանցվել է պետական բյուջեի պակասուրդի և պարտքի բեռի էական աճ: 2021թ. սպասվող վերականգնման պայմաններում Կառավարությունները սկսել են իրականացնել հարկաբյուջետային կոնսոլիդացիա՝ պետական պարտքի բեռի աճը մեղմելու և հետագայում կայունացնելու նպատակադրմամբ:</w:t>
      </w:r>
    </w:p>
    <w:p w14:paraId="2650A22F" w14:textId="77777777" w:rsidR="00027FBF" w:rsidRPr="00A83C94" w:rsidRDefault="00027FBF" w:rsidP="00027FBF">
      <w:pPr>
        <w:spacing w:line="276" w:lineRule="auto"/>
        <w:rPr>
          <w:b w:val="0"/>
          <w:bCs/>
          <w:lang w:val="hy-AM"/>
        </w:rPr>
      </w:pPr>
    </w:p>
    <w:p w14:paraId="7E6AA37C" w14:textId="77777777" w:rsidR="00027FBF" w:rsidRPr="00A83C94" w:rsidRDefault="00027FBF" w:rsidP="00027FBF">
      <w:pPr>
        <w:spacing w:line="276" w:lineRule="auto"/>
        <w:rPr>
          <w:b w:val="0"/>
          <w:bCs/>
          <w:lang w:val="hy-AM"/>
        </w:rPr>
      </w:pPr>
    </w:p>
    <w:p w14:paraId="5C0ED803" w14:textId="77777777" w:rsidR="00027FBF" w:rsidRPr="00A83C94" w:rsidRDefault="00027FBF" w:rsidP="00027FBF">
      <w:pPr>
        <w:spacing w:line="276" w:lineRule="auto"/>
        <w:rPr>
          <w:b w:val="0"/>
          <w:bCs/>
          <w:lang w:val="hy-AM"/>
        </w:rPr>
      </w:pPr>
    </w:p>
    <w:p w14:paraId="4081D09E" w14:textId="77777777" w:rsidR="00027FBF" w:rsidRPr="00A83C94" w:rsidRDefault="00027FBF" w:rsidP="00027FBF">
      <w:pPr>
        <w:pStyle w:val="af3"/>
      </w:pPr>
      <w:r w:rsidRPr="00A83C94">
        <w:lastRenderedPageBreak/>
        <w:t xml:space="preserve">Գծապատկեր 1.7. Համաշխարհային տնտեսության և հարկաբյուջետային քաղաքականության արձագանքը (% ՀՆԱ-ում) ճգնաժամերի և հաջորդող տարիներին </w:t>
      </w:r>
    </w:p>
    <w:p w14:paraId="4F2D1BF5" w14:textId="77777777" w:rsidR="00027FBF" w:rsidRPr="00A83C94" w:rsidRDefault="00027FBF" w:rsidP="00027FBF">
      <w:pPr>
        <w:spacing w:before="0" w:line="276" w:lineRule="auto"/>
        <w:rPr>
          <w:rFonts w:eastAsia="Calibri"/>
          <w:szCs w:val="22"/>
          <w:lang w:val="hy-AM"/>
        </w:rPr>
      </w:pPr>
    </w:p>
    <w:p w14:paraId="109668B0" w14:textId="77777777" w:rsidR="00027FBF" w:rsidRPr="00A83C94" w:rsidRDefault="00027FBF" w:rsidP="00027FBF">
      <w:pPr>
        <w:keepNext/>
        <w:keepLines/>
        <w:spacing w:before="0" w:line="276" w:lineRule="auto"/>
        <w:jc w:val="left"/>
        <w:outlineLvl w:val="2"/>
        <w:rPr>
          <w:rFonts w:cs="Sylfaen"/>
          <w:i/>
          <w:sz w:val="16"/>
          <w:szCs w:val="16"/>
          <w:lang w:val="hy-AM"/>
        </w:rPr>
      </w:pPr>
    </w:p>
    <w:tbl>
      <w:tblPr>
        <w:tblW w:w="9619"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3159"/>
        <w:gridCol w:w="3273"/>
        <w:gridCol w:w="3187"/>
      </w:tblGrid>
      <w:tr w:rsidR="00027FBF" w:rsidRPr="00A83C94" w14:paraId="713170B1" w14:textId="77777777" w:rsidTr="00027FBF">
        <w:trPr>
          <w:trHeight w:val="3593"/>
        </w:trPr>
        <w:tc>
          <w:tcPr>
            <w:tcW w:w="3159" w:type="dxa"/>
            <w:tcBorders>
              <w:top w:val="single" w:sz="6" w:space="0" w:color="4472C4"/>
              <w:left w:val="single" w:sz="6" w:space="0" w:color="4472C4"/>
              <w:bottom w:val="single" w:sz="6" w:space="0" w:color="4472C4"/>
              <w:right w:val="single" w:sz="6" w:space="0" w:color="4472C4"/>
            </w:tcBorders>
            <w:hideMark/>
          </w:tcPr>
          <w:p w14:paraId="753AE3E1" w14:textId="77777777" w:rsidR="00027FBF" w:rsidRPr="00A83C94" w:rsidRDefault="00027FBF" w:rsidP="00027FBF">
            <w:pPr>
              <w:ind w:right="-29" w:firstLine="0"/>
              <w:rPr>
                <w:b w:val="0"/>
                <w:noProof/>
                <w:lang w:val="en-US"/>
              </w:rPr>
            </w:pPr>
            <w:r w:rsidRPr="00A83C94">
              <w:rPr>
                <w:b w:val="0"/>
                <w:noProof/>
                <w:lang w:val="en-US" w:eastAsia="en-US"/>
              </w:rPr>
              <w:drawing>
                <wp:inline distT="0" distB="0" distL="0" distR="0" wp14:anchorId="5A5D5646" wp14:editId="49C3987E">
                  <wp:extent cx="1844431" cy="2562860"/>
                  <wp:effectExtent l="0" t="0" r="381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451490" w14:textId="77777777" w:rsidR="00027FBF" w:rsidRPr="00A83C94" w:rsidRDefault="00027FBF" w:rsidP="00027FBF">
            <w:pPr>
              <w:ind w:firstLine="0"/>
            </w:pPr>
            <w:r w:rsidRPr="00A83C94">
              <w:rPr>
                <w:rFonts w:eastAsia="Calibri"/>
                <w:b w:val="0"/>
                <w:i/>
                <w:sz w:val="16"/>
                <w:szCs w:val="16"/>
                <w:lang w:val="hy-AM"/>
              </w:rPr>
              <w:t>Աղբյուրը՝ ԱՄՀ, 2021թ. կանխատեսում:</w:t>
            </w:r>
          </w:p>
        </w:tc>
        <w:tc>
          <w:tcPr>
            <w:tcW w:w="3273" w:type="dxa"/>
            <w:tcBorders>
              <w:top w:val="single" w:sz="6" w:space="0" w:color="4472C4"/>
              <w:left w:val="single" w:sz="6" w:space="0" w:color="4472C4"/>
              <w:bottom w:val="single" w:sz="6" w:space="0" w:color="4472C4"/>
              <w:right w:val="single" w:sz="6" w:space="0" w:color="4472C4"/>
            </w:tcBorders>
            <w:hideMark/>
          </w:tcPr>
          <w:p w14:paraId="4832D2D2" w14:textId="77777777" w:rsidR="00027FBF" w:rsidRPr="00A83C94" w:rsidRDefault="00027FBF" w:rsidP="00027FBF">
            <w:pPr>
              <w:spacing w:before="0" w:line="276" w:lineRule="auto"/>
              <w:ind w:firstLine="0"/>
            </w:pPr>
            <w:r w:rsidRPr="00A83C94">
              <w:rPr>
                <w:b w:val="0"/>
                <w:noProof/>
                <w:lang w:val="en-US" w:eastAsia="en-US"/>
              </w:rPr>
              <w:drawing>
                <wp:inline distT="0" distB="0" distL="0" distR="0" wp14:anchorId="6FBDE42D" wp14:editId="62E77A59">
                  <wp:extent cx="1866900" cy="27146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187" w:type="dxa"/>
            <w:tcBorders>
              <w:top w:val="single" w:sz="6" w:space="0" w:color="4472C4"/>
              <w:left w:val="single" w:sz="6" w:space="0" w:color="4472C4"/>
              <w:bottom w:val="single" w:sz="6" w:space="0" w:color="4472C4"/>
              <w:right w:val="single" w:sz="6" w:space="0" w:color="4472C4"/>
            </w:tcBorders>
            <w:hideMark/>
          </w:tcPr>
          <w:p w14:paraId="60CE9B87" w14:textId="77777777" w:rsidR="00027FBF" w:rsidRPr="00A83C94" w:rsidRDefault="00027FBF" w:rsidP="00027FBF">
            <w:pPr>
              <w:spacing w:before="0" w:line="276" w:lineRule="auto"/>
              <w:ind w:firstLine="0"/>
            </w:pPr>
            <w:r w:rsidRPr="00A83C94">
              <w:rPr>
                <w:b w:val="0"/>
                <w:noProof/>
                <w:lang w:val="en-US" w:eastAsia="en-US"/>
              </w:rPr>
              <w:drawing>
                <wp:inline distT="0" distB="0" distL="0" distR="0" wp14:anchorId="654D86AA" wp14:editId="6A341BE5">
                  <wp:extent cx="1866900" cy="27527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10BD30A9" w14:textId="77777777" w:rsidR="00027FBF" w:rsidRPr="00A83C94" w:rsidRDefault="00027FBF" w:rsidP="00027FBF">
      <w:pPr>
        <w:keepNext/>
        <w:keepLines/>
        <w:spacing w:before="240" w:after="60" w:line="276" w:lineRule="auto"/>
        <w:ind w:firstLine="0"/>
        <w:outlineLvl w:val="2"/>
        <w:rPr>
          <w:bCs/>
          <w:sz w:val="24"/>
          <w:lang w:val="hy-AM" w:eastAsia="en-US"/>
        </w:rPr>
      </w:pPr>
      <w:r w:rsidRPr="00A83C94">
        <w:rPr>
          <w:bCs/>
          <w:sz w:val="28"/>
          <w:szCs w:val="28"/>
          <w:lang w:val="hy-AM"/>
        </w:rPr>
        <w:br w:type="page"/>
      </w:r>
      <w:bookmarkStart w:id="23" w:name="_Toc57559414"/>
      <w:bookmarkStart w:id="24" w:name="_Toc83663896"/>
      <w:bookmarkStart w:id="25" w:name="_Toc83972832"/>
      <w:bookmarkStart w:id="26" w:name="_Toc89428287"/>
      <w:bookmarkStart w:id="27" w:name="_Toc45705389"/>
      <w:bookmarkEnd w:id="21"/>
      <w:bookmarkEnd w:id="22"/>
      <w:r w:rsidRPr="00A83C94">
        <w:rPr>
          <w:bCs/>
          <w:sz w:val="24"/>
          <w:lang w:val="hy-AM" w:eastAsia="en-US"/>
        </w:rPr>
        <w:lastRenderedPageBreak/>
        <w:t>1.3. ՀՀ ՄԱԿՐՈՏՆՏԵՍԱԿԱՆ ԶԱՐԳԱՑՈՒՄՆԵՐ ԵՎ ԿԱՆԽԱՏԵՍՈՒՄՆԵՐ</w:t>
      </w:r>
      <w:bookmarkEnd w:id="23"/>
      <w:bookmarkEnd w:id="24"/>
      <w:bookmarkEnd w:id="25"/>
      <w:bookmarkEnd w:id="26"/>
    </w:p>
    <w:p w14:paraId="45008EB3"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bookmarkStart w:id="28" w:name="_Toc45705385"/>
      <w:bookmarkStart w:id="29" w:name="_Toc51360523"/>
      <w:r w:rsidRPr="00A83C94">
        <w:rPr>
          <w:rFonts w:eastAsia="Calibri"/>
          <w:bCs/>
          <w:sz w:val="24"/>
          <w:lang w:val="hy-AM" w:eastAsia="en-US"/>
        </w:rPr>
        <w:t>1.3.1. ՀՆԱ և տնտեսական աճ</w:t>
      </w:r>
      <w:bookmarkEnd w:id="28"/>
      <w:bookmarkEnd w:id="29"/>
    </w:p>
    <w:p w14:paraId="416F318F" w14:textId="77777777" w:rsidR="00027FBF" w:rsidRPr="00A83C94" w:rsidRDefault="00027FBF" w:rsidP="00027FBF">
      <w:pPr>
        <w:spacing w:before="40" w:after="60" w:line="276" w:lineRule="auto"/>
        <w:ind w:firstLine="634"/>
        <w:contextualSpacing w:val="0"/>
        <w:rPr>
          <w:rFonts w:cs="Sylfaen"/>
          <w:b w:val="0"/>
          <w:bCs/>
          <w:szCs w:val="22"/>
          <w:lang w:val="hy-AM" w:eastAsia="en-US"/>
        </w:rPr>
      </w:pPr>
      <w:r w:rsidRPr="00A83C94">
        <w:rPr>
          <w:rFonts w:cs="Sylfaen"/>
          <w:bCs/>
          <w:szCs w:val="22"/>
          <w:lang w:val="hy-AM" w:eastAsia="en-US"/>
        </w:rPr>
        <w:t xml:space="preserve">2020թ. Համավարակի և Արցախյան պատերազմի բացասական ազդեցություններով պայմանավորված գրանցվեց 7.4% տնտեսական անկում: </w:t>
      </w:r>
      <w:r w:rsidRPr="00A83C94">
        <w:rPr>
          <w:rFonts w:cs="Sylfaen"/>
          <w:b w:val="0"/>
          <w:bCs/>
          <w:szCs w:val="22"/>
          <w:lang w:val="hy-AM" w:eastAsia="en-US"/>
        </w:rPr>
        <w:t xml:space="preserve">Նվազեցին տնտեսության բոլոր ճյուղերը, սակայն տնտեսական անկմանը հիմնականում նպաստեց ծառայությունների ճյուղը։ Պահանջարկի տեսանկյունից տնտեսական անկումը պայմանավորեցին ներքին պահանջարկի (հատկապես՝ մասնավոր սպառման) և արտահանման նվազումները։ </w:t>
      </w:r>
    </w:p>
    <w:p w14:paraId="61CD0E31" w14:textId="77777777" w:rsidR="00027FBF" w:rsidRPr="00A83C94" w:rsidRDefault="00027FBF" w:rsidP="00027FBF">
      <w:pPr>
        <w:spacing w:before="40" w:after="120" w:line="276" w:lineRule="auto"/>
        <w:ind w:firstLine="634"/>
        <w:contextualSpacing w:val="0"/>
        <w:rPr>
          <w:rFonts w:cs="Sylfaen"/>
          <w:b w:val="0"/>
          <w:szCs w:val="22"/>
          <w:lang w:val="hy-AM" w:eastAsia="en-US"/>
        </w:rPr>
      </w:pPr>
      <w:r w:rsidRPr="00A83C94">
        <w:rPr>
          <w:rFonts w:cs="Sylfaen"/>
          <w:szCs w:val="22"/>
          <w:lang w:val="hy-AM" w:eastAsia="en-US"/>
        </w:rPr>
        <w:t xml:space="preserve">2021թ. առաջին եռամսյակում տնտեսության անկման տեմպերը դանդաղեցին,  կիսամյակում տնտեսական աճի տեմպը վերականգնվեց և գրանցվեց 5.0% տնտեսական աճ։ </w:t>
      </w:r>
      <w:r w:rsidRPr="00A83C94">
        <w:rPr>
          <w:rFonts w:cs="Sylfaen"/>
          <w:b w:val="0"/>
          <w:szCs w:val="22"/>
          <w:lang w:val="hy-AM" w:eastAsia="en-US"/>
        </w:rPr>
        <w:t>Տնտեսության բոլոր ճյուղերն աճեցին, սակայն տնտեսական աճը պայմանավորվեց հիմնականում ծառայությունների աճով (նպաստումը՝ 3.1 տոկոսային կետ)։</w:t>
      </w:r>
    </w:p>
    <w:tbl>
      <w:tblPr>
        <w:tblW w:w="0" w:type="auto"/>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4845"/>
        <w:gridCol w:w="4901"/>
      </w:tblGrid>
      <w:tr w:rsidR="00027FBF" w:rsidRPr="006B7E7B" w14:paraId="091030A3" w14:textId="77777777" w:rsidTr="00027FBF">
        <w:trPr>
          <w:trHeight w:val="3430"/>
          <w:jc w:val="center"/>
        </w:trPr>
        <w:tc>
          <w:tcPr>
            <w:tcW w:w="4963" w:type="dxa"/>
          </w:tcPr>
          <w:p w14:paraId="12A66670" w14:textId="77777777" w:rsidR="00027FBF" w:rsidRPr="00A83C94" w:rsidRDefault="00027FBF" w:rsidP="00027FBF">
            <w:pPr>
              <w:spacing w:before="0" w:after="60" w:line="240" w:lineRule="auto"/>
              <w:ind w:firstLine="0"/>
              <w:contextualSpacing w:val="0"/>
              <w:rPr>
                <w:i/>
                <w:noProof/>
                <w:sz w:val="18"/>
                <w:szCs w:val="18"/>
                <w:lang w:val="hy-AM" w:eastAsia="en-US"/>
              </w:rPr>
            </w:pPr>
            <w:r w:rsidRPr="00A83C94">
              <w:rPr>
                <w:i/>
                <w:noProof/>
                <w:sz w:val="18"/>
                <w:szCs w:val="18"/>
                <w:lang w:val="hy-AM" w:eastAsia="en-US"/>
              </w:rPr>
              <w:t>Գծապատկեր 1.8. ՀՆԱ աճ (%) և ճյուղերի նպաստում- ները ՀՆԱ աճին (տ.կ.)</w:t>
            </w:r>
          </w:p>
          <w:p w14:paraId="14B49B1A" w14:textId="77777777" w:rsidR="00027FBF" w:rsidRPr="00A83C94" w:rsidRDefault="00027FBF" w:rsidP="00027FBF">
            <w:pPr>
              <w:spacing w:before="0" w:line="276" w:lineRule="auto"/>
              <w:ind w:firstLine="29"/>
              <w:contextualSpacing w:val="0"/>
              <w:jc w:val="left"/>
              <w:rPr>
                <w:rFonts w:ascii="Times New Roman" w:hAnsi="Times New Roman"/>
                <w:b w:val="0"/>
                <w:sz w:val="24"/>
                <w:lang w:val="en-US" w:eastAsia="en-US"/>
              </w:rPr>
            </w:pPr>
            <w:r w:rsidRPr="00A83C94">
              <w:rPr>
                <w:rFonts w:ascii="Times New Roman" w:hAnsi="Times New Roman"/>
                <w:b w:val="0"/>
                <w:noProof/>
                <w:color w:val="1F4E79"/>
                <w:sz w:val="24"/>
                <w:lang w:val="en-US" w:eastAsia="en-US"/>
              </w:rPr>
              <w:drawing>
                <wp:inline distT="0" distB="0" distL="0" distR="0" wp14:anchorId="6C1F0EDC" wp14:editId="7E89F29F">
                  <wp:extent cx="2903855" cy="1698625"/>
                  <wp:effectExtent l="0" t="0" r="10795" b="15875"/>
                  <wp:docPr id="2073" name="Chart 2073">
                    <a:extLst xmlns:a="http://schemas.openxmlformats.org/drawingml/2006/main">
                      <a:ext uri="{FF2B5EF4-FFF2-40B4-BE49-F238E27FC236}">
                        <a16:creationId xmlns:a16="http://schemas.microsoft.com/office/drawing/2014/main" id="{B706C3B2-915B-4C24-A125-9A8A708CD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AEE1B3" w14:textId="77777777" w:rsidR="00027FBF" w:rsidRPr="00A83C94" w:rsidRDefault="00027FBF" w:rsidP="00027FBF">
            <w:pPr>
              <w:spacing w:before="0" w:line="276" w:lineRule="auto"/>
              <w:ind w:firstLine="0"/>
              <w:jc w:val="left"/>
              <w:rPr>
                <w:b w:val="0"/>
                <w:i/>
                <w:sz w:val="16"/>
                <w:szCs w:val="16"/>
                <w:lang w:val="hy-AM" w:eastAsia="en-US"/>
              </w:rPr>
            </w:pPr>
            <w:r w:rsidRPr="00A83C94">
              <w:rPr>
                <w:rFonts w:eastAsia="Calibri"/>
                <w:b w:val="0"/>
                <w:i/>
                <w:sz w:val="16"/>
                <w:szCs w:val="16"/>
                <w:lang w:val="hy-AM"/>
              </w:rPr>
              <w:t>Աղբյուրը՝ ՀՀ ՎԿ, ՀՀ ՖՆ հաշվարկներ</w:t>
            </w:r>
            <w:r w:rsidRPr="00A83C94">
              <w:rPr>
                <w:b w:val="0"/>
                <w:i/>
                <w:sz w:val="18"/>
                <w:szCs w:val="16"/>
                <w:lang w:val="hy-AM" w:eastAsia="en-US"/>
              </w:rPr>
              <w:t xml:space="preserve"> </w:t>
            </w:r>
          </w:p>
        </w:tc>
        <w:tc>
          <w:tcPr>
            <w:tcW w:w="4963" w:type="dxa"/>
          </w:tcPr>
          <w:p w14:paraId="23158524" w14:textId="77777777" w:rsidR="00027FBF" w:rsidRPr="00A83C94" w:rsidRDefault="00027FBF" w:rsidP="00027FBF">
            <w:pPr>
              <w:spacing w:before="0" w:after="60" w:line="240" w:lineRule="auto"/>
              <w:ind w:firstLine="0"/>
              <w:contextualSpacing w:val="0"/>
              <w:rPr>
                <w:i/>
                <w:noProof/>
                <w:sz w:val="18"/>
                <w:szCs w:val="18"/>
                <w:lang w:val="hy-AM" w:eastAsia="en-US"/>
              </w:rPr>
            </w:pPr>
            <w:r w:rsidRPr="00A83C94">
              <w:rPr>
                <w:i/>
                <w:noProof/>
                <w:sz w:val="18"/>
                <w:szCs w:val="18"/>
                <w:lang w:val="hy-AM" w:eastAsia="en-US"/>
              </w:rPr>
              <w:t>Գծապատկեր 1.9. ՀՆԱ աճ (%) և պահանջարկի բաղա- դրիչների նպաստումները ՀՆԱ աճին (տ.կ.)</w:t>
            </w:r>
          </w:p>
          <w:p w14:paraId="0BA18C53" w14:textId="77777777" w:rsidR="00027FBF" w:rsidRPr="00A83C94" w:rsidRDefault="00027FBF" w:rsidP="00027FBF">
            <w:pPr>
              <w:spacing w:before="0" w:line="276" w:lineRule="auto"/>
              <w:ind w:firstLine="0"/>
              <w:rPr>
                <w:i/>
                <w:noProof/>
                <w:szCs w:val="22"/>
                <w:lang w:val="hy-AM" w:eastAsia="en-US"/>
              </w:rPr>
            </w:pPr>
            <w:r w:rsidRPr="00A83C94">
              <w:rPr>
                <w:i/>
                <w:noProof/>
                <w:color w:val="1F4E79"/>
                <w:szCs w:val="22"/>
                <w:lang w:val="en-US" w:eastAsia="en-US"/>
              </w:rPr>
              <w:drawing>
                <wp:inline distT="0" distB="0" distL="0" distR="0" wp14:anchorId="0D2DC2C3" wp14:editId="2F957634">
                  <wp:extent cx="2962275" cy="1698984"/>
                  <wp:effectExtent l="0" t="0" r="9525" b="15875"/>
                  <wp:docPr id="2074" name="Chart 2074">
                    <a:extLst xmlns:a="http://schemas.openxmlformats.org/drawingml/2006/main">
                      <a:ext uri="{FF2B5EF4-FFF2-40B4-BE49-F238E27FC236}">
                        <a16:creationId xmlns:a16="http://schemas.microsoft.com/office/drawing/2014/main" id="{9315E2B3-D3AE-476A-B7C4-ACF3898E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910240" w14:textId="77777777" w:rsidR="00027FBF" w:rsidRPr="00A83C94" w:rsidRDefault="00027FBF" w:rsidP="00027FBF">
            <w:pPr>
              <w:spacing w:before="40" w:line="276" w:lineRule="auto"/>
              <w:ind w:firstLine="0"/>
              <w:contextualSpacing w:val="0"/>
              <w:jc w:val="left"/>
              <w:rPr>
                <w:b w:val="0"/>
                <w:i/>
                <w:sz w:val="16"/>
                <w:szCs w:val="16"/>
                <w:lang w:val="hy-AM" w:eastAsia="en-US"/>
              </w:rPr>
            </w:pPr>
            <w:r w:rsidRPr="00A83C94">
              <w:rPr>
                <w:rFonts w:eastAsia="Calibri"/>
                <w:b w:val="0"/>
                <w:i/>
                <w:sz w:val="16"/>
                <w:szCs w:val="16"/>
                <w:lang w:val="hy-AM"/>
              </w:rPr>
              <w:t>Աղբյուրը՝ ՀՀ ՎԿ, ՀՀ ՖՆ հաշվարկներ</w:t>
            </w:r>
          </w:p>
        </w:tc>
      </w:tr>
    </w:tbl>
    <w:p w14:paraId="4D269975" w14:textId="77777777" w:rsidR="00027FBF" w:rsidRPr="00A83C94" w:rsidRDefault="00027FBF" w:rsidP="00027FBF">
      <w:pPr>
        <w:spacing w:after="120" w:line="276" w:lineRule="auto"/>
        <w:ind w:firstLine="634"/>
        <w:contextualSpacing w:val="0"/>
        <w:rPr>
          <w:rFonts w:cs="Sylfaen"/>
          <w:b w:val="0"/>
          <w:szCs w:val="22"/>
          <w:lang w:val="hy-AM" w:eastAsia="en-US"/>
        </w:rPr>
      </w:pPr>
    </w:p>
    <w:p w14:paraId="5CD9F8D7" w14:textId="77777777" w:rsidR="00027FBF" w:rsidRPr="00A83C94" w:rsidRDefault="00027FBF" w:rsidP="00027FBF">
      <w:pPr>
        <w:spacing w:after="120" w:line="276" w:lineRule="auto"/>
        <w:ind w:firstLine="634"/>
        <w:contextualSpacing w:val="0"/>
        <w:rPr>
          <w:rFonts w:cs="Sylfaen"/>
          <w:b w:val="0"/>
          <w:szCs w:val="22"/>
          <w:lang w:val="hy-AM" w:eastAsia="en-US"/>
        </w:rPr>
      </w:pPr>
      <w:r w:rsidRPr="00A83C94">
        <w:rPr>
          <w:rFonts w:cs="Sylfaen"/>
          <w:b w:val="0"/>
          <w:szCs w:val="22"/>
          <w:lang w:val="hy-AM" w:eastAsia="en-US"/>
        </w:rPr>
        <w:t xml:space="preserve">Հուլիս-օգոստոս ամիսներին </w:t>
      </w:r>
      <w:r w:rsidRPr="00A83C94">
        <w:rPr>
          <w:rFonts w:cs="Sylfaen"/>
          <w:b w:val="0"/>
          <w:bCs/>
          <w:szCs w:val="22"/>
          <w:lang w:val="hy-AM" w:eastAsia="en-US"/>
        </w:rPr>
        <w:t>տնտեսական ակտիվության աճը շարունակվեց և</w:t>
      </w:r>
      <w:r w:rsidRPr="00A83C94">
        <w:rPr>
          <w:rFonts w:cs="Sylfaen"/>
          <w:bCs/>
          <w:szCs w:val="22"/>
          <w:lang w:val="hy-AM" w:eastAsia="en-US"/>
        </w:rPr>
        <w:t xml:space="preserve"> </w:t>
      </w:r>
      <w:r w:rsidRPr="00A83C94">
        <w:rPr>
          <w:rFonts w:cs="Sylfaen"/>
          <w:b w:val="0"/>
          <w:bCs/>
          <w:szCs w:val="22"/>
          <w:lang w:val="hy-AM" w:eastAsia="en-US"/>
        </w:rPr>
        <w:t>ա</w:t>
      </w:r>
      <w:r w:rsidRPr="00A83C94">
        <w:rPr>
          <w:rFonts w:cs="Sylfaen"/>
          <w:b w:val="0"/>
          <w:szCs w:val="22"/>
          <w:lang w:val="hy-AM" w:eastAsia="en-US"/>
        </w:rPr>
        <w:t>րդյունքում</w:t>
      </w:r>
      <w:r w:rsidRPr="00A83C94">
        <w:rPr>
          <w:rFonts w:cs="Sylfaen"/>
          <w:bCs/>
          <w:szCs w:val="22"/>
          <w:lang w:val="hy-AM" w:eastAsia="en-US"/>
        </w:rPr>
        <w:t xml:space="preserve"> </w:t>
      </w:r>
      <w:r w:rsidRPr="00A83C94">
        <w:rPr>
          <w:rFonts w:cs="Sylfaen"/>
          <w:b w:val="0"/>
          <w:szCs w:val="22"/>
          <w:lang w:val="hy-AM" w:eastAsia="en-US"/>
        </w:rPr>
        <w:t>2021թ. հունվար-օգոստոսին արձանագրվեց տնտեսական ակտիվության (ՏԱՑ) 4.9% աճ, ինչը պայմանավորված էր հիմնականում ծառայությունների աճով (2.5 տոկոսային կետ</w:t>
      </w:r>
      <w:r w:rsidRPr="00A83C94">
        <w:rPr>
          <w:rFonts w:cs="Sylfaen"/>
          <w:b w:val="0"/>
          <w:szCs w:val="22"/>
          <w:vertAlign w:val="superscript"/>
          <w:lang w:eastAsia="en-US"/>
        </w:rPr>
        <w:footnoteReference w:id="6"/>
      </w:r>
      <w:r w:rsidRPr="00A83C94">
        <w:rPr>
          <w:rFonts w:cs="Sylfaen"/>
          <w:b w:val="0"/>
          <w:szCs w:val="22"/>
          <w:lang w:val="hy-AM" w:eastAsia="en-US"/>
        </w:rPr>
        <w:t>)։ Մյուս ճյուղերի համախառն թողարկումների իրական աճերը ևս նպաստեցին տնտեսական ակտիվությանը։</w:t>
      </w:r>
    </w:p>
    <w:tbl>
      <w:tblPr>
        <w:tblStyle w:val="TableGrid1250"/>
        <w:tblW w:w="0" w:type="auto"/>
        <w:jc w:val="center"/>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4928"/>
        <w:gridCol w:w="4812"/>
      </w:tblGrid>
      <w:tr w:rsidR="00027FBF" w:rsidRPr="00A83C94" w14:paraId="146AB315" w14:textId="77777777" w:rsidTr="00027FBF">
        <w:trPr>
          <w:trHeight w:val="4129"/>
          <w:jc w:val="center"/>
        </w:trPr>
        <w:tc>
          <w:tcPr>
            <w:tcW w:w="5069" w:type="dxa"/>
            <w:shd w:val="clear" w:color="auto" w:fill="auto"/>
          </w:tcPr>
          <w:p w14:paraId="312C3A0E" w14:textId="77777777" w:rsidR="00027FBF" w:rsidRPr="00A83C94" w:rsidRDefault="00027FBF" w:rsidP="00027FBF">
            <w:pPr>
              <w:spacing w:before="0" w:after="60" w:line="240" w:lineRule="auto"/>
              <w:ind w:firstLine="0"/>
              <w:contextualSpacing w:val="0"/>
              <w:rPr>
                <w:rFonts w:eastAsia="Calibri"/>
                <w:i/>
                <w:noProof/>
                <w:sz w:val="18"/>
                <w:szCs w:val="18"/>
                <w:lang w:val="hy-AM" w:eastAsia="en-US"/>
              </w:rPr>
            </w:pPr>
            <w:r w:rsidRPr="00A83C94">
              <w:rPr>
                <w:rFonts w:eastAsia="Calibri"/>
                <w:i/>
                <w:noProof/>
                <w:sz w:val="18"/>
                <w:szCs w:val="18"/>
                <w:lang w:val="hy-AM" w:eastAsia="en-US"/>
              </w:rPr>
              <w:lastRenderedPageBreak/>
              <w:t>Գծապատկեր 1.10. ՏԱՑ և տնտեսության ճյուղերի իրա- կան աճերը նախորդ տարվա նույն ժամանակահատ- վածի նկատմամբ (%)</w:t>
            </w:r>
          </w:p>
          <w:p w14:paraId="08BBFEC9" w14:textId="77777777" w:rsidR="00027FBF" w:rsidRPr="00A83C94" w:rsidRDefault="00027FBF" w:rsidP="00027FBF">
            <w:pPr>
              <w:spacing w:before="0" w:line="276" w:lineRule="auto"/>
              <w:ind w:firstLine="0"/>
              <w:rPr>
                <w:rFonts w:eastAsia="Calibri"/>
                <w:i/>
                <w:noProof/>
                <w:szCs w:val="22"/>
                <w:lang w:val="hy-AM" w:eastAsia="en-US"/>
              </w:rPr>
            </w:pPr>
            <w:r w:rsidRPr="00A83C94">
              <w:rPr>
                <w:rFonts w:eastAsia="Calibri"/>
                <w:i/>
                <w:noProof/>
                <w:szCs w:val="22"/>
                <w:lang w:val="en-US" w:eastAsia="en-US"/>
              </w:rPr>
              <w:drawing>
                <wp:inline distT="0" distB="0" distL="0" distR="0" wp14:anchorId="13E467AF" wp14:editId="3C6A604B">
                  <wp:extent cx="3064510" cy="2176145"/>
                  <wp:effectExtent l="0" t="0" r="2540" b="14605"/>
                  <wp:docPr id="2075" name="Chart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2A1460" w14:textId="77777777" w:rsidR="00027FBF" w:rsidRPr="00A83C94" w:rsidRDefault="00027FBF" w:rsidP="00027FBF">
            <w:pPr>
              <w:spacing w:before="0" w:line="276" w:lineRule="auto"/>
              <w:ind w:firstLine="0"/>
              <w:jc w:val="left"/>
              <w:rPr>
                <w:rFonts w:eastAsia="Calibri"/>
                <w:b w:val="0"/>
                <w:i/>
                <w:sz w:val="16"/>
                <w:szCs w:val="16"/>
                <w:lang w:val="hy-AM" w:eastAsia="en-US"/>
              </w:rPr>
            </w:pPr>
            <w:r w:rsidRPr="00A83C94">
              <w:rPr>
                <w:rFonts w:eastAsia="Calibri"/>
                <w:b w:val="0"/>
                <w:i/>
                <w:sz w:val="16"/>
                <w:szCs w:val="16"/>
                <w:lang w:val="hy-AM"/>
              </w:rPr>
              <w:t>Աղբյուրը՝ ՀՀ ՎԿ</w:t>
            </w:r>
          </w:p>
        </w:tc>
        <w:tc>
          <w:tcPr>
            <w:tcW w:w="4949" w:type="dxa"/>
          </w:tcPr>
          <w:p w14:paraId="7C5C78EB" w14:textId="77777777" w:rsidR="00027FBF" w:rsidRPr="00A83C94" w:rsidRDefault="00027FBF" w:rsidP="00027FBF">
            <w:pPr>
              <w:spacing w:before="0" w:line="240" w:lineRule="auto"/>
              <w:ind w:firstLine="0"/>
              <w:rPr>
                <w:rFonts w:eastAsia="Calibri"/>
                <w:i/>
                <w:noProof/>
                <w:szCs w:val="22"/>
                <w:lang w:val="hy-AM" w:eastAsia="en-US"/>
              </w:rPr>
            </w:pPr>
            <w:r w:rsidRPr="00A83C94">
              <w:rPr>
                <w:rFonts w:eastAsia="Calibri"/>
                <w:i/>
                <w:noProof/>
                <w:sz w:val="18"/>
                <w:szCs w:val="18"/>
                <w:lang w:val="en-US" w:eastAsia="en-US"/>
              </w:rPr>
              <w:drawing>
                <wp:anchor distT="0" distB="0" distL="114300" distR="114300" simplePos="0" relativeHeight="251722752" behindDoc="1" locked="0" layoutInCell="1" allowOverlap="1" wp14:anchorId="57FCEE2B" wp14:editId="1D49C80E">
                  <wp:simplePos x="0" y="0"/>
                  <wp:positionH relativeFrom="column">
                    <wp:posOffset>-3810</wp:posOffset>
                  </wp:positionH>
                  <wp:positionV relativeFrom="paragraph">
                    <wp:posOffset>502920</wp:posOffset>
                  </wp:positionV>
                  <wp:extent cx="3028950" cy="2176145"/>
                  <wp:effectExtent l="0" t="0" r="0" b="14605"/>
                  <wp:wrapTight wrapText="bothSides">
                    <wp:wrapPolygon edited="0">
                      <wp:start x="0" y="0"/>
                      <wp:lineTo x="0" y="21556"/>
                      <wp:lineTo x="21464" y="21556"/>
                      <wp:lineTo x="21464" y="0"/>
                      <wp:lineTo x="0" y="0"/>
                    </wp:wrapPolygon>
                  </wp:wrapTight>
                  <wp:docPr id="2076" name="Chart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Pr="00A83C94">
              <w:rPr>
                <w:rFonts w:eastAsia="Calibri"/>
                <w:i/>
                <w:noProof/>
                <w:sz w:val="18"/>
                <w:szCs w:val="18"/>
                <w:lang w:val="hy-AM" w:eastAsia="en-US"/>
              </w:rPr>
              <w:t>Գծապատկեր 1.11. ՏԱՑ և տնտեսության ճյուղերի իրական աճերը նախորդ տարվա նույն ամսվա նկատ- մամբ (%)</w:t>
            </w:r>
          </w:p>
          <w:p w14:paraId="0297CB9B" w14:textId="77777777" w:rsidR="00027FBF" w:rsidRPr="00A83C94" w:rsidRDefault="00027FBF" w:rsidP="00027FBF">
            <w:pPr>
              <w:spacing w:before="0" w:line="276" w:lineRule="auto"/>
              <w:ind w:firstLine="0"/>
              <w:jc w:val="left"/>
              <w:rPr>
                <w:rFonts w:eastAsia="Calibri"/>
                <w:b w:val="0"/>
                <w:i/>
                <w:sz w:val="16"/>
                <w:szCs w:val="16"/>
                <w:lang w:val="hy-AM" w:eastAsia="en-US"/>
              </w:rPr>
            </w:pPr>
            <w:r w:rsidRPr="00A83C94">
              <w:rPr>
                <w:rFonts w:eastAsia="Calibri"/>
                <w:b w:val="0"/>
                <w:i/>
                <w:sz w:val="16"/>
                <w:szCs w:val="16"/>
                <w:lang w:val="hy-AM"/>
              </w:rPr>
              <w:t>Աղբյուրը՝ ՀՀ ՎԿ</w:t>
            </w:r>
            <w:r w:rsidRPr="00A83C94" w:rsidDel="00DA0563">
              <w:rPr>
                <w:rFonts w:eastAsia="Calibri"/>
                <w:b w:val="0"/>
                <w:i/>
                <w:sz w:val="18"/>
                <w:szCs w:val="16"/>
                <w:lang w:val="hy-AM" w:eastAsia="en-US"/>
              </w:rPr>
              <w:t xml:space="preserve"> </w:t>
            </w:r>
          </w:p>
        </w:tc>
      </w:tr>
      <w:tr w:rsidR="00027FBF" w:rsidRPr="006B7E7B" w14:paraId="1CBF96BF" w14:textId="77777777" w:rsidTr="00027FBF">
        <w:trPr>
          <w:trHeight w:val="411"/>
          <w:jc w:val="center"/>
        </w:trPr>
        <w:tc>
          <w:tcPr>
            <w:tcW w:w="5069" w:type="dxa"/>
          </w:tcPr>
          <w:p w14:paraId="5C64E1D4" w14:textId="77777777" w:rsidR="00027FBF" w:rsidRPr="00A83C94" w:rsidRDefault="00027FBF" w:rsidP="00027FBF">
            <w:pPr>
              <w:spacing w:before="0" w:after="60" w:line="240" w:lineRule="auto"/>
              <w:ind w:firstLine="0"/>
              <w:contextualSpacing w:val="0"/>
              <w:jc w:val="left"/>
              <w:rPr>
                <w:rFonts w:eastAsia="Calibri"/>
                <w:i/>
                <w:noProof/>
                <w:szCs w:val="22"/>
                <w:lang w:val="hy-AM" w:eastAsia="en-US"/>
              </w:rPr>
            </w:pPr>
            <w:r w:rsidRPr="00A83C94">
              <w:rPr>
                <w:rFonts w:eastAsia="Calibri"/>
                <w:i/>
                <w:noProof/>
                <w:sz w:val="18"/>
                <w:szCs w:val="18"/>
                <w:lang w:val="hy-AM" w:eastAsia="en-US"/>
              </w:rPr>
              <w:t>Գծապատկեր 1.12. Տնտեսության ճյուղերի նպաստում- ները ՏԱՑ-ին (տ.կ.)</w:t>
            </w:r>
            <w:r w:rsidRPr="00A83C94">
              <w:rPr>
                <w:rFonts w:eastAsia="Calibri"/>
                <w:i/>
                <w:noProof/>
                <w:szCs w:val="22"/>
                <w:lang w:val="hy-AM" w:eastAsia="en-US"/>
              </w:rPr>
              <w:t xml:space="preserve"> </w:t>
            </w:r>
            <w:r w:rsidRPr="00A83C94">
              <w:rPr>
                <w:rFonts w:eastAsia="Calibri"/>
                <w:i/>
                <w:noProof/>
                <w:szCs w:val="22"/>
                <w:lang w:val="en-US" w:eastAsia="en-US"/>
              </w:rPr>
              <w:drawing>
                <wp:inline distT="0" distB="0" distL="0" distR="0" wp14:anchorId="328C9229" wp14:editId="55CFF6E6">
                  <wp:extent cx="3095625" cy="2134235"/>
                  <wp:effectExtent l="0" t="0" r="9525" b="18415"/>
                  <wp:docPr id="2077" name="Chart 2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387183" w14:textId="77777777" w:rsidR="00027FBF" w:rsidRPr="00A83C94" w:rsidRDefault="00027FBF" w:rsidP="00027FBF">
            <w:pPr>
              <w:spacing w:before="0" w:line="276" w:lineRule="auto"/>
              <w:ind w:firstLine="0"/>
              <w:jc w:val="left"/>
              <w:rPr>
                <w:rFonts w:eastAsia="Calibri"/>
                <w:b w:val="0"/>
                <w:i/>
                <w:sz w:val="16"/>
                <w:szCs w:val="16"/>
                <w:lang w:val="hy-AM" w:eastAsia="en-US"/>
              </w:rPr>
            </w:pPr>
            <w:r w:rsidRPr="00A83C94">
              <w:rPr>
                <w:rFonts w:eastAsia="Calibri"/>
                <w:b w:val="0"/>
                <w:i/>
                <w:sz w:val="16"/>
                <w:szCs w:val="16"/>
                <w:lang w:val="hy-AM"/>
              </w:rPr>
              <w:t>Աղբյուրը՝ ՀՀ ՎԿ, ՀՀ ՖՆ հաշվարկներ</w:t>
            </w:r>
            <w:r w:rsidRPr="00A83C94">
              <w:rPr>
                <w:rFonts w:eastAsia="Calibri"/>
                <w:b w:val="0"/>
                <w:i/>
                <w:sz w:val="18"/>
                <w:szCs w:val="16"/>
                <w:lang w:val="hy-AM" w:eastAsia="en-US"/>
              </w:rPr>
              <w:t xml:space="preserve"> </w:t>
            </w:r>
          </w:p>
        </w:tc>
        <w:tc>
          <w:tcPr>
            <w:tcW w:w="4949" w:type="dxa"/>
          </w:tcPr>
          <w:p w14:paraId="01676CDC" w14:textId="77777777" w:rsidR="00027FBF" w:rsidRPr="00A83C94" w:rsidRDefault="00027FBF" w:rsidP="00027FBF">
            <w:pPr>
              <w:spacing w:before="0" w:line="240" w:lineRule="auto"/>
              <w:ind w:firstLine="0"/>
              <w:contextualSpacing w:val="0"/>
              <w:rPr>
                <w:rFonts w:eastAsia="Calibri"/>
                <w:i/>
                <w:noProof/>
                <w:sz w:val="18"/>
                <w:szCs w:val="18"/>
                <w:lang w:val="hy-AM" w:eastAsia="en-US"/>
              </w:rPr>
            </w:pPr>
            <w:r w:rsidRPr="00A83C94">
              <w:rPr>
                <w:rFonts w:eastAsia="Calibri"/>
                <w:i/>
                <w:noProof/>
                <w:sz w:val="18"/>
                <w:szCs w:val="18"/>
                <w:lang w:val="hy-AM" w:eastAsia="en-US"/>
              </w:rPr>
              <w:t>Գծապատկեր 1.13. Տնտեսության ճյուղերի նպաս-տումները ՏԱՑ-ին նախորդ տարվա նույն ամսվա նկատմամբ (տ.կ.)</w:t>
            </w:r>
          </w:p>
          <w:p w14:paraId="77C7E539" w14:textId="77777777" w:rsidR="00027FBF" w:rsidRPr="00A83C94" w:rsidRDefault="00027FBF" w:rsidP="00027FBF">
            <w:pPr>
              <w:spacing w:before="0" w:line="276" w:lineRule="auto"/>
              <w:ind w:firstLine="0"/>
              <w:rPr>
                <w:rFonts w:eastAsia="Calibri"/>
                <w:i/>
                <w:noProof/>
                <w:szCs w:val="22"/>
                <w:lang w:val="hy-AM" w:eastAsia="en-US"/>
              </w:rPr>
            </w:pPr>
            <w:r w:rsidRPr="00A83C94">
              <w:rPr>
                <w:rFonts w:eastAsia="Calibri"/>
                <w:i/>
                <w:noProof/>
                <w:szCs w:val="22"/>
                <w:lang w:val="en-US" w:eastAsia="en-US"/>
              </w:rPr>
              <w:drawing>
                <wp:inline distT="0" distB="0" distL="0" distR="0" wp14:anchorId="263FC4C0" wp14:editId="776BC281">
                  <wp:extent cx="2941983" cy="1983740"/>
                  <wp:effectExtent l="0" t="0" r="10795" b="16510"/>
                  <wp:docPr id="2078" name="Chart 2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B1A97A" w14:textId="77777777" w:rsidR="00027FBF" w:rsidRPr="00A83C94" w:rsidRDefault="00027FBF" w:rsidP="00027FBF">
            <w:pPr>
              <w:spacing w:before="0" w:line="276" w:lineRule="auto"/>
              <w:ind w:firstLine="0"/>
              <w:jc w:val="left"/>
              <w:rPr>
                <w:rFonts w:eastAsia="Calibri"/>
                <w:b w:val="0"/>
                <w:i/>
                <w:sz w:val="16"/>
                <w:szCs w:val="16"/>
                <w:lang w:val="hy-AM" w:eastAsia="en-US"/>
              </w:rPr>
            </w:pPr>
            <w:r w:rsidRPr="00A83C94">
              <w:rPr>
                <w:rFonts w:eastAsia="Calibri"/>
                <w:b w:val="0"/>
                <w:i/>
                <w:sz w:val="16"/>
                <w:szCs w:val="16"/>
                <w:lang w:val="hy-AM"/>
              </w:rPr>
              <w:t>Աղբյուրը՝ ՀՀ ՎԿ, ՀՀ ՖՆ հաշվարկներ</w:t>
            </w:r>
          </w:p>
        </w:tc>
      </w:tr>
    </w:tbl>
    <w:p w14:paraId="7D06E6AA" w14:textId="77777777" w:rsidR="00027FBF" w:rsidRPr="00A83C94" w:rsidRDefault="00027FBF" w:rsidP="00027FBF">
      <w:pPr>
        <w:spacing w:after="120" w:line="276" w:lineRule="auto"/>
        <w:ind w:firstLine="533"/>
        <w:contextualSpacing w:val="0"/>
        <w:rPr>
          <w:rFonts w:eastAsia="Calibri" w:cs="Sylfaen"/>
          <w:szCs w:val="22"/>
          <w:lang w:val="hy-AM" w:eastAsia="en-US"/>
        </w:rPr>
      </w:pPr>
      <w:r w:rsidRPr="00A83C94">
        <w:rPr>
          <w:rFonts w:eastAsia="Calibri" w:cs="Sylfaen"/>
          <w:bCs/>
          <w:szCs w:val="22"/>
          <w:lang w:val="hy-AM" w:eastAsia="en-US"/>
        </w:rPr>
        <w:t xml:space="preserve">2021թ. առաջին կիսամյակում </w:t>
      </w:r>
      <w:r w:rsidRPr="00A83C94">
        <w:rPr>
          <w:rFonts w:cs="Sylfaen"/>
          <w:bCs/>
          <w:noProof/>
          <w:szCs w:val="22"/>
          <w:lang w:val="hy-AM" w:eastAsia="en-US"/>
        </w:rPr>
        <w:t xml:space="preserve">վերականգնվեց նաև ներքին պահանջարկի աճը։ </w:t>
      </w:r>
      <w:r w:rsidRPr="00A83C94">
        <w:rPr>
          <w:rFonts w:cs="Sylfaen"/>
          <w:b w:val="0"/>
          <w:bCs/>
          <w:noProof/>
          <w:szCs w:val="22"/>
          <w:lang w:val="hy-AM" w:eastAsia="en-US"/>
        </w:rPr>
        <w:t>Ներքին</w:t>
      </w:r>
      <w:r w:rsidRPr="00A83C94">
        <w:rPr>
          <w:rFonts w:cs="Sylfaen"/>
          <w:bCs/>
          <w:noProof/>
          <w:szCs w:val="22"/>
          <w:lang w:val="hy-AM" w:eastAsia="en-US"/>
        </w:rPr>
        <w:t xml:space="preserve"> </w:t>
      </w:r>
      <w:r w:rsidRPr="00A83C94">
        <w:rPr>
          <w:rFonts w:cs="Sylfaen"/>
          <w:b w:val="0"/>
          <w:bCs/>
          <w:noProof/>
          <w:szCs w:val="22"/>
          <w:lang w:val="hy-AM" w:eastAsia="en-US"/>
        </w:rPr>
        <w:t xml:space="preserve">պահանջարկի աճը պայմանավորվեց հիմնականում վերջնական սպառման աճով, որի մեջ էական դեր խաղաց մասնավոր սպառման աճը։ </w:t>
      </w:r>
      <w:r w:rsidRPr="00A83C94">
        <w:rPr>
          <w:rFonts w:cs="Sylfaen"/>
          <w:b w:val="0"/>
          <w:noProof/>
          <w:szCs w:val="22"/>
          <w:lang w:val="hy-AM" w:eastAsia="en-US"/>
        </w:rPr>
        <w:t>Կ</w:t>
      </w:r>
      <w:r w:rsidRPr="00A83C94">
        <w:rPr>
          <w:rFonts w:eastAsia="Calibri" w:cs="Sylfaen"/>
          <w:b w:val="0"/>
          <w:szCs w:val="22"/>
          <w:lang w:val="hy-AM" w:eastAsia="en-US"/>
        </w:rPr>
        <w:t>ապիտալ ներդրումները ևս աճեցին՝ պայմանավորված պետական ներդրումների աճով։ Մինչդեռ արտահանումը և ներմուծումը նվազեցին, ընդ որում արտահանման նվազումը ներմուծման նկատմամբ առաջանցիկ էր, որի արդյունքում զուտ արտահանումը բացասաբար նպաստեց ՀՆԱ-ի իրական աճին։ Տնտեսության ներքին պահանջարկի աճի միտումները շարունակվեցին նաև հուլիս-օգոստոս ամիսներին, մասնավորապես՝ սպառման աճի մասին են վկայում առևտրի և ծառայությունների աճերը, իսկ կապիտալ ներդրումների աճի մասին՝ շինարարության աճը։</w:t>
      </w:r>
      <w:r w:rsidRPr="00A83C94">
        <w:rPr>
          <w:rFonts w:eastAsia="Calibri" w:cs="Sylfaen"/>
          <w:szCs w:val="22"/>
          <w:lang w:val="hy-AM" w:eastAsia="en-US"/>
        </w:rPr>
        <w:t xml:space="preserve"> </w:t>
      </w:r>
    </w:p>
    <w:p w14:paraId="0CCBFA54" w14:textId="77777777" w:rsidR="00027FBF" w:rsidRPr="00A83C94" w:rsidRDefault="00027FBF" w:rsidP="00027FBF">
      <w:pPr>
        <w:spacing w:after="120" w:line="276" w:lineRule="auto"/>
        <w:ind w:firstLine="533"/>
        <w:contextualSpacing w:val="0"/>
        <w:rPr>
          <w:rFonts w:eastAsia="Calibri" w:cs="Sylfaen"/>
          <w:szCs w:val="22"/>
          <w:lang w:val="hy-AM" w:eastAsia="en-US"/>
        </w:rPr>
      </w:pPr>
    </w:p>
    <w:p w14:paraId="084F11A8" w14:textId="77777777" w:rsidR="00027FBF" w:rsidRPr="00A83C94" w:rsidRDefault="00027FBF" w:rsidP="00027FBF">
      <w:pPr>
        <w:spacing w:after="120" w:line="276" w:lineRule="auto"/>
        <w:ind w:firstLine="533"/>
        <w:contextualSpacing w:val="0"/>
        <w:rPr>
          <w:rFonts w:eastAsia="Calibri" w:cs="Sylfaen"/>
          <w:szCs w:val="22"/>
          <w:lang w:val="hy-AM" w:eastAsia="en-US"/>
        </w:rPr>
      </w:pPr>
    </w:p>
    <w:p w14:paraId="5C6502CA" w14:textId="77777777" w:rsidR="00027FBF" w:rsidRPr="00A83C94" w:rsidRDefault="00027FBF" w:rsidP="00027FBF">
      <w:pPr>
        <w:spacing w:after="120" w:line="276" w:lineRule="auto"/>
        <w:ind w:firstLine="533"/>
        <w:contextualSpacing w:val="0"/>
        <w:rPr>
          <w:rFonts w:eastAsia="Calibri" w:cs="Sylfaen"/>
          <w:szCs w:val="22"/>
          <w:lang w:val="hy-AM" w:eastAsia="en-US"/>
        </w:rPr>
      </w:pPr>
    </w:p>
    <w:p w14:paraId="2A28F865" w14:textId="77777777" w:rsidR="00027FBF" w:rsidRPr="00A83C94" w:rsidRDefault="00027FBF" w:rsidP="00027FBF">
      <w:pPr>
        <w:spacing w:after="120" w:line="276" w:lineRule="auto"/>
        <w:ind w:firstLine="533"/>
        <w:contextualSpacing w:val="0"/>
        <w:rPr>
          <w:rFonts w:eastAsia="Calibri" w:cs="Sylfaen"/>
          <w:szCs w:val="22"/>
          <w:lang w:val="hy-AM" w:eastAsia="en-US"/>
        </w:rPr>
      </w:pPr>
    </w:p>
    <w:p w14:paraId="00CDFB95" w14:textId="77777777" w:rsidR="00027FBF" w:rsidRPr="00A83C94" w:rsidRDefault="00027FBF" w:rsidP="00027FBF">
      <w:pPr>
        <w:spacing w:after="120" w:line="276" w:lineRule="auto"/>
        <w:ind w:firstLine="533"/>
        <w:contextualSpacing w:val="0"/>
        <w:rPr>
          <w:rFonts w:eastAsia="Calibri" w:cs="Sylfaen"/>
          <w:szCs w:val="22"/>
          <w:lang w:val="hy-AM" w:eastAsia="en-US"/>
        </w:rPr>
      </w:pPr>
    </w:p>
    <w:tbl>
      <w:tblPr>
        <w:tblpPr w:leftFromText="180" w:rightFromText="180" w:vertAnchor="text" w:horzAnchor="margin" w:tblpX="-5" w:tblpY="126"/>
        <w:tblW w:w="9923" w:type="dxa"/>
        <w:shd w:val="clear" w:color="auto" w:fill="DEEAF6"/>
        <w:tblLayout w:type="fixed"/>
        <w:tblLook w:val="04A0" w:firstRow="1" w:lastRow="0" w:firstColumn="1" w:lastColumn="0" w:noHBand="0" w:noVBand="1"/>
      </w:tblPr>
      <w:tblGrid>
        <w:gridCol w:w="5868"/>
        <w:gridCol w:w="4055"/>
      </w:tblGrid>
      <w:tr w:rsidR="00027FBF" w:rsidRPr="006B7E7B" w14:paraId="24AB5611" w14:textId="77777777" w:rsidTr="00027FBF">
        <w:tc>
          <w:tcPr>
            <w:tcW w:w="9923" w:type="dxa"/>
            <w:gridSpan w:val="2"/>
            <w:shd w:val="clear" w:color="auto" w:fill="DEEAF6"/>
          </w:tcPr>
          <w:p w14:paraId="79394224" w14:textId="77777777" w:rsidR="00027FBF" w:rsidRPr="00A83C94" w:rsidRDefault="00027FBF" w:rsidP="00027FBF">
            <w:pPr>
              <w:keepNext/>
              <w:keepLines/>
              <w:spacing w:before="60" w:after="40" w:line="276" w:lineRule="auto"/>
              <w:ind w:firstLine="0"/>
              <w:contextualSpacing w:val="0"/>
              <w:jc w:val="left"/>
              <w:rPr>
                <w:i/>
                <w:szCs w:val="22"/>
                <w:lang w:val="hy-AM" w:eastAsia="en-US"/>
              </w:rPr>
            </w:pPr>
            <w:r w:rsidRPr="00A83C94">
              <w:rPr>
                <w:i/>
                <w:szCs w:val="22"/>
                <w:lang w:val="hy-AM" w:eastAsia="en-US"/>
              </w:rPr>
              <w:lastRenderedPageBreak/>
              <w:t xml:space="preserve">Ներդիր 1. Կորոնավիրուսային համավարակի </w:t>
            </w:r>
            <w:r w:rsidRPr="00A83C94">
              <w:rPr>
                <w:i/>
                <w:szCs w:val="22"/>
                <w:lang w:val="sk-SK" w:eastAsia="en-US"/>
              </w:rPr>
              <w:t>(COVID-19)</w:t>
            </w:r>
            <w:r w:rsidRPr="00A83C94">
              <w:rPr>
                <w:i/>
                <w:szCs w:val="22"/>
                <w:lang w:val="hy-AM" w:eastAsia="en-US"/>
              </w:rPr>
              <w:t xml:space="preserve"> զարգացման դինամիկան ՀՀ-ում</w:t>
            </w:r>
          </w:p>
        </w:tc>
      </w:tr>
      <w:tr w:rsidR="00027FBF" w:rsidRPr="006B7E7B" w14:paraId="2A584FF0" w14:textId="77777777" w:rsidTr="00027FBF">
        <w:tc>
          <w:tcPr>
            <w:tcW w:w="9923" w:type="dxa"/>
            <w:gridSpan w:val="2"/>
            <w:shd w:val="clear" w:color="auto" w:fill="DEEAF6"/>
          </w:tcPr>
          <w:p w14:paraId="5C119A46" w14:textId="77777777" w:rsidR="00027FBF" w:rsidRPr="00A83C94" w:rsidRDefault="00027FBF" w:rsidP="00027FBF">
            <w:pPr>
              <w:spacing w:before="0" w:line="276" w:lineRule="auto"/>
              <w:ind w:firstLine="0"/>
              <w:contextualSpacing w:val="0"/>
              <w:jc w:val="left"/>
              <w:rPr>
                <w:b w:val="0"/>
                <w:sz w:val="18"/>
                <w:szCs w:val="18"/>
                <w:lang w:val="hy-AM" w:eastAsia="en-US"/>
              </w:rPr>
            </w:pPr>
            <w:r w:rsidRPr="00A83C94">
              <w:rPr>
                <w:b w:val="0"/>
                <w:sz w:val="18"/>
                <w:szCs w:val="18"/>
                <w:lang w:val="hy-AM" w:eastAsia="en-US"/>
              </w:rPr>
              <w:t>ՀՀ-ում կորոնավիրուսի համավարակի տարածումը շարունակվեց նաև 2021թ.:</w:t>
            </w:r>
          </w:p>
        </w:tc>
      </w:tr>
      <w:tr w:rsidR="00027FBF" w:rsidRPr="00A83C94" w14:paraId="6459B88E" w14:textId="77777777" w:rsidTr="00027FBF">
        <w:tc>
          <w:tcPr>
            <w:tcW w:w="5868" w:type="dxa"/>
            <w:shd w:val="clear" w:color="auto" w:fill="DEEAF6"/>
          </w:tcPr>
          <w:p w14:paraId="18FF823B" w14:textId="77777777" w:rsidR="00027FBF" w:rsidRPr="00A83C94" w:rsidRDefault="00027FBF" w:rsidP="00027FBF">
            <w:pPr>
              <w:spacing w:before="0" w:line="276" w:lineRule="auto"/>
              <w:ind w:firstLine="0"/>
              <w:contextualSpacing w:val="0"/>
              <w:jc w:val="left"/>
              <w:rPr>
                <w:b w:val="0"/>
                <w:sz w:val="18"/>
                <w:szCs w:val="18"/>
                <w:lang w:val="hy-AM" w:eastAsia="en-US"/>
              </w:rPr>
            </w:pPr>
            <w:r w:rsidRPr="00A83C94">
              <w:rPr>
                <w:rFonts w:ascii="Arial Armenian" w:hAnsi="Arial Armenian"/>
                <w:noProof/>
                <w:sz w:val="24"/>
                <w:shd w:val="clear" w:color="auto" w:fill="D9D9D9"/>
                <w:lang w:val="en-US" w:eastAsia="en-US"/>
              </w:rPr>
              <w:drawing>
                <wp:inline distT="0" distB="0" distL="0" distR="0" wp14:anchorId="7C11B703" wp14:editId="4EA6DA83">
                  <wp:extent cx="3562184" cy="2209800"/>
                  <wp:effectExtent l="0" t="0" r="635" b="0"/>
                  <wp:docPr id="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33D552" w14:textId="77777777" w:rsidR="00027FBF" w:rsidRPr="00A83C94" w:rsidRDefault="00027FBF" w:rsidP="00027FBF">
            <w:pPr>
              <w:spacing w:before="0" w:line="240" w:lineRule="auto"/>
              <w:ind w:firstLine="0"/>
              <w:contextualSpacing w:val="0"/>
              <w:jc w:val="left"/>
              <w:rPr>
                <w:b w:val="0"/>
                <w:sz w:val="18"/>
                <w:szCs w:val="18"/>
                <w:lang w:val="hy-AM" w:eastAsia="en-US"/>
              </w:rPr>
            </w:pPr>
            <w:r w:rsidRPr="00A83C94">
              <w:rPr>
                <w:b w:val="0"/>
                <w:i/>
                <w:sz w:val="18"/>
                <w:szCs w:val="18"/>
                <w:lang w:val="en-US" w:eastAsia="en-US"/>
              </w:rPr>
              <w:t>Աղբյուրը՝ ՀՀ առողջապահության նախարարություն</w:t>
            </w:r>
          </w:p>
        </w:tc>
        <w:tc>
          <w:tcPr>
            <w:tcW w:w="4055" w:type="dxa"/>
            <w:shd w:val="clear" w:color="auto" w:fill="DEEAF6"/>
          </w:tcPr>
          <w:p w14:paraId="688B73FE" w14:textId="77777777" w:rsidR="00027FBF" w:rsidRPr="00A83C94" w:rsidRDefault="00027FBF" w:rsidP="00027FBF">
            <w:pPr>
              <w:spacing w:before="0" w:line="276" w:lineRule="auto"/>
              <w:ind w:firstLine="0"/>
              <w:contextualSpacing w:val="0"/>
              <w:jc w:val="left"/>
              <w:rPr>
                <w:b w:val="0"/>
                <w:sz w:val="18"/>
                <w:szCs w:val="18"/>
                <w:lang w:val="hy-AM" w:eastAsia="en-US"/>
              </w:rPr>
            </w:pPr>
            <w:r w:rsidRPr="00A83C94">
              <w:rPr>
                <w:rFonts w:ascii="Arial Armenian" w:hAnsi="Arial Armenian"/>
                <w:noProof/>
                <w:color w:val="1F4E79"/>
                <w:sz w:val="24"/>
                <w:lang w:val="en-US" w:eastAsia="en-US"/>
              </w:rPr>
              <w:drawing>
                <wp:inline distT="0" distB="0" distL="0" distR="0" wp14:anchorId="7219A722" wp14:editId="5D2DB17F">
                  <wp:extent cx="2472690" cy="2209800"/>
                  <wp:effectExtent l="0" t="0" r="3810" b="0"/>
                  <wp:docPr id="153" name="Chart 34">
                    <a:extLst xmlns:a="http://schemas.openxmlformats.org/drawingml/2006/main">
                      <a:ext uri="{FF2B5EF4-FFF2-40B4-BE49-F238E27FC236}">
                        <a16:creationId xmlns:a16="http://schemas.microsoft.com/office/drawing/2014/main" id="{C774C9BD-AFA9-4100-BDD1-877A41595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EDC2DF" w14:textId="77777777" w:rsidR="00027FBF" w:rsidRPr="00A83C94" w:rsidRDefault="00027FBF" w:rsidP="00027FBF">
            <w:pPr>
              <w:spacing w:before="0" w:line="276" w:lineRule="auto"/>
              <w:ind w:firstLine="0"/>
              <w:contextualSpacing w:val="0"/>
              <w:jc w:val="left"/>
              <w:rPr>
                <w:b w:val="0"/>
                <w:sz w:val="18"/>
                <w:szCs w:val="18"/>
                <w:lang w:val="hy-AM" w:eastAsia="en-US"/>
              </w:rPr>
            </w:pPr>
          </w:p>
        </w:tc>
      </w:tr>
      <w:tr w:rsidR="00027FBF" w:rsidRPr="006B7E7B" w14:paraId="3F766385" w14:textId="77777777" w:rsidTr="00027FBF">
        <w:tc>
          <w:tcPr>
            <w:tcW w:w="9923" w:type="dxa"/>
            <w:gridSpan w:val="2"/>
            <w:shd w:val="clear" w:color="auto" w:fill="DEEAF6"/>
          </w:tcPr>
          <w:p w14:paraId="610A0DBB" w14:textId="77777777" w:rsidR="00027FBF" w:rsidRPr="00A83C94" w:rsidRDefault="00027FBF" w:rsidP="00027FBF">
            <w:pPr>
              <w:tabs>
                <w:tab w:val="right" w:pos="0"/>
              </w:tabs>
              <w:spacing w:before="60" w:after="60" w:line="276" w:lineRule="auto"/>
              <w:ind w:firstLine="187"/>
              <w:contextualSpacing w:val="0"/>
              <w:rPr>
                <w:rFonts w:cs="Sylfaen"/>
                <w:b w:val="0"/>
                <w:sz w:val="18"/>
                <w:szCs w:val="18"/>
                <w:lang w:val="hy-AM" w:eastAsia="en-US"/>
              </w:rPr>
            </w:pPr>
            <w:r w:rsidRPr="00A83C94">
              <w:rPr>
                <w:b w:val="0"/>
                <w:sz w:val="18"/>
                <w:szCs w:val="18"/>
                <w:lang w:val="hy-AM" w:eastAsia="en-US"/>
              </w:rPr>
              <w:t>2021-2025թթ</w:t>
            </w:r>
            <w:r w:rsidRPr="00A83C94">
              <w:rPr>
                <w:rFonts w:cs="Cambria Math"/>
                <w:b w:val="0"/>
                <w:sz w:val="18"/>
                <w:szCs w:val="18"/>
                <w:lang w:val="hy-AM" w:eastAsia="en-US"/>
              </w:rPr>
              <w:t>.</w:t>
            </w:r>
            <w:r w:rsidRPr="00A83C94">
              <w:rPr>
                <w:b w:val="0"/>
                <w:sz w:val="18"/>
                <w:szCs w:val="18"/>
                <w:lang w:val="hy-AM" w:eastAsia="en-US"/>
              </w:rPr>
              <w:t xml:space="preserve"> իմունականխարգելման ազգային ծրագրով նախատեսվում է </w:t>
            </w:r>
            <w:r w:rsidRPr="00A83C94">
              <w:rPr>
                <w:rFonts w:cs="Sylfaen"/>
                <w:b w:val="0"/>
                <w:sz w:val="18"/>
                <w:szCs w:val="18"/>
                <w:lang w:val="hy-AM" w:eastAsia="en-US"/>
              </w:rPr>
              <w:t>կորոնավիրուսային</w:t>
            </w:r>
            <w:r w:rsidRPr="00A83C94">
              <w:rPr>
                <w:b w:val="0"/>
                <w:sz w:val="18"/>
                <w:szCs w:val="18"/>
                <w:lang w:val="hy-AM" w:eastAsia="en-US"/>
              </w:rPr>
              <w:t xml:space="preserve"> </w:t>
            </w:r>
            <w:r w:rsidRPr="00A83C94">
              <w:rPr>
                <w:rFonts w:cs="Sylfaen"/>
                <w:b w:val="0"/>
                <w:sz w:val="18"/>
                <w:szCs w:val="18"/>
                <w:lang w:val="hy-AM" w:eastAsia="en-US"/>
              </w:rPr>
              <w:t>հիվանդության</w:t>
            </w:r>
            <w:r w:rsidRPr="00A83C94">
              <w:rPr>
                <w:b w:val="0"/>
                <w:sz w:val="18"/>
                <w:szCs w:val="18"/>
                <w:lang w:val="hy-AM" w:eastAsia="en-US"/>
              </w:rPr>
              <w:t xml:space="preserve"> (COVID-19) </w:t>
            </w:r>
            <w:r w:rsidRPr="00A83C94">
              <w:rPr>
                <w:rFonts w:cs="Sylfaen"/>
                <w:b w:val="0"/>
                <w:sz w:val="18"/>
                <w:szCs w:val="18"/>
                <w:lang w:val="hy-AM" w:eastAsia="en-US"/>
              </w:rPr>
              <w:t>համաճարակային</w:t>
            </w:r>
            <w:r w:rsidRPr="00A83C94">
              <w:rPr>
                <w:b w:val="0"/>
                <w:sz w:val="18"/>
                <w:szCs w:val="18"/>
                <w:lang w:val="hy-AM" w:eastAsia="en-US"/>
              </w:rPr>
              <w:t xml:space="preserve"> </w:t>
            </w:r>
            <w:r w:rsidRPr="00A83C94">
              <w:rPr>
                <w:rFonts w:cs="Sylfaen"/>
                <w:b w:val="0"/>
                <w:sz w:val="18"/>
                <w:szCs w:val="18"/>
                <w:lang w:val="hy-AM" w:eastAsia="en-US"/>
              </w:rPr>
              <w:t>իրավիճակի</w:t>
            </w:r>
            <w:r w:rsidRPr="00A83C94">
              <w:rPr>
                <w:b w:val="0"/>
                <w:sz w:val="18"/>
                <w:szCs w:val="18"/>
                <w:lang w:val="hy-AM" w:eastAsia="en-US"/>
              </w:rPr>
              <w:t xml:space="preserve"> </w:t>
            </w:r>
            <w:r w:rsidRPr="00A83C94">
              <w:rPr>
                <w:rFonts w:cs="Sylfaen"/>
                <w:b w:val="0"/>
                <w:sz w:val="18"/>
                <w:szCs w:val="18"/>
                <w:lang w:val="hy-AM" w:eastAsia="en-US"/>
              </w:rPr>
              <w:t>գնահատում</w:t>
            </w:r>
            <w:r w:rsidRPr="00A83C94">
              <w:rPr>
                <w:b w:val="0"/>
                <w:sz w:val="18"/>
                <w:szCs w:val="18"/>
                <w:lang w:val="hy-AM" w:eastAsia="en-US"/>
              </w:rPr>
              <w:t xml:space="preserve"> </w:t>
            </w:r>
            <w:r w:rsidRPr="00A83C94">
              <w:rPr>
                <w:rFonts w:cs="Sylfaen"/>
                <w:b w:val="0"/>
                <w:sz w:val="18"/>
                <w:szCs w:val="18"/>
                <w:lang w:val="hy-AM" w:eastAsia="en-US"/>
              </w:rPr>
              <w:t>և</w:t>
            </w:r>
            <w:r w:rsidRPr="00A83C94">
              <w:rPr>
                <w:b w:val="0"/>
                <w:sz w:val="18"/>
                <w:szCs w:val="18"/>
                <w:lang w:val="hy-AM" w:eastAsia="en-US"/>
              </w:rPr>
              <w:t xml:space="preserve"> </w:t>
            </w:r>
            <w:r w:rsidRPr="00A83C94">
              <w:rPr>
                <w:rFonts w:cs="Sylfaen"/>
                <w:b w:val="0"/>
                <w:sz w:val="18"/>
                <w:szCs w:val="18"/>
                <w:lang w:val="hy-AM" w:eastAsia="en-US"/>
              </w:rPr>
              <w:t>բնակչության</w:t>
            </w:r>
            <w:r w:rsidRPr="00A83C94">
              <w:rPr>
                <w:b w:val="0"/>
                <w:sz w:val="18"/>
                <w:szCs w:val="18"/>
                <w:lang w:val="hy-AM" w:eastAsia="en-US"/>
              </w:rPr>
              <w:t xml:space="preserve"> </w:t>
            </w:r>
            <w:r w:rsidRPr="00A83C94">
              <w:rPr>
                <w:rFonts w:cs="Sylfaen"/>
                <w:b w:val="0"/>
                <w:sz w:val="18"/>
                <w:szCs w:val="18"/>
                <w:lang w:val="hy-AM" w:eastAsia="en-US"/>
              </w:rPr>
              <w:t>ռիսկի</w:t>
            </w:r>
            <w:r w:rsidRPr="00A83C94">
              <w:rPr>
                <w:b w:val="0"/>
                <w:sz w:val="18"/>
                <w:szCs w:val="18"/>
                <w:lang w:val="hy-AM" w:eastAsia="en-US"/>
              </w:rPr>
              <w:t xml:space="preserve"> </w:t>
            </w:r>
            <w:r w:rsidRPr="00A83C94">
              <w:rPr>
                <w:rFonts w:cs="Sylfaen"/>
                <w:b w:val="0"/>
                <w:sz w:val="18"/>
                <w:szCs w:val="18"/>
                <w:lang w:val="hy-AM" w:eastAsia="en-US"/>
              </w:rPr>
              <w:t>խմբերի</w:t>
            </w:r>
            <w:r w:rsidRPr="00A83C94">
              <w:rPr>
                <w:b w:val="0"/>
                <w:sz w:val="18"/>
                <w:szCs w:val="18"/>
                <w:lang w:val="hy-AM" w:eastAsia="en-US"/>
              </w:rPr>
              <w:t xml:space="preserve"> </w:t>
            </w:r>
            <w:r w:rsidRPr="00A83C94">
              <w:rPr>
                <w:rFonts w:cs="Sylfaen"/>
                <w:b w:val="0"/>
                <w:sz w:val="18"/>
                <w:szCs w:val="18"/>
                <w:lang w:val="hy-AM" w:eastAsia="en-US"/>
              </w:rPr>
              <w:t>շրջանում</w:t>
            </w:r>
            <w:r w:rsidRPr="00A83C94">
              <w:rPr>
                <w:b w:val="0"/>
                <w:sz w:val="18"/>
                <w:szCs w:val="18"/>
                <w:lang w:val="hy-AM" w:eastAsia="en-US"/>
              </w:rPr>
              <w:t xml:space="preserve"> </w:t>
            </w:r>
            <w:r w:rsidRPr="00A83C94">
              <w:rPr>
                <w:rFonts w:cs="Sylfaen"/>
                <w:b w:val="0"/>
                <w:sz w:val="18"/>
                <w:szCs w:val="18"/>
                <w:lang w:val="hy-AM" w:eastAsia="en-US"/>
              </w:rPr>
              <w:t>համաճարակաբանական</w:t>
            </w:r>
            <w:r w:rsidRPr="00A83C94">
              <w:rPr>
                <w:b w:val="0"/>
                <w:sz w:val="18"/>
                <w:szCs w:val="18"/>
                <w:lang w:val="hy-AM" w:eastAsia="en-US"/>
              </w:rPr>
              <w:t xml:space="preserve"> </w:t>
            </w:r>
            <w:r w:rsidRPr="00A83C94">
              <w:rPr>
                <w:rFonts w:cs="Sylfaen"/>
                <w:b w:val="0"/>
                <w:sz w:val="18"/>
                <w:szCs w:val="18"/>
                <w:lang w:val="hy-AM" w:eastAsia="en-US"/>
              </w:rPr>
              <w:t>ցուցումով</w:t>
            </w:r>
            <w:r w:rsidRPr="00A83C94">
              <w:rPr>
                <w:b w:val="0"/>
                <w:sz w:val="18"/>
                <w:szCs w:val="18"/>
                <w:lang w:val="hy-AM" w:eastAsia="en-US"/>
              </w:rPr>
              <w:t xml:space="preserve"> </w:t>
            </w:r>
            <w:r w:rsidRPr="00A83C94">
              <w:rPr>
                <w:rFonts w:cs="Sylfaen"/>
                <w:b w:val="0"/>
                <w:sz w:val="18"/>
                <w:szCs w:val="18"/>
                <w:lang w:val="hy-AM" w:eastAsia="en-US"/>
              </w:rPr>
              <w:t>զանգվածային</w:t>
            </w:r>
            <w:r w:rsidRPr="00A83C94">
              <w:rPr>
                <w:b w:val="0"/>
                <w:sz w:val="18"/>
                <w:szCs w:val="18"/>
                <w:lang w:val="hy-AM" w:eastAsia="en-US"/>
              </w:rPr>
              <w:t xml:space="preserve"> </w:t>
            </w:r>
            <w:r w:rsidRPr="00A83C94">
              <w:rPr>
                <w:rFonts w:cs="Sylfaen"/>
                <w:b w:val="0"/>
                <w:sz w:val="18"/>
                <w:szCs w:val="18"/>
                <w:lang w:val="hy-AM" w:eastAsia="en-US"/>
              </w:rPr>
              <w:t>պատվաստումների</w:t>
            </w:r>
            <w:r w:rsidRPr="00A83C94">
              <w:rPr>
                <w:b w:val="0"/>
                <w:sz w:val="18"/>
                <w:szCs w:val="18"/>
                <w:lang w:val="hy-AM" w:eastAsia="en-US"/>
              </w:rPr>
              <w:t xml:space="preserve"> </w:t>
            </w:r>
            <w:r w:rsidRPr="00A83C94">
              <w:rPr>
                <w:rFonts w:cs="Sylfaen"/>
                <w:b w:val="0"/>
                <w:sz w:val="18"/>
                <w:szCs w:val="18"/>
                <w:lang w:val="hy-AM" w:eastAsia="en-US"/>
              </w:rPr>
              <w:t xml:space="preserve">իրականացում, որն արդեն իսկ մեկնարկել է, ինչի շրջանակներում՝ </w:t>
            </w:r>
          </w:p>
          <w:p w14:paraId="59BD9939"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Մարտի 28-ին ՀՀ ներկրվել է «AstraZeneca» պատվաստանյութի առաջին խմբաքանակը</w:t>
            </w:r>
            <w:r w:rsidRPr="00A83C94">
              <w:rPr>
                <w:rFonts w:cs="Segoe UI Historic"/>
                <w:b w:val="0"/>
                <w:sz w:val="18"/>
                <w:szCs w:val="18"/>
                <w:lang w:val="hy-AM" w:eastAsia="en-US"/>
              </w:rPr>
              <w:t>` 24</w:t>
            </w:r>
            <w:r w:rsidRPr="00A83C94">
              <w:rPr>
                <w:rFonts w:eastAsia="Calibri" w:cs="Segoe UI Historic"/>
                <w:b w:val="0"/>
                <w:sz w:val="18"/>
                <w:szCs w:val="18"/>
                <w:lang w:val="hy-AM" w:eastAsia="en-US"/>
              </w:rPr>
              <w:t xml:space="preserve">000 դեղաչափ: Նախատեսված է եղել </w:t>
            </w:r>
            <w:r w:rsidRPr="00A83C94">
              <w:rPr>
                <w:rFonts w:cs="Segoe UI Historic"/>
                <w:b w:val="0"/>
                <w:sz w:val="18"/>
                <w:szCs w:val="18"/>
                <w:lang w:val="hy-AM" w:eastAsia="en-US"/>
              </w:rPr>
              <w:t>65 և բարձր տարիքի մարդկանց, բուժաշխատողների, 16-54տ</w:t>
            </w:r>
            <w:r w:rsidRPr="00A83C94">
              <w:rPr>
                <w:rFonts w:ascii="Cambria Math" w:eastAsia="MS Mincho" w:hAnsi="Cambria Math" w:cs="Cambria Math"/>
                <w:b w:val="0"/>
                <w:sz w:val="18"/>
                <w:szCs w:val="18"/>
                <w:lang w:val="hy-AM" w:eastAsia="en-US"/>
              </w:rPr>
              <w:t>․</w:t>
            </w:r>
            <w:r w:rsidRPr="00A83C94">
              <w:rPr>
                <w:rFonts w:cs="Segoe UI Historic"/>
                <w:b w:val="0"/>
                <w:sz w:val="18"/>
                <w:szCs w:val="18"/>
                <w:lang w:val="hy-AM" w:eastAsia="en-US"/>
              </w:rPr>
              <w:t xml:space="preserve"> քրոնիկ հիվանդների և սոցիալական խնամքի կենտրոնի աշխատողների պատվաստման համար։</w:t>
            </w:r>
          </w:p>
          <w:p w14:paraId="59ABF4D3"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Ապրիլի 8-ին ներկրվել է «Sputnik-V» պատվաստանյութի առաջին խմբաքանակը՝ 15000 դեղաչափ` 7500 անձի համար։</w:t>
            </w:r>
            <w:r w:rsidRPr="00A83C94">
              <w:rPr>
                <w:rFonts w:ascii="Calibri" w:eastAsia="Calibri" w:hAnsi="Calibri" w:cs="Calibri"/>
                <w:b w:val="0"/>
                <w:sz w:val="18"/>
                <w:szCs w:val="18"/>
                <w:lang w:val="hy-AM" w:eastAsia="en-US"/>
              </w:rPr>
              <w:t> </w:t>
            </w:r>
          </w:p>
          <w:p w14:paraId="34DC29AE"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Ապրիլի 26-ին ներկրվել է «Sputnik-V» պատվաստանյութի նոր խմբաքանակ` 14000 անձի համար, իսկ 1000 մարդու պատվաստման համար Ռուսաստանը նվիրել է լրացուցիչ 2000 միավոր դեղաչափ։</w:t>
            </w:r>
          </w:p>
          <w:p w14:paraId="7D37C8AE"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Մայիսի 1-ին ներկրվել է ՉԺՀ կառավարության կողմից ՀՀ-ին որպես նվիրատվություն տրամադրված «Կորոնավակ» պատվաստանյութը` 100 հազար դեղաչափ` 50 հազար անձի համար: Պատվաստանյութով կարող են պատվաստվել 18-ից բարձր բոլոր քաղաքացիները` ըստ դիմելիության և կամավորության սկզբունքի։</w:t>
            </w:r>
          </w:p>
          <w:p w14:paraId="601ABE8F"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 xml:space="preserve">Մայիսի 12-ին ներկրվել է 14000 երկրորդ դեղաչափ «Sputnik-V» պատվաստանյութ: Դրանք նախատեսված են եղել 18-54 տարեկան բուժաշխատողների, քրոնիկ հիվանդների, սոցիալական խնամքի կենտրոնների բնակիչների և աշխատակիցների համար: </w:t>
            </w:r>
          </w:p>
          <w:p w14:paraId="7D0D5DD2" w14:textId="77777777" w:rsidR="00027FBF" w:rsidRPr="00A83C94" w:rsidRDefault="00027FBF" w:rsidP="00027FBF">
            <w:pPr>
              <w:numPr>
                <w:ilvl w:val="0"/>
                <w:numId w:val="51"/>
              </w:numPr>
              <w:tabs>
                <w:tab w:val="right" w:pos="0"/>
                <w:tab w:val="left" w:pos="360"/>
                <w:tab w:val="left" w:pos="687"/>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Մայիսի 17-ին ներկրվել է «AstraZeneca» պատվաստանյութի երկրորդ խմբաքանակը` 50 հազար դեղաչափ:</w:t>
            </w:r>
            <w:r w:rsidRPr="00A83C94">
              <w:rPr>
                <w:rFonts w:eastAsia="Calibri" w:cs="Segoe UI Historic"/>
                <w:b w:val="0"/>
                <w:sz w:val="18"/>
                <w:szCs w:val="18"/>
                <w:lang w:val="hy-AM" w:eastAsia="en-US"/>
              </w:rPr>
              <w:t xml:space="preserve"> </w:t>
            </w:r>
            <w:r w:rsidRPr="00A83C94">
              <w:rPr>
                <w:rFonts w:cs="Segoe UI Historic"/>
                <w:b w:val="0"/>
                <w:sz w:val="18"/>
                <w:szCs w:val="18"/>
                <w:lang w:val="hy-AM" w:eastAsia="en-US"/>
              </w:rPr>
              <w:t xml:space="preserve">«AstraZeneca»-ով կարող են պատվաստվել ՀՀ 18 տարեկանից բարձր բոլոր քաղաքացիները, ինչպես նաև օտարերկրացիները: </w:t>
            </w:r>
          </w:p>
          <w:p w14:paraId="04D53462" w14:textId="77777777" w:rsidR="00027FBF" w:rsidRPr="00A83C94" w:rsidRDefault="00027FBF" w:rsidP="00027FBF">
            <w:pPr>
              <w:numPr>
                <w:ilvl w:val="0"/>
                <w:numId w:val="51"/>
              </w:numPr>
              <w:tabs>
                <w:tab w:val="right" w:pos="0"/>
                <w:tab w:val="left" w:pos="360"/>
                <w:tab w:val="left" w:pos="687"/>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 xml:space="preserve">Մայիսի 22-ին «Sputnik-V» պատվաստանյութից օգտվելու հնարավորություններն ընդլայնվել են, և քրոնիկ հիվանդների համար հանվել է պատվաստումների մինչև 54 տարիքային շեմը։ </w:t>
            </w:r>
          </w:p>
          <w:p w14:paraId="02474715"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 xml:space="preserve">Հունիսի 28-ից սկսած ՀՀ-ում 18 տարեկանից բարձր անձիք կարող են պատվաստվել առկա պատվաստանյութերից յուրաքանչյուրով՝ ըստ նախընտրության: </w:t>
            </w:r>
          </w:p>
          <w:p w14:paraId="037E9BF1"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2021թ. հուլիսի 7-ի դրությամբ ընդհանուր առմամբ ՀՀ ներմուծվել էր 294,460 դեղաչափ պատվաստանյութ, որից 120,060 դեղաչափ «Sputnik-V», 100,000 դեղաչափ CoronaVac և 74,400 դեղաչափ «AstraZeneca»: Պատվաստումներն իրականացվում են առողջության առաջնային պահպանման կազմակերպություններում, ինչպես նաև շարժական պատվաստումային խմբերի կողմից հանրային վայրերում: Կարող են պատվաստվել նաև Հայաստանում բնակվող օտարերկրյա քաղաքացիները: Պատվաստումներն անվճար են բոլորի համար և իրականացվում են միայն կամավորության սկզբունքով:</w:t>
            </w:r>
          </w:p>
          <w:p w14:paraId="2B311F95"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Հուլիսի 10-ին Հայաստանի Հանրապետությունում հայտարարված կարանտինի ժամկետը երկարաձգվել է մինչև 2021 թվականի դեկտեմբերի 20-ը:</w:t>
            </w:r>
          </w:p>
          <w:p w14:paraId="169555FD"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lastRenderedPageBreak/>
              <w:t>Օգոստոսի 3-ին ՀՀ ներկրվել է կորոնավիրուսային հիվանդության դեմ «ԱստրաԶենեկա/Վաքսզևրիա» պատվաստանյութի հերթական խմբաքանակը՝ 50400 դեղաչափ: Պատվաստանյութը ձեռք է բերվել «COVAX FACILITY» նախաձեռնության շրջանականերում: Այն նախատեսված է 18 տարեկան և բարձր տարիքի անձանց շրջանում կորոնավիրուսային հիվանդության դեմ պատվաստումներ իրականացնելու համար: Բացի այդ, Ֆրանսիայի կառավարությունը որոշում է կայացրել Հայաստանին նվիրաբերել է 200 հազար դեղաչափ պատվաստանյութ:</w:t>
            </w:r>
          </w:p>
          <w:p w14:paraId="7A107E58"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Օգոստոսի 18-ին ձեռք է բերվել</w:t>
            </w:r>
            <w:r w:rsidRPr="00A83C94">
              <w:rPr>
                <w:rFonts w:ascii="Times New Roman" w:hAnsi="Times New Roman"/>
                <w:b w:val="0"/>
                <w:sz w:val="24"/>
                <w:lang w:val="hy-AM" w:eastAsia="en-US"/>
              </w:rPr>
              <w:t xml:space="preserve"> </w:t>
            </w:r>
            <w:r w:rsidRPr="00A83C94">
              <w:rPr>
                <w:rFonts w:eastAsia="Calibri" w:cs="Segoe UI Historic"/>
                <w:b w:val="0"/>
                <w:sz w:val="18"/>
                <w:szCs w:val="18"/>
                <w:lang w:val="hy-AM" w:eastAsia="en-US"/>
              </w:rPr>
              <w:t>200 հազար դեղաչափ չինական «Սինոֆարմ» պատվաստանյութի խմբաքանակ` 100 հազար անձի համար։</w:t>
            </w:r>
          </w:p>
          <w:p w14:paraId="65CBFDB3"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Օգոստոսի 30-ին ձեռք է բերվել ռուսական «Սպուտնիկ-Վի» պատվաստանյութի երկրորդ դեղաչափի հերթական խմբաքանակը` 15000 անձի համար:</w:t>
            </w:r>
          </w:p>
          <w:p w14:paraId="5DD0AAB2"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Սեպտեմբերի 3-ին Լիտվայի Հանրապետության կողմից Հայաստանի առողջապահության նախարարությանը, որպես նվիրատվություն, տրամադրվել է 27,500 դեղաչափ «ԱստրաԶենեկա» պատվաստանյութ:</w:t>
            </w:r>
          </w:p>
          <w:p w14:paraId="2931535F"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Սեպտեմբերի 6-ին Բելգիայի Թագավորության կողմից Հայաստանի առողջապահության նախարարությանը, որպես նվիրատվություն, տրամադրվել է «ԱստրաԶենեկա/Վաքսզևրիա» պատվաստանյութի հերթական խմբաքանակը՝ 187,200 դեղաչափ։</w:t>
            </w:r>
          </w:p>
          <w:p w14:paraId="64581BC8"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ab/>
              <w:t>Սեպտեմբերի 14-ին Հայաստան է ներկրվել Ֆրանսիայի Հանրապետությունից Հայաստանի Հանրապետությանը նվիրաբերած «ԱստրաԶենեկա» պատվաստանյութի առաջին խմբաքանակը` 25 000 դեղաչափ:</w:t>
            </w:r>
          </w:p>
          <w:p w14:paraId="232EB14F"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Սեպտեմբերի 19-ի դրությամբ կատարվել է 366,779 պատվաստում, որից առաջին դեղաչափ` 237,454, երկրորդ դեղաչափ` 129,325։</w:t>
            </w:r>
          </w:p>
          <w:p w14:paraId="5154DB85"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2021թ. նախատեսվում է պատվաստել բնակչության 10%-ին։ Ներկայացված ցուցանիշը կարող է փոխվել՝ համաճարակային իրավիճակով պայմանավորված։</w:t>
            </w:r>
          </w:p>
        </w:tc>
      </w:tr>
    </w:tbl>
    <w:p w14:paraId="3BD4B5DD" w14:textId="77777777" w:rsidR="00027FBF" w:rsidRPr="00A83C94" w:rsidRDefault="00027FBF" w:rsidP="00027FBF">
      <w:pPr>
        <w:spacing w:after="60" w:line="276" w:lineRule="auto"/>
        <w:ind w:firstLine="360"/>
        <w:contextualSpacing w:val="0"/>
        <w:rPr>
          <w:rFonts w:eastAsia="GHEA Grapalat" w:cs="GHEA Grapalat"/>
          <w:b w:val="0"/>
          <w:szCs w:val="22"/>
          <w:lang w:val="hy-AM" w:eastAsia="en-US"/>
        </w:rPr>
      </w:pPr>
      <w:r w:rsidRPr="00A83C94">
        <w:rPr>
          <w:rFonts w:cs="Sylfaen"/>
          <w:bCs/>
          <w:szCs w:val="22"/>
          <w:u w:val="single"/>
          <w:lang w:val="hy-AM" w:eastAsia="en-US"/>
        </w:rPr>
        <w:lastRenderedPageBreak/>
        <w:t>Կանխատեսում։</w:t>
      </w:r>
      <w:r w:rsidRPr="00A83C94">
        <w:rPr>
          <w:rFonts w:cs="Sylfaen"/>
          <w:bCs/>
          <w:szCs w:val="22"/>
          <w:lang w:val="hy-AM" w:eastAsia="en-US"/>
        </w:rPr>
        <w:t xml:space="preserve"> ՀՀ և գործընկեր երկրների ընթացիկ և կանխատեսված տնտեսական զարգացումների, Արցախյան պատերազմի գնահատվող ազդեցությունների, </w:t>
      </w:r>
      <w:r w:rsidRPr="00A83C94">
        <w:rPr>
          <w:rFonts w:cs="Sylfaen"/>
          <w:szCs w:val="22"/>
          <w:lang w:val="hy-AM" w:eastAsia="en-US"/>
        </w:rPr>
        <w:t xml:space="preserve">Համավարակի և Արցախյան պատերազմի բացասական ազդեցությունների մեղմմանն ու տնտեսության վերականգնմանն ուղղված կառավարության կողմից իրականացված և իրականացվող հարկաբյուջետային միջոցառումների, ինչպես նաև Համավարակի համաշխարհային ճգնաժամի աստիճանական հաղթահարման պայմաններում 2021թ. տնտեսական աճը կվերականգնվի և կկազմի 6.5%: 2022թ. սպասվող </w:t>
      </w:r>
      <w:r w:rsidRPr="00A83C94">
        <w:rPr>
          <w:lang w:val="hy-AM"/>
        </w:rPr>
        <w:t>արտաքին տնտեսական բարենպաստ միջավայրի և ՀՀ կառավարության նպատակադրած տնտեսության ներուժի բարձրացմանն ուղղված միջոցառումների (առավել մանրամասն տես 1.4 բաժնում) պայմաններում կանխատեսվում է 7</w:t>
      </w:r>
      <w:r w:rsidRPr="00A83C94">
        <w:rPr>
          <w:rFonts w:ascii="Cambria Math" w:hAnsi="Cambria Math" w:cs="Cambria Math"/>
          <w:lang w:val="hy-AM"/>
        </w:rPr>
        <w:t>․</w:t>
      </w:r>
      <w:r w:rsidRPr="00A83C94">
        <w:rPr>
          <w:rFonts w:cs="Sylfaen"/>
          <w:szCs w:val="22"/>
          <w:lang w:val="hy-AM" w:eastAsia="en-US"/>
        </w:rPr>
        <w:t>0% տնտեսական աճ:</w:t>
      </w:r>
      <w:r w:rsidRPr="00A83C94">
        <w:rPr>
          <w:rFonts w:eastAsia="Calibri" w:cs="Sylfaen"/>
          <w:szCs w:val="22"/>
          <w:lang w:val="hy-AM" w:eastAsia="en-US"/>
        </w:rPr>
        <w:t xml:space="preserve"> </w:t>
      </w:r>
      <w:r w:rsidRPr="00A83C94">
        <w:rPr>
          <w:rFonts w:eastAsia="Calibri" w:cs="Sylfaen"/>
          <w:b w:val="0"/>
          <w:szCs w:val="22"/>
          <w:lang w:val="hy-AM" w:eastAsia="en-US"/>
        </w:rPr>
        <w:t>2021թ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 </w:t>
      </w:r>
      <w:r w:rsidRPr="00A83C94">
        <w:rPr>
          <w:rFonts w:eastAsia="Calibri" w:cs="Sylfaen"/>
          <w:b w:val="0"/>
          <w:szCs w:val="22"/>
          <w:lang w:val="hy-AM" w:eastAsia="en-US"/>
        </w:rPr>
        <w:t xml:space="preserve"> տ</w:t>
      </w:r>
      <w:r w:rsidRPr="00A83C94">
        <w:rPr>
          <w:rFonts w:eastAsia="GHEA Grapalat" w:cs="GHEA Grapalat"/>
          <w:b w:val="0"/>
          <w:szCs w:val="22"/>
          <w:lang w:val="hy-AM" w:eastAsia="en-US"/>
        </w:rPr>
        <w:t>նտեսական աճը պայմանավորված կլինի հիմնականում ծառայությունների աճերով, իսկ 2022 թ</w:t>
      </w:r>
      <w:r w:rsidRPr="00A83C94">
        <w:rPr>
          <w:rFonts w:ascii="Cambria Math" w:eastAsia="GHEA Grapalat" w:hAnsi="Cambria Math" w:cs="Cambria Math"/>
          <w:b w:val="0"/>
          <w:szCs w:val="22"/>
          <w:lang w:val="hy-AM" w:eastAsia="en-US"/>
        </w:rPr>
        <w:t>․</w:t>
      </w:r>
      <w:r w:rsidRPr="00A83C94">
        <w:rPr>
          <w:rFonts w:eastAsia="GHEA Grapalat"/>
          <w:b w:val="0"/>
          <w:szCs w:val="22"/>
          <w:lang w:val="hy-AM" w:eastAsia="en-US"/>
        </w:rPr>
        <w:t xml:space="preserve"> աճի արագացումը կապահովեն արդյունաբերության և շինարարության ճյուղերը</w:t>
      </w:r>
      <w:r w:rsidRPr="00A83C94">
        <w:rPr>
          <w:rFonts w:eastAsia="GHEA Grapalat" w:cs="GHEA Grapalat"/>
          <w:b w:val="0"/>
          <w:szCs w:val="22"/>
          <w:lang w:val="hy-AM" w:eastAsia="en-US"/>
        </w:rPr>
        <w:t xml:space="preserve">: Տնտեսության մյուս ճյուղերը նույնպես դրական ազդեցություն կունենան տնտեսական աճի վրա: Ամբողջական պահանջարկը նույնպես կաճի՝ պայմանավորված ներքին պահանջարկի աճով: </w:t>
      </w:r>
    </w:p>
    <w:p w14:paraId="6A51C33D" w14:textId="77777777" w:rsidR="00027FBF" w:rsidRPr="00A83C94" w:rsidRDefault="00027FBF" w:rsidP="00027FBF">
      <w:pPr>
        <w:spacing w:before="40" w:after="60" w:line="276" w:lineRule="auto"/>
        <w:ind w:firstLine="634"/>
        <w:contextualSpacing w:val="0"/>
        <w:rPr>
          <w:rFonts w:cs="Sylfaen"/>
          <w:b w:val="0"/>
          <w:szCs w:val="22"/>
          <w:lang w:val="hy-AM" w:eastAsia="en-US"/>
        </w:rPr>
      </w:pPr>
      <w:r w:rsidRPr="00A83C94">
        <w:rPr>
          <w:rFonts w:cs="Sylfaen"/>
          <w:b w:val="0"/>
          <w:szCs w:val="22"/>
          <w:lang w:val="it-IT" w:eastAsia="en-US"/>
        </w:rPr>
        <w:t>202</w:t>
      </w:r>
      <w:r w:rsidRPr="00A83C94">
        <w:rPr>
          <w:rFonts w:cs="Sylfaen"/>
          <w:b w:val="0"/>
          <w:szCs w:val="22"/>
          <w:lang w:val="hy-AM" w:eastAsia="en-US"/>
        </w:rPr>
        <w:t>1թ.</w:t>
      </w:r>
      <w:r w:rsidRPr="00A83C94">
        <w:rPr>
          <w:rFonts w:cs="Sylfaen"/>
          <w:b w:val="0"/>
          <w:szCs w:val="22"/>
          <w:lang w:val="it-IT" w:eastAsia="en-US"/>
        </w:rPr>
        <w:t xml:space="preserve"> </w:t>
      </w:r>
      <w:r w:rsidRPr="00A83C94">
        <w:rPr>
          <w:rFonts w:cs="Times Armenian"/>
          <w:b w:val="0"/>
          <w:szCs w:val="22"/>
          <w:lang w:val="it-IT" w:eastAsia="en-US"/>
        </w:rPr>
        <w:t>դեֆլյատորը կաճի</w:t>
      </w:r>
      <w:r w:rsidRPr="00A83C94">
        <w:rPr>
          <w:rFonts w:cs="Times Armenian"/>
          <w:b w:val="0"/>
          <w:szCs w:val="22"/>
          <w:lang w:val="hy-AM" w:eastAsia="en-US"/>
        </w:rPr>
        <w:t>՝</w:t>
      </w:r>
      <w:r w:rsidRPr="00A83C94">
        <w:rPr>
          <w:rFonts w:cs="Times Armenian"/>
          <w:b w:val="0"/>
          <w:szCs w:val="22"/>
          <w:lang w:val="it-IT" w:eastAsia="en-US"/>
        </w:rPr>
        <w:t xml:space="preserve"> </w:t>
      </w:r>
      <w:r w:rsidRPr="00A83C94">
        <w:rPr>
          <w:rFonts w:cs="Times Armenian"/>
          <w:b w:val="0"/>
          <w:szCs w:val="22"/>
          <w:lang w:val="hy-AM" w:eastAsia="en-US"/>
        </w:rPr>
        <w:t>պայմանավորված</w:t>
      </w:r>
      <w:r w:rsidRPr="00A83C94">
        <w:rPr>
          <w:rFonts w:cs="Sylfaen"/>
          <w:b w:val="0"/>
          <w:szCs w:val="22"/>
          <w:lang w:val="hy-AM" w:eastAsia="en-US"/>
        </w:rPr>
        <w:t xml:space="preserve"> ՍԳԻ-ի և</w:t>
      </w:r>
      <w:r w:rsidRPr="00A83C94">
        <w:rPr>
          <w:rFonts w:cs="Sylfaen"/>
          <w:b w:val="0"/>
          <w:szCs w:val="22"/>
          <w:lang w:val="it-IT" w:eastAsia="en-US"/>
        </w:rPr>
        <w:t xml:space="preserve"> </w:t>
      </w:r>
      <w:r w:rsidRPr="00A83C94">
        <w:rPr>
          <w:rFonts w:cs="Sylfaen"/>
          <w:b w:val="0"/>
          <w:szCs w:val="22"/>
          <w:lang w:val="hy-AM" w:eastAsia="en-US"/>
        </w:rPr>
        <w:t>ապրանքների միջազգային գների զարգացումներով, իսկ 2022թ.՝ ՍԳԻ-ին համահունչ կդանդաղի:</w:t>
      </w:r>
    </w:p>
    <w:p w14:paraId="5DBBE0D6" w14:textId="77777777" w:rsidR="00027FBF" w:rsidRPr="00A83C94" w:rsidRDefault="00027FBF" w:rsidP="00027FBF">
      <w:pPr>
        <w:tabs>
          <w:tab w:val="right" w:pos="0"/>
        </w:tabs>
        <w:spacing w:before="40" w:after="120" w:line="276" w:lineRule="auto"/>
        <w:ind w:firstLine="562"/>
        <w:contextualSpacing w:val="0"/>
        <w:rPr>
          <w:rFonts w:cs="Sylfaen"/>
          <w:szCs w:val="22"/>
          <w:lang w:val="hy-AM" w:eastAsia="en-US"/>
        </w:rPr>
      </w:pPr>
      <w:r w:rsidRPr="00A83C94">
        <w:rPr>
          <w:rFonts w:cs="Sylfaen"/>
          <w:szCs w:val="22"/>
          <w:lang w:val="hy-AM" w:eastAsia="en-US"/>
        </w:rPr>
        <w:t>Վերոնշյալ զարգացումների պայմաններում անվանական ՀՆԱ-ն 2021թ. կկազմի 7,031.2 մլրդ դրամ՝ 635.9 մլրդ դրամով ավելին լինելով 2021թ. պետական բյուջեով ծրագրված ցուցանիշից, և 151.0 մլրդ դրամով` 2022-2024թթ. ՄԺԾԾ ցուցանիշից: Իսկ 2022թ. անվանական ՀՆԱ-ն կաճի՝ կազմելով 7,869.4 մլրդ դրամ։</w:t>
      </w:r>
    </w:p>
    <w:p w14:paraId="0BAD5E3E" w14:textId="77777777" w:rsidR="00027FBF" w:rsidRPr="00A83C94" w:rsidRDefault="00027FBF" w:rsidP="00027FBF">
      <w:pPr>
        <w:spacing w:after="60" w:line="276" w:lineRule="auto"/>
        <w:ind w:firstLine="360"/>
        <w:contextualSpacing w:val="0"/>
        <w:rPr>
          <w:rFonts w:cs="Sylfaen"/>
          <w:bCs/>
          <w:szCs w:val="22"/>
          <w:u w:val="single"/>
          <w:lang w:val="hy-AM" w:eastAsia="en-US"/>
        </w:rPr>
      </w:pPr>
    </w:p>
    <w:tbl>
      <w:tblPr>
        <w:tblStyle w:val="TableGrid7130"/>
        <w:tblW w:w="0" w:type="auto"/>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4841"/>
        <w:gridCol w:w="4899"/>
      </w:tblGrid>
      <w:tr w:rsidR="00027FBF" w:rsidRPr="006B7E7B" w14:paraId="10097931" w14:textId="77777777" w:rsidTr="00027FBF">
        <w:trPr>
          <w:trHeight w:val="3489"/>
        </w:trPr>
        <w:tc>
          <w:tcPr>
            <w:tcW w:w="4841" w:type="dxa"/>
          </w:tcPr>
          <w:p w14:paraId="1505249A" w14:textId="77777777" w:rsidR="00027FBF" w:rsidRPr="00A83C94" w:rsidRDefault="00027FBF" w:rsidP="00027FBF">
            <w:pPr>
              <w:spacing w:before="0" w:line="240" w:lineRule="auto"/>
              <w:ind w:firstLine="0"/>
              <w:rPr>
                <w:i/>
                <w:noProof/>
                <w:sz w:val="18"/>
                <w:szCs w:val="18"/>
                <w:lang w:val="hy-AM" w:eastAsia="en-US"/>
              </w:rPr>
            </w:pPr>
            <w:r w:rsidRPr="00A83C94">
              <w:rPr>
                <w:i/>
                <w:noProof/>
                <w:szCs w:val="22"/>
                <w:lang w:val="en-US" w:eastAsia="en-US"/>
              </w:rPr>
              <w:lastRenderedPageBreak/>
              <w:drawing>
                <wp:anchor distT="0" distB="0" distL="114300" distR="114300" simplePos="0" relativeHeight="251725824" behindDoc="0" locked="0" layoutInCell="1" allowOverlap="1" wp14:anchorId="3CFF2F93" wp14:editId="24D0FD76">
                  <wp:simplePos x="0" y="0"/>
                  <wp:positionH relativeFrom="column">
                    <wp:posOffset>-41275</wp:posOffset>
                  </wp:positionH>
                  <wp:positionV relativeFrom="paragraph">
                    <wp:posOffset>339090</wp:posOffset>
                  </wp:positionV>
                  <wp:extent cx="3076575" cy="1876425"/>
                  <wp:effectExtent l="0" t="0" r="9525" b="9525"/>
                  <wp:wrapSquare wrapText="bothSides"/>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A83C94">
              <w:rPr>
                <w:i/>
                <w:noProof/>
                <w:sz w:val="18"/>
                <w:szCs w:val="18"/>
                <w:lang w:val="hy-AM" w:eastAsia="en-US"/>
              </w:rPr>
              <w:t>Գծապատկեր 1.14. Անվանական ՀՆԱ և տնտեսական աճ</w:t>
            </w:r>
          </w:p>
          <w:p w14:paraId="0159E4A4" w14:textId="77777777" w:rsidR="00027FBF" w:rsidRPr="00A83C94" w:rsidRDefault="00027FBF" w:rsidP="00027FBF">
            <w:pPr>
              <w:spacing w:before="0" w:line="276" w:lineRule="auto"/>
              <w:ind w:firstLine="0"/>
              <w:jc w:val="left"/>
              <w:rPr>
                <w:i/>
                <w:sz w:val="16"/>
                <w:szCs w:val="16"/>
                <w:lang w:val="hy-AM" w:eastAsia="en-US"/>
              </w:rPr>
            </w:pPr>
            <w:r w:rsidRPr="00A83C94">
              <w:rPr>
                <w:rFonts w:eastAsia="Calibri"/>
                <w:b w:val="0"/>
                <w:i/>
                <w:sz w:val="16"/>
                <w:szCs w:val="16"/>
                <w:lang w:val="hy-AM"/>
              </w:rPr>
              <w:t>Աղբյուրը՝ ՀՀ ՎԿ, ՀՀ ՖՆ հաշվարկներ և կանխատեսումներ</w:t>
            </w:r>
          </w:p>
        </w:tc>
        <w:tc>
          <w:tcPr>
            <w:tcW w:w="4899" w:type="dxa"/>
          </w:tcPr>
          <w:p w14:paraId="70A51FFF" w14:textId="77777777" w:rsidR="00027FBF" w:rsidRPr="00A83C94" w:rsidRDefault="00027FBF" w:rsidP="00027FBF">
            <w:pPr>
              <w:spacing w:before="0" w:line="240" w:lineRule="auto"/>
              <w:ind w:firstLine="0"/>
              <w:rPr>
                <w:i/>
                <w:noProof/>
                <w:sz w:val="18"/>
                <w:szCs w:val="18"/>
                <w:lang w:val="hy-AM" w:eastAsia="en-US"/>
              </w:rPr>
            </w:pPr>
            <w:r w:rsidRPr="00A83C94">
              <w:rPr>
                <w:i/>
                <w:noProof/>
                <w:sz w:val="18"/>
                <w:szCs w:val="18"/>
                <w:lang w:val="hy-AM" w:eastAsia="en-US"/>
              </w:rPr>
              <w:t>Գծապատկեր 1.15.</w:t>
            </w:r>
            <w:r w:rsidRPr="00A83C94">
              <w:rPr>
                <w:i/>
                <w:noProof/>
                <w:color w:val="FF0000"/>
                <w:sz w:val="18"/>
                <w:szCs w:val="18"/>
                <w:lang w:val="hy-AM" w:eastAsia="en-US"/>
              </w:rPr>
              <w:t xml:space="preserve"> </w:t>
            </w:r>
            <w:r w:rsidRPr="00A83C94">
              <w:rPr>
                <w:i/>
                <w:noProof/>
                <w:sz w:val="18"/>
                <w:szCs w:val="18"/>
                <w:lang w:val="hy-AM" w:eastAsia="en-US"/>
              </w:rPr>
              <w:t xml:space="preserve">Իրական ՀՆԱ անկումը/աճը տնտե- սական ճգնաժամերի և հաջորդող տարիներին </w:t>
            </w:r>
          </w:p>
          <w:p w14:paraId="09C9713A" w14:textId="77777777" w:rsidR="00027FBF" w:rsidRPr="00A83C94" w:rsidRDefault="00027FBF" w:rsidP="00027FBF">
            <w:pPr>
              <w:spacing w:before="40" w:after="160" w:line="276" w:lineRule="auto"/>
              <w:ind w:firstLine="0"/>
              <w:contextualSpacing w:val="0"/>
              <w:jc w:val="left"/>
              <w:rPr>
                <w:b w:val="0"/>
                <w:i/>
                <w:szCs w:val="16"/>
                <w:lang w:val="hy-AM" w:eastAsia="en-US"/>
              </w:rPr>
            </w:pPr>
            <w:r w:rsidRPr="00A83C94">
              <w:rPr>
                <w:b w:val="0"/>
                <w:i/>
                <w:noProof/>
                <w:sz w:val="18"/>
                <w:szCs w:val="16"/>
                <w:lang w:val="en-US" w:eastAsia="en-US"/>
              </w:rPr>
              <w:drawing>
                <wp:inline distT="0" distB="0" distL="0" distR="0" wp14:anchorId="0098504B" wp14:editId="6E4CF81A">
                  <wp:extent cx="3092450" cy="1876425"/>
                  <wp:effectExtent l="0" t="0" r="12700" b="9525"/>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A83C94">
              <w:rPr>
                <w:rFonts w:eastAsia="Calibri"/>
                <w:b w:val="0"/>
                <w:i/>
                <w:sz w:val="16"/>
                <w:szCs w:val="16"/>
                <w:lang w:val="hy-AM"/>
              </w:rPr>
              <w:t>Աղբյուրը՝ ՀՀ ՎԿ, ՀՀ ՖՆ կանխատեսում</w:t>
            </w:r>
          </w:p>
        </w:tc>
      </w:tr>
      <w:tr w:rsidR="00027FBF" w:rsidRPr="006B7E7B" w14:paraId="1D4601F1" w14:textId="77777777" w:rsidTr="00027FBF">
        <w:trPr>
          <w:trHeight w:val="628"/>
        </w:trPr>
        <w:tc>
          <w:tcPr>
            <w:tcW w:w="4841" w:type="dxa"/>
          </w:tcPr>
          <w:p w14:paraId="567B0C57" w14:textId="77777777" w:rsidR="00027FBF" w:rsidRPr="00A83C94" w:rsidRDefault="00027FBF" w:rsidP="00027FBF">
            <w:pPr>
              <w:spacing w:before="0" w:after="60" w:line="240" w:lineRule="auto"/>
              <w:ind w:firstLine="0"/>
              <w:contextualSpacing w:val="0"/>
              <w:rPr>
                <w:i/>
                <w:noProof/>
                <w:sz w:val="18"/>
                <w:szCs w:val="18"/>
                <w:lang w:val="hy-AM" w:eastAsia="en-US"/>
              </w:rPr>
            </w:pPr>
            <w:r w:rsidRPr="00A83C94">
              <w:rPr>
                <w:i/>
                <w:noProof/>
                <w:sz w:val="18"/>
                <w:szCs w:val="18"/>
                <w:lang w:val="hy-AM" w:eastAsia="en-US"/>
              </w:rPr>
              <w:t xml:space="preserve">Գծապատկեր 1.16. Տնտեսության առանձին ճյուղերի նպաստումները տնտեսական աճին </w:t>
            </w:r>
          </w:p>
          <w:p w14:paraId="499540A5" w14:textId="77777777" w:rsidR="00027FBF" w:rsidRPr="00A83C94" w:rsidRDefault="00027FBF" w:rsidP="00027FBF">
            <w:pPr>
              <w:spacing w:before="0" w:line="276" w:lineRule="auto"/>
              <w:ind w:firstLine="29"/>
              <w:contextualSpacing w:val="0"/>
              <w:jc w:val="left"/>
              <w:rPr>
                <w:rFonts w:ascii="Times New Roman" w:hAnsi="Times New Roman"/>
                <w:sz w:val="24"/>
                <w:lang w:val="en-US" w:eastAsia="en-US"/>
              </w:rPr>
            </w:pPr>
            <w:r w:rsidRPr="00A83C94">
              <w:rPr>
                <w:rFonts w:ascii="Times New Roman" w:hAnsi="Times New Roman"/>
                <w:b w:val="0"/>
                <w:noProof/>
                <w:sz w:val="24"/>
                <w:shd w:val="clear" w:color="auto" w:fill="B4C6E7"/>
                <w:lang w:val="en-US" w:eastAsia="en-US"/>
              </w:rPr>
              <w:drawing>
                <wp:inline distT="0" distB="0" distL="0" distR="0" wp14:anchorId="19D6F9C1" wp14:editId="67382D50">
                  <wp:extent cx="3021330" cy="1868170"/>
                  <wp:effectExtent l="0" t="0" r="7620" b="177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DDC803" w14:textId="77777777" w:rsidR="00027FBF" w:rsidRPr="00A83C94" w:rsidRDefault="00027FBF" w:rsidP="00027FBF">
            <w:pPr>
              <w:spacing w:before="40" w:line="276" w:lineRule="auto"/>
              <w:ind w:firstLine="0"/>
              <w:jc w:val="left"/>
              <w:rPr>
                <w:b w:val="0"/>
                <w:i/>
                <w:sz w:val="16"/>
                <w:szCs w:val="16"/>
                <w:lang w:val="hy-AM" w:eastAsia="en-US"/>
              </w:rPr>
            </w:pPr>
            <w:r w:rsidRPr="00A83C94">
              <w:rPr>
                <w:b w:val="0"/>
                <w:i/>
                <w:sz w:val="16"/>
                <w:szCs w:val="16"/>
                <w:lang w:val="hy-AM" w:eastAsia="en-US"/>
              </w:rPr>
              <w:t xml:space="preserve">Աղբյուրը՝ </w:t>
            </w:r>
            <w:r w:rsidRPr="00A83C94">
              <w:rPr>
                <w:rFonts w:eastAsia="Calibri"/>
                <w:b w:val="0"/>
                <w:i/>
                <w:sz w:val="16"/>
                <w:szCs w:val="16"/>
                <w:lang w:val="hy-AM"/>
              </w:rPr>
              <w:t>ՀՀ ՎԿ, ՀՀ ՖՆ հաշվարկներ և կանխատեսումներ</w:t>
            </w:r>
          </w:p>
        </w:tc>
        <w:tc>
          <w:tcPr>
            <w:tcW w:w="4899" w:type="dxa"/>
          </w:tcPr>
          <w:p w14:paraId="404F25A2" w14:textId="77777777" w:rsidR="00027FBF" w:rsidRPr="00A83C94" w:rsidRDefault="00027FBF" w:rsidP="00027FBF">
            <w:pPr>
              <w:spacing w:before="0" w:after="60" w:line="240" w:lineRule="auto"/>
              <w:ind w:firstLine="0"/>
              <w:contextualSpacing w:val="0"/>
              <w:rPr>
                <w:i/>
                <w:noProof/>
                <w:sz w:val="18"/>
                <w:szCs w:val="18"/>
                <w:lang w:val="hy-AM" w:eastAsia="en-US"/>
              </w:rPr>
            </w:pPr>
            <w:r w:rsidRPr="00A83C94">
              <w:rPr>
                <w:i/>
                <w:noProof/>
                <w:sz w:val="18"/>
                <w:szCs w:val="18"/>
                <w:lang w:val="hy-AM" w:eastAsia="en-US"/>
              </w:rPr>
              <w:t>Գծապատկեր 1.17. Տնտեսական աճին պահանջարկի բաղադրիչների նպաստումները</w:t>
            </w:r>
          </w:p>
          <w:p w14:paraId="37638C26" w14:textId="77777777" w:rsidR="00027FBF" w:rsidRPr="00A83C94" w:rsidRDefault="00027FBF" w:rsidP="00027FBF">
            <w:pPr>
              <w:spacing w:before="0" w:line="276" w:lineRule="auto"/>
              <w:ind w:firstLine="0"/>
              <w:contextualSpacing w:val="0"/>
              <w:jc w:val="left"/>
              <w:rPr>
                <w:rFonts w:ascii="Times New Roman" w:hAnsi="Times New Roman"/>
                <w:b w:val="0"/>
                <w:sz w:val="24"/>
                <w:lang w:val="en-US" w:eastAsia="en-US"/>
              </w:rPr>
            </w:pPr>
            <w:r w:rsidRPr="00A83C94">
              <w:rPr>
                <w:rFonts w:ascii="Times New Roman" w:hAnsi="Times New Roman" w:cs="Sylfaen"/>
                <w:noProof/>
                <w:sz w:val="24"/>
                <w:lang w:val="en-US" w:eastAsia="en-US"/>
              </w:rPr>
              <w:drawing>
                <wp:inline distT="0" distB="0" distL="0" distR="0" wp14:anchorId="712F4BD9" wp14:editId="3E7DB25A">
                  <wp:extent cx="3123565" cy="1868446"/>
                  <wp:effectExtent l="0" t="0" r="635" b="1778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044E8C" w14:textId="77777777" w:rsidR="00027FBF" w:rsidRPr="00A83C94" w:rsidRDefault="00027FBF" w:rsidP="00027FBF">
            <w:pPr>
              <w:spacing w:before="40" w:line="276" w:lineRule="auto"/>
              <w:ind w:firstLine="0"/>
              <w:jc w:val="left"/>
              <w:rPr>
                <w:b w:val="0"/>
                <w:i/>
                <w:szCs w:val="22"/>
                <w:lang w:val="hy-AM" w:eastAsia="en-US"/>
              </w:rPr>
            </w:pPr>
            <w:r w:rsidRPr="00A83C94">
              <w:rPr>
                <w:b w:val="0"/>
                <w:i/>
                <w:sz w:val="16"/>
                <w:szCs w:val="16"/>
                <w:lang w:val="hy-AM" w:eastAsia="en-US"/>
              </w:rPr>
              <w:t xml:space="preserve">Աղբյուրը՝ ՀՀ ՎԿ, ՀՀ </w:t>
            </w:r>
            <w:r w:rsidRPr="00A83C94">
              <w:rPr>
                <w:b w:val="0"/>
                <w:i/>
                <w:sz w:val="18"/>
                <w:szCs w:val="16"/>
                <w:lang w:val="hy-AM" w:eastAsia="en-US"/>
              </w:rPr>
              <w:t>ՖՆ</w:t>
            </w:r>
            <w:r w:rsidRPr="00A83C94">
              <w:rPr>
                <w:b w:val="0"/>
                <w:i/>
                <w:sz w:val="16"/>
                <w:szCs w:val="16"/>
                <w:lang w:val="hy-AM" w:eastAsia="en-US"/>
              </w:rPr>
              <w:t xml:space="preserve"> հաշվարկներ և կանխատեսումներ</w:t>
            </w:r>
          </w:p>
        </w:tc>
      </w:tr>
    </w:tbl>
    <w:p w14:paraId="21C52D0E" w14:textId="77777777" w:rsidR="00027FBF" w:rsidRPr="00A83C94" w:rsidRDefault="00027FBF" w:rsidP="00027FBF">
      <w:pPr>
        <w:spacing w:after="60" w:line="276" w:lineRule="auto"/>
        <w:ind w:firstLine="562"/>
        <w:contextualSpacing w:val="0"/>
        <w:rPr>
          <w:rFonts w:cs="Sylfaen"/>
          <w:bCs/>
          <w:noProof/>
          <w:szCs w:val="22"/>
          <w:u w:val="single"/>
          <w:lang w:val="hy-AM" w:eastAsia="en-US"/>
        </w:rPr>
      </w:pPr>
    </w:p>
    <w:p w14:paraId="245E4166" w14:textId="77777777" w:rsidR="00027FBF" w:rsidRPr="00A83C94" w:rsidRDefault="00027FBF" w:rsidP="00027FBF">
      <w:pPr>
        <w:spacing w:after="60" w:line="276" w:lineRule="auto"/>
        <w:ind w:firstLine="562"/>
        <w:contextualSpacing w:val="0"/>
        <w:rPr>
          <w:rFonts w:cs="Sylfaen"/>
          <w:b w:val="0"/>
          <w:szCs w:val="22"/>
          <w:lang w:val="hy-AM" w:eastAsia="en-US"/>
        </w:rPr>
      </w:pPr>
      <w:r w:rsidRPr="00A83C94">
        <w:rPr>
          <w:rFonts w:cs="Sylfaen"/>
          <w:bCs/>
          <w:noProof/>
          <w:szCs w:val="22"/>
          <w:u w:val="single"/>
          <w:lang w:val="hy-AM" w:eastAsia="en-US"/>
        </w:rPr>
        <w:t>Համախառն առաջարկի կանխատեսում</w:t>
      </w:r>
      <w:r w:rsidRPr="00A83C94">
        <w:rPr>
          <w:rFonts w:cs="Sylfaen"/>
          <w:bCs/>
          <w:noProof/>
          <w:szCs w:val="22"/>
          <w:lang w:val="hy-AM" w:eastAsia="en-US"/>
        </w:rPr>
        <w:t xml:space="preserve">. </w:t>
      </w:r>
      <w:r w:rsidRPr="00A83C94">
        <w:rPr>
          <w:rFonts w:cs="Sylfaen"/>
          <w:b w:val="0"/>
          <w:noProof/>
          <w:szCs w:val="22"/>
          <w:lang w:val="hy-AM" w:eastAsia="en-US"/>
        </w:rPr>
        <w:t xml:space="preserve">2021թ. համավարակի և Արցախյան պատերազմի բացասական ազդեցությունների աստիճանական չեզոքացման արդյունքում՝ ներքին և արտաքին պահանջարկի վերականգնմամբ պայմանավորված սպասվում է տնտեսության աճի տեմպերի վերականգնում։ </w:t>
      </w:r>
      <w:r w:rsidRPr="00A83C94">
        <w:rPr>
          <w:rFonts w:cs="Sylfaen"/>
          <w:b w:val="0"/>
          <w:szCs w:val="22"/>
          <w:lang w:val="hy-AM" w:eastAsia="en-US"/>
        </w:rPr>
        <w:t>Տնտեսական աճը պայմանավորված կլինի հիմնականում ծառայությունների (ներառյալ առևտուրը) առաջանցիկ աճով (8.1%):  Արդյունաբերության, գյուղատնտեսության և շինարարության ճյուղերը նույնպես կաճեն (համապատասխանաբար՝ 4</w:t>
      </w:r>
      <w:r w:rsidRPr="00A83C94">
        <w:rPr>
          <w:rFonts w:ascii="Cambria Math" w:hAnsi="Cambria Math" w:cs="Cambria Math"/>
          <w:b w:val="0"/>
          <w:szCs w:val="22"/>
          <w:lang w:val="hy-AM" w:eastAsia="en-US"/>
        </w:rPr>
        <w:t>․</w:t>
      </w:r>
      <w:r w:rsidRPr="00A83C94">
        <w:rPr>
          <w:b w:val="0"/>
          <w:szCs w:val="22"/>
          <w:lang w:val="hy-AM" w:eastAsia="en-US"/>
        </w:rPr>
        <w:t>3</w:t>
      </w:r>
      <w:r w:rsidRPr="00A83C94">
        <w:rPr>
          <w:rFonts w:cs="Sylfaen"/>
          <w:b w:val="0"/>
          <w:szCs w:val="22"/>
          <w:lang w:val="hy-AM" w:eastAsia="en-US"/>
        </w:rPr>
        <w:t>%, 5.6% և 1.5%)` դրական նպաստելով տնտեսական աճին:</w:t>
      </w:r>
    </w:p>
    <w:p w14:paraId="4EFFB6F0" w14:textId="77777777" w:rsidR="00027FBF" w:rsidRPr="00A83C94" w:rsidRDefault="00027FBF" w:rsidP="00027FBF">
      <w:pPr>
        <w:spacing w:after="60" w:line="276" w:lineRule="auto"/>
        <w:ind w:firstLine="562"/>
        <w:contextualSpacing w:val="0"/>
        <w:rPr>
          <w:rFonts w:cs="Sylfaen"/>
          <w:bCs/>
          <w:noProof/>
          <w:szCs w:val="22"/>
          <w:u w:val="single"/>
          <w:lang w:val="hy-AM" w:eastAsia="en-US"/>
        </w:rPr>
      </w:pPr>
      <w:r w:rsidRPr="00A83C94">
        <w:rPr>
          <w:rFonts w:eastAsia="Calibri" w:cs="Sylfaen"/>
          <w:b w:val="0"/>
          <w:bCs/>
          <w:szCs w:val="22"/>
          <w:lang w:val="hy-AM" w:eastAsia="en-US"/>
        </w:rPr>
        <w:t xml:space="preserve">2022թ. համավարակի և Արցախյան պատերազմի բացասական ազդեցությունների չեզոքացման հետ մեկտեղ, պայմանավորված ներքին և արտաքին պահանջարկի վերականգնմամբ, պղնձի գների բարձր մակարդակով, </w:t>
      </w:r>
      <w:r w:rsidRPr="00A83C94">
        <w:rPr>
          <w:rFonts w:cs="Sylfaen"/>
          <w:b w:val="0"/>
          <w:bCs/>
          <w:noProof/>
          <w:szCs w:val="22"/>
          <w:lang w:val="hy-AM" w:eastAsia="en-US"/>
        </w:rPr>
        <w:t xml:space="preserve">ինչպես նաև </w:t>
      </w:r>
      <w:r w:rsidRPr="00A83C94">
        <w:rPr>
          <w:rFonts w:eastAsia="Calibri" w:cs="Sylfaen"/>
          <w:b w:val="0"/>
          <w:bCs/>
          <w:szCs w:val="22"/>
          <w:lang w:val="hy-AM" w:eastAsia="en-US"/>
        </w:rPr>
        <w:t>ՀՀ կառավարության կողմից նախատեսված մասնավոր ներդրումների խթանման,</w:t>
      </w:r>
      <w:r w:rsidRPr="00A83C94">
        <w:rPr>
          <w:rFonts w:cs="Sylfaen"/>
          <w:b w:val="0"/>
          <w:bCs/>
          <w:noProof/>
          <w:szCs w:val="22"/>
          <w:lang w:val="hy-AM" w:eastAsia="en-US"/>
        </w:rPr>
        <w:t xml:space="preserve"> գործարար միջավայրի բարելավման, տեխնոլոգիական առաջընթացի ապահովման, տնտեսության արտահանելի հատվածի և արտահաննամ խթանմանն ուղղված քաղաքականություններով, մեծածավալ պետական ներդրումների իրականացմամբ</w:t>
      </w:r>
      <w:r w:rsidRPr="00A83C94">
        <w:rPr>
          <w:rFonts w:eastAsia="Calibri" w:cs="Sylfaen"/>
          <w:b w:val="0"/>
          <w:bCs/>
          <w:szCs w:val="22"/>
          <w:lang w:val="hy-AM" w:eastAsia="en-US"/>
        </w:rPr>
        <w:t>` արդյունաբերությունը կաճի 8</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0%-ով, շինարարության ճյուղը՝ 18</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0%-ով, իսկ ծառայությունները և գյուղատնտեսությունը՝ համապատասխանաբար 5.9%-ով և 3.9%-ով:  </w:t>
      </w:r>
    </w:p>
    <w:tbl>
      <w:tblPr>
        <w:tblStyle w:val="TableGrid8130"/>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4887"/>
        <w:gridCol w:w="4859"/>
      </w:tblGrid>
      <w:tr w:rsidR="00027FBF" w:rsidRPr="006B7E7B" w14:paraId="599CB4CA" w14:textId="77777777" w:rsidTr="00027FBF">
        <w:trPr>
          <w:trHeight w:val="3783"/>
        </w:trPr>
        <w:tc>
          <w:tcPr>
            <w:tcW w:w="4887" w:type="dxa"/>
          </w:tcPr>
          <w:p w14:paraId="431A0551" w14:textId="77777777" w:rsidR="00027FBF" w:rsidRPr="00A83C94" w:rsidRDefault="00027FBF" w:rsidP="00027FBF">
            <w:pPr>
              <w:spacing w:before="0" w:line="240" w:lineRule="auto"/>
              <w:ind w:firstLine="0"/>
              <w:rPr>
                <w:i/>
                <w:noProof/>
                <w:sz w:val="18"/>
                <w:szCs w:val="18"/>
                <w:lang w:val="hy-AM" w:eastAsia="en-US"/>
              </w:rPr>
            </w:pPr>
            <w:r w:rsidRPr="00A83C94">
              <w:rPr>
                <w:i/>
                <w:noProof/>
                <w:szCs w:val="22"/>
                <w:lang w:val="en-US" w:eastAsia="en-US"/>
              </w:rPr>
              <w:lastRenderedPageBreak/>
              <w:drawing>
                <wp:anchor distT="0" distB="0" distL="114300" distR="114300" simplePos="0" relativeHeight="251728896" behindDoc="0" locked="0" layoutInCell="1" allowOverlap="1" wp14:anchorId="772FFD89" wp14:editId="071E5E9E">
                  <wp:simplePos x="0" y="0"/>
                  <wp:positionH relativeFrom="column">
                    <wp:posOffset>-5137</wp:posOffset>
                  </wp:positionH>
                  <wp:positionV relativeFrom="paragraph">
                    <wp:posOffset>373901</wp:posOffset>
                  </wp:positionV>
                  <wp:extent cx="3112135" cy="1807845"/>
                  <wp:effectExtent l="0" t="0" r="12065" b="190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Pr="00A83C94">
              <w:rPr>
                <w:i/>
                <w:noProof/>
                <w:sz w:val="18"/>
                <w:szCs w:val="18"/>
                <w:lang w:val="hy-AM" w:eastAsia="en-US"/>
              </w:rPr>
              <w:t>Գծապատկեր 1.18. Ճյուղերի տեսակարար կշիռները ՀՆԱ-ի կազմում</w:t>
            </w:r>
          </w:p>
          <w:p w14:paraId="584ADAC7" w14:textId="77777777" w:rsidR="00027FBF" w:rsidRPr="00A83C94" w:rsidRDefault="00027FBF" w:rsidP="00027FBF">
            <w:pPr>
              <w:spacing w:before="40" w:line="276" w:lineRule="auto"/>
              <w:ind w:firstLine="0"/>
              <w:contextualSpacing w:val="0"/>
              <w:jc w:val="left"/>
              <w:rPr>
                <w:b w:val="0"/>
                <w:i/>
                <w:sz w:val="16"/>
                <w:szCs w:val="16"/>
                <w:lang w:val="hy-AM" w:eastAsia="en-US"/>
              </w:rPr>
            </w:pPr>
            <w:r w:rsidRPr="00A83C94">
              <w:rPr>
                <w:b w:val="0"/>
                <w:i/>
                <w:sz w:val="16"/>
                <w:szCs w:val="16"/>
                <w:lang w:val="hy-AM" w:eastAsia="en-US"/>
              </w:rPr>
              <w:t>Աղբյուրը՝ ՀՀ ՎԿ, ՀՀ ՖՆ հաշվարկներ և կանխատեսումներ</w:t>
            </w:r>
          </w:p>
        </w:tc>
        <w:tc>
          <w:tcPr>
            <w:tcW w:w="4859" w:type="dxa"/>
          </w:tcPr>
          <w:p w14:paraId="4AB7E2C7" w14:textId="77777777" w:rsidR="00027FBF" w:rsidRPr="00A83C94" w:rsidRDefault="00027FBF" w:rsidP="00027FBF">
            <w:pPr>
              <w:spacing w:before="0" w:line="240" w:lineRule="auto"/>
              <w:ind w:firstLine="0"/>
              <w:rPr>
                <w:i/>
                <w:noProof/>
                <w:sz w:val="18"/>
                <w:szCs w:val="18"/>
                <w:lang w:val="hy-AM" w:eastAsia="en-US"/>
              </w:rPr>
            </w:pPr>
            <w:r w:rsidRPr="00A83C94">
              <w:rPr>
                <w:i/>
                <w:noProof/>
                <w:sz w:val="18"/>
                <w:szCs w:val="18"/>
                <w:lang w:val="en-US" w:eastAsia="en-US"/>
              </w:rPr>
              <w:drawing>
                <wp:anchor distT="0" distB="0" distL="114300" distR="114300" simplePos="0" relativeHeight="251719680" behindDoc="0" locked="0" layoutInCell="1" allowOverlap="1" wp14:anchorId="332091F7" wp14:editId="038C7DE9">
                  <wp:simplePos x="0" y="0"/>
                  <wp:positionH relativeFrom="column">
                    <wp:posOffset>32963</wp:posOffset>
                  </wp:positionH>
                  <wp:positionV relativeFrom="paragraph">
                    <wp:posOffset>378317</wp:posOffset>
                  </wp:positionV>
                  <wp:extent cx="3102610" cy="1807845"/>
                  <wp:effectExtent l="0" t="0" r="2540" b="190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Pr="00A83C94">
              <w:rPr>
                <w:i/>
                <w:noProof/>
                <w:sz w:val="18"/>
                <w:szCs w:val="18"/>
                <w:lang w:val="hy-AM" w:eastAsia="en-US"/>
              </w:rPr>
              <w:t>Գծապատկեր 1.19. Ծախսային բաղադրիչների տեսա- կարար կշիռները ՀՆԱ-ի կազմում</w:t>
            </w:r>
          </w:p>
          <w:p w14:paraId="0B83C802" w14:textId="77777777" w:rsidR="00027FBF" w:rsidRPr="00A83C94" w:rsidRDefault="00027FBF" w:rsidP="00027FBF">
            <w:pPr>
              <w:spacing w:before="40" w:line="276" w:lineRule="auto"/>
              <w:ind w:firstLine="0"/>
              <w:contextualSpacing w:val="0"/>
              <w:jc w:val="left"/>
              <w:rPr>
                <w:b w:val="0"/>
                <w:i/>
                <w:sz w:val="16"/>
                <w:szCs w:val="16"/>
                <w:lang w:val="hy-AM" w:eastAsia="en-US"/>
              </w:rPr>
            </w:pPr>
            <w:r w:rsidRPr="00A83C94">
              <w:rPr>
                <w:b w:val="0"/>
                <w:i/>
                <w:sz w:val="16"/>
                <w:szCs w:val="16"/>
                <w:lang w:val="hy-AM" w:eastAsia="en-US"/>
              </w:rPr>
              <w:t>Աղբյուրը՝ ՀՀ ՎԿ, ՀՀ ՖՆ հաշվարկներ և կանխատեսումներ</w:t>
            </w:r>
          </w:p>
        </w:tc>
      </w:tr>
    </w:tbl>
    <w:p w14:paraId="6BD08ED5" w14:textId="77777777" w:rsidR="00027FBF" w:rsidRPr="00A83C94" w:rsidRDefault="00027FBF" w:rsidP="00027FBF">
      <w:pPr>
        <w:spacing w:after="60" w:line="276" w:lineRule="auto"/>
        <w:ind w:firstLine="562"/>
        <w:contextualSpacing w:val="0"/>
        <w:rPr>
          <w:rFonts w:eastAsia="Calibri" w:cs="Sylfaen"/>
          <w:b w:val="0"/>
          <w:bCs/>
          <w:szCs w:val="22"/>
          <w:lang w:val="hy-AM" w:eastAsia="en-US"/>
        </w:rPr>
      </w:pPr>
      <w:r w:rsidRPr="00A83C94">
        <w:rPr>
          <w:rFonts w:eastAsia="Calibri"/>
          <w:bCs/>
          <w:szCs w:val="22"/>
          <w:u w:val="single"/>
          <w:lang w:val="hy-AM" w:eastAsia="en-US"/>
        </w:rPr>
        <w:t>Համախառն պահանջարկ</w:t>
      </w:r>
      <w:r w:rsidRPr="00A83C94">
        <w:rPr>
          <w:rFonts w:eastAsia="Calibri" w:cs="Times Armenian"/>
          <w:szCs w:val="22"/>
          <w:u w:val="single"/>
          <w:lang w:val="hy-AM" w:eastAsia="en-US"/>
        </w:rPr>
        <w:t xml:space="preserve">ի </w:t>
      </w:r>
      <w:r w:rsidRPr="00A83C94">
        <w:rPr>
          <w:rFonts w:eastAsia="Calibri" w:cs="Sylfaen"/>
          <w:szCs w:val="22"/>
          <w:u w:val="single"/>
          <w:lang w:val="hy-AM" w:eastAsia="en-US"/>
        </w:rPr>
        <w:t>կանխատեսում.</w:t>
      </w:r>
      <w:r w:rsidRPr="00A83C94">
        <w:rPr>
          <w:rFonts w:eastAsia="Calibri" w:cs="Sylfaen"/>
          <w:szCs w:val="22"/>
          <w:lang w:val="hy-AM" w:eastAsia="en-US"/>
        </w:rPr>
        <w:t xml:space="preserve"> </w:t>
      </w:r>
      <w:r w:rsidRPr="00A83C94">
        <w:rPr>
          <w:rFonts w:eastAsia="Calibri" w:cs="Sylfaen"/>
          <w:b w:val="0"/>
          <w:bCs/>
          <w:szCs w:val="22"/>
          <w:lang w:val="hy-AM" w:eastAsia="en-US"/>
        </w:rPr>
        <w:t xml:space="preserve">Համավարակի և Արցախյան պատերազմի բացասական ազդեցությունների աստիճանական թուլացման պայմաններում 2021թ. վերջնական սպառումը </w:t>
      </w:r>
      <w:r>
        <w:rPr>
          <w:rFonts w:eastAsia="Calibri" w:cs="Sylfaen"/>
          <w:b w:val="0"/>
          <w:bCs/>
          <w:szCs w:val="22"/>
          <w:lang w:val="hy-AM" w:eastAsia="en-US"/>
        </w:rPr>
        <w:t xml:space="preserve">իրական արտահայտությամբ </w:t>
      </w:r>
      <w:r w:rsidRPr="00A83C94">
        <w:rPr>
          <w:rFonts w:eastAsia="Calibri" w:cs="Sylfaen"/>
          <w:b w:val="0"/>
          <w:bCs/>
          <w:szCs w:val="22"/>
          <w:lang w:val="hy-AM" w:eastAsia="en-US"/>
        </w:rPr>
        <w:t>կաճի 7.7%-ով, իսկ ներդրումները՝ 3.6%-ով։ Սպառման և ներդրումների աճին կնպաստեն տնօրինվող եկամտի աճը, նախորդ տարի մասնավոր հատվածում կուտակված խնայողությունների օգտագործումը, ինչպես նաև 2020թ. իրականացված և 2021թ. շարունակվող  ՀՀ կառավարության կողմից վարվող համավարակի և Արցախյան պատերազմի հետևանքների մեղմանն ու ներդրումային միջավայրի բարելավմանն ուղղված քաղաքականությունները։ 2022թ. սպառումը կաճի 4.</w:t>
      </w:r>
      <w:r w:rsidRPr="005427C8">
        <w:rPr>
          <w:rFonts w:eastAsia="Calibri" w:cs="Sylfaen"/>
          <w:b w:val="0"/>
          <w:bCs/>
          <w:szCs w:val="22"/>
          <w:lang w:val="hy-AM" w:eastAsia="en-US"/>
        </w:rPr>
        <w:t>7</w:t>
      </w:r>
      <w:r w:rsidRPr="00A83C94">
        <w:rPr>
          <w:rFonts w:eastAsia="Calibri" w:cs="Sylfaen"/>
          <w:b w:val="0"/>
          <w:bCs/>
          <w:szCs w:val="22"/>
          <w:lang w:val="hy-AM" w:eastAsia="en-US"/>
        </w:rPr>
        <w:t>%-ով, իսկ ներդրումները՝ 22.</w:t>
      </w:r>
      <w:r w:rsidRPr="008413F5">
        <w:rPr>
          <w:rFonts w:eastAsia="Calibri" w:cs="Sylfaen"/>
          <w:b w:val="0"/>
          <w:bCs/>
          <w:szCs w:val="22"/>
          <w:lang w:val="hy-AM" w:eastAsia="en-US"/>
        </w:rPr>
        <w:t>1</w:t>
      </w:r>
      <w:r w:rsidRPr="00A83C94">
        <w:rPr>
          <w:rFonts w:eastAsia="Calibri" w:cs="Sylfaen"/>
          <w:b w:val="0"/>
          <w:bCs/>
          <w:szCs w:val="22"/>
          <w:lang w:val="hy-AM" w:eastAsia="en-US"/>
        </w:rPr>
        <w:t>%-ով: Ներդրումների աճը կպայմանավորվի ՀՀ կառավարության կողմից ենթակառուցվածքներում խոշոր պետական ներդրումներով (</w:t>
      </w:r>
      <w:r w:rsidRPr="005427C8">
        <w:rPr>
          <w:rFonts w:eastAsia="Calibri" w:cs="Sylfaen"/>
          <w:b w:val="0"/>
          <w:bCs/>
          <w:szCs w:val="22"/>
          <w:lang w:val="hy-AM" w:eastAsia="en-US"/>
        </w:rPr>
        <w:t>4</w:t>
      </w:r>
      <w:r w:rsidRPr="008413F5">
        <w:rPr>
          <w:rFonts w:eastAsia="Calibri" w:cs="Sylfaen"/>
          <w:b w:val="0"/>
          <w:bCs/>
          <w:szCs w:val="22"/>
          <w:lang w:val="hy-AM" w:eastAsia="en-US"/>
        </w:rPr>
        <w:t>4</w:t>
      </w:r>
      <w:r w:rsidRPr="005427C8">
        <w:rPr>
          <w:rFonts w:eastAsia="Calibri" w:cs="Sylfaen"/>
          <w:b w:val="0"/>
          <w:bCs/>
          <w:szCs w:val="22"/>
          <w:lang w:val="hy-AM" w:eastAsia="en-US"/>
        </w:rPr>
        <w:t>.</w:t>
      </w:r>
      <w:r w:rsidRPr="008413F5">
        <w:rPr>
          <w:rFonts w:eastAsia="Calibri" w:cs="Sylfaen"/>
          <w:b w:val="0"/>
          <w:bCs/>
          <w:szCs w:val="22"/>
          <w:lang w:val="hy-AM" w:eastAsia="en-US"/>
        </w:rPr>
        <w:t>5</w:t>
      </w:r>
      <w:r w:rsidRPr="00A83C94">
        <w:rPr>
          <w:rFonts w:eastAsia="Calibri" w:cs="Sylfaen"/>
          <w:b w:val="0"/>
          <w:bCs/>
          <w:szCs w:val="22"/>
          <w:lang w:val="hy-AM" w:eastAsia="en-US"/>
        </w:rPr>
        <w:t>% պետական ներդրումների աճ), ինչպես նաև ՀՀ կառավարության կողմից մասնավոր ներդրումների խթանման քաղաքականության իրականացման արդյունքում ներքին և օտարերկրյա միջոցներով ֆինանսավորվող մասնավոր ներդրումներով (</w:t>
      </w:r>
      <w:r w:rsidRPr="005427C8">
        <w:rPr>
          <w:rFonts w:eastAsia="Calibri" w:cs="Sylfaen"/>
          <w:b w:val="0"/>
          <w:bCs/>
          <w:szCs w:val="22"/>
          <w:lang w:val="hy-AM" w:eastAsia="en-US"/>
        </w:rPr>
        <w:t>15.</w:t>
      </w:r>
      <w:r w:rsidRPr="00AF2ED1">
        <w:rPr>
          <w:rFonts w:eastAsia="Calibri" w:cs="Sylfaen"/>
          <w:b w:val="0"/>
          <w:bCs/>
          <w:szCs w:val="22"/>
          <w:lang w:val="hy-AM" w:eastAsia="en-US"/>
        </w:rPr>
        <w:t>6</w:t>
      </w:r>
      <w:r w:rsidRPr="00A83C94">
        <w:rPr>
          <w:rFonts w:eastAsia="Calibri" w:cs="Sylfaen"/>
          <w:b w:val="0"/>
          <w:bCs/>
          <w:szCs w:val="22"/>
          <w:lang w:val="hy-AM" w:eastAsia="en-US"/>
        </w:rPr>
        <w:t>% մասնավոր ներդրումների աճ)։</w:t>
      </w:r>
    </w:p>
    <w:p w14:paraId="3B047F56" w14:textId="77777777" w:rsidR="00027FBF" w:rsidRPr="00A83C94" w:rsidRDefault="00027FBF" w:rsidP="00027FBF">
      <w:pPr>
        <w:spacing w:before="40" w:after="60" w:line="276" w:lineRule="auto"/>
        <w:ind w:firstLine="562"/>
        <w:contextualSpacing w:val="0"/>
        <w:rPr>
          <w:rFonts w:eastAsia="Calibri" w:cs="Sylfaen"/>
          <w:b w:val="0"/>
          <w:bCs/>
          <w:szCs w:val="22"/>
          <w:lang w:val="hy-AM" w:eastAsia="en-US"/>
        </w:rPr>
      </w:pPr>
      <w:r w:rsidRPr="00A83C94">
        <w:rPr>
          <w:rFonts w:eastAsia="Calibri" w:cs="Sylfaen"/>
          <w:b w:val="0"/>
          <w:bCs/>
          <w:szCs w:val="22"/>
          <w:lang w:val="hy-AM" w:eastAsia="en-US"/>
        </w:rPr>
        <w:t>2021թ. արտահանումը և ներմուծումը կաճեն համապատասխանաբար 7.6%-ով և 8.2%-ով՝ պայմանավորված ներքին և արտաքին պահանջարկի, ինչպես նաև տնտեսական ակտիվության վերականգմամբ։ ՀՀ և համաշխարհային տնտեսական աճերի, ՀՀ տնտեսության արտահանելի հատվածի զարգացումների, տնօրինվող եկամտի աճի, զբոսաշրջության վերականգման, ինչպես նաև արտահանմանը և ներդրումների խրախուսմանն ուղղված ՀՀ կառավարության քաղաքականության պայմաններում 2022թ. արտահանումն ու ներմուծումը կաճեն համապատասխանաբար` 14.3%-ով և 15.3%-ով:</w:t>
      </w:r>
    </w:p>
    <w:p w14:paraId="3695C6C2" w14:textId="77777777" w:rsidR="00027FBF" w:rsidRPr="00A83C94" w:rsidRDefault="00027FBF" w:rsidP="00027FBF">
      <w:pPr>
        <w:spacing w:before="40" w:after="60" w:line="276" w:lineRule="auto"/>
        <w:ind w:firstLine="562"/>
        <w:contextualSpacing w:val="0"/>
        <w:rPr>
          <w:rFonts w:eastAsia="Calibri" w:cs="Sylfaen"/>
          <w:b w:val="0"/>
          <w:bCs/>
          <w:szCs w:val="22"/>
          <w:lang w:val="hy-AM" w:eastAsia="en-US"/>
        </w:rPr>
      </w:pPr>
    </w:p>
    <w:p w14:paraId="2AF6C304"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bookmarkStart w:id="30" w:name="_Toc51360524"/>
      <w:r w:rsidRPr="00A83C94">
        <w:rPr>
          <w:rFonts w:eastAsia="Calibri"/>
          <w:bCs/>
          <w:sz w:val="24"/>
          <w:lang w:val="hy-AM" w:eastAsia="en-US"/>
        </w:rPr>
        <w:t>1.3.2. Աշխատանքի շուկա</w:t>
      </w:r>
      <w:bookmarkEnd w:id="30"/>
    </w:p>
    <w:p w14:paraId="57A42F51" w14:textId="77777777" w:rsidR="00027FBF" w:rsidRPr="00A83C94" w:rsidRDefault="00027FBF" w:rsidP="00027FBF">
      <w:pPr>
        <w:tabs>
          <w:tab w:val="num" w:pos="720"/>
          <w:tab w:val="left" w:pos="9450"/>
        </w:tabs>
        <w:spacing w:before="40" w:after="60" w:line="276" w:lineRule="auto"/>
        <w:ind w:firstLine="630"/>
        <w:contextualSpacing w:val="0"/>
        <w:rPr>
          <w:rFonts w:cs="Times Armenian"/>
          <w:szCs w:val="22"/>
          <w:lang w:val="hy-AM" w:eastAsia="en-US"/>
        </w:rPr>
      </w:pPr>
      <w:r w:rsidRPr="00A83C94">
        <w:rPr>
          <w:rFonts w:cs="Times Armenian"/>
          <w:bCs/>
          <w:szCs w:val="22"/>
          <w:lang w:val="hy-AM" w:eastAsia="en-US"/>
        </w:rPr>
        <w:t>Տնտեսական անկման պայմաններում 2020թ. գործազրկության մակարդակն աճել է՝ 17.9%-ից հասնելով 18.1%-ի, իսկ աշխատուժի մասնակցության մակարդակը նվազել՝ 58.9%-ից հասնելով 57.7%-ի:</w:t>
      </w:r>
      <w:r w:rsidRPr="00A83C94">
        <w:rPr>
          <w:rFonts w:cs="Times Armenian"/>
          <w:b w:val="0"/>
          <w:szCs w:val="22"/>
          <w:lang w:val="hy-AM" w:eastAsia="en-US"/>
        </w:rPr>
        <w:t xml:space="preserve"> Նույն ժամանակաշրջանում և΄ զբաղվածների, և΄ գործազուրկների թիվը նվազել է՝ համապատասխանաբար 1.9%-ով և 0.1%-ով: Միջին ամսական աշխատավարձը 2020թ. աճել է 3.9%-ով, միաժամանակ իրական աշխատավարձը` 1.2% միջին գնաճի պայմաններում ավելացել է 2.7%-ով:</w:t>
      </w:r>
    </w:p>
    <w:p w14:paraId="50B81F79" w14:textId="77777777" w:rsidR="00027FBF" w:rsidRPr="00A83C94" w:rsidRDefault="00027FBF" w:rsidP="00027FBF">
      <w:pPr>
        <w:spacing w:before="40" w:after="60" w:line="276" w:lineRule="auto"/>
        <w:ind w:firstLine="634"/>
        <w:contextualSpacing w:val="0"/>
        <w:rPr>
          <w:rFonts w:eastAsiaTheme="majorEastAsia"/>
          <w:b w:val="0"/>
          <w:lang w:val="hy-AM"/>
        </w:rPr>
      </w:pPr>
      <w:r w:rsidRPr="00A83C94">
        <w:rPr>
          <w:rFonts w:eastAsiaTheme="majorEastAsia"/>
          <w:bCs/>
          <w:lang w:val="hy-AM"/>
        </w:rPr>
        <w:t>2021թ. I եռամսյակում գործազրկության մակարդակը նախորդ տարվա նույն եռամսյակի նկատմամբ նվազել է 2.7 տոկոսային կետով՝ կազմելով 17.0%:</w:t>
      </w:r>
      <w:r w:rsidRPr="00A83C94">
        <w:rPr>
          <w:rFonts w:eastAsiaTheme="majorEastAsia"/>
          <w:lang w:val="hy-AM"/>
        </w:rPr>
        <w:t xml:space="preserve"> </w:t>
      </w:r>
      <w:r w:rsidRPr="00A83C94">
        <w:rPr>
          <w:rFonts w:eastAsiaTheme="majorEastAsia"/>
          <w:b w:val="0"/>
          <w:lang w:val="hy-AM"/>
        </w:rPr>
        <w:t xml:space="preserve">Գործազուրկների </w:t>
      </w:r>
      <w:r w:rsidRPr="00A83C94">
        <w:rPr>
          <w:rFonts w:eastAsiaTheme="majorEastAsia"/>
          <w:b w:val="0"/>
          <w:lang w:val="hy-AM"/>
        </w:rPr>
        <w:lastRenderedPageBreak/>
        <w:t>թիվը նվազել է 17.1%-ով՝ կազմելով 193.0 հազար մարդ: Նշենք, որ միաժամանակ 0.2%-ով նվազել է նաև զբաղվածների թիվը՝ կազմելով 943.8 հազ. մարդ: Աշխատուժի առաջարկը (տնտեսապես ակտիվ բնակչություն) ևս նվազել է 3.6%-ով՝ կազմելով 1136.8 հազար մարդ: Աշխատանքի շուկայի ցուցանիշների շարժընթացը հիմնականում բացատրվում է 2020թ. տեղի ունեցած ժողովրդագրական տեղաշարժով:</w:t>
      </w:r>
    </w:p>
    <w:p w14:paraId="429C581F" w14:textId="77777777" w:rsidR="00027FBF" w:rsidRPr="00A83C94" w:rsidRDefault="00027FBF" w:rsidP="00027FBF">
      <w:pPr>
        <w:spacing w:after="120" w:line="276" w:lineRule="auto"/>
        <w:ind w:firstLine="562"/>
        <w:rPr>
          <w:rFonts w:eastAsiaTheme="majorEastAsia"/>
          <w:lang w:val="hy-AM"/>
        </w:rPr>
      </w:pPr>
      <w:r w:rsidRPr="00A83C94">
        <w:rPr>
          <w:rFonts w:eastAsiaTheme="majorEastAsia"/>
          <w:bCs/>
          <w:lang w:val="hy-AM"/>
        </w:rPr>
        <w:t>2021թ. տնտեսական վերականգնման պայմաններում աշխատանքի շուկայում կդրսևորվեն դրական զարգացումներ։</w:t>
      </w:r>
      <w:r w:rsidRPr="00A83C94">
        <w:rPr>
          <w:rFonts w:eastAsiaTheme="majorEastAsia"/>
          <w:lang w:val="hy-AM"/>
        </w:rPr>
        <w:t xml:space="preserve"> </w:t>
      </w:r>
      <w:r w:rsidRPr="00A83C94">
        <w:rPr>
          <w:rFonts w:eastAsiaTheme="majorEastAsia"/>
          <w:b w:val="0"/>
          <w:lang w:val="hy-AM"/>
        </w:rPr>
        <w:t xml:space="preserve">Այս պայմաններում ակնկալվում է զբաղվածության աճ և գործազրկության նվազում։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063"/>
        <w:gridCol w:w="4961"/>
      </w:tblGrid>
      <w:tr w:rsidR="00027FBF" w:rsidRPr="00A83C94" w14:paraId="7E3404B2" w14:textId="77777777" w:rsidTr="00027FBF">
        <w:trPr>
          <w:trHeight w:val="3144"/>
        </w:trPr>
        <w:tc>
          <w:tcPr>
            <w:tcW w:w="5063" w:type="dxa"/>
          </w:tcPr>
          <w:p w14:paraId="02ED7E13" w14:textId="77777777" w:rsidR="00027FBF" w:rsidRPr="00A83C94" w:rsidRDefault="00027FBF" w:rsidP="00027FBF">
            <w:pPr>
              <w:spacing w:before="40" w:after="60" w:line="240" w:lineRule="auto"/>
              <w:ind w:left="158" w:firstLine="0"/>
              <w:contextualSpacing w:val="0"/>
              <w:rPr>
                <w:rFonts w:cs="Times Armenian"/>
                <w:bCs/>
                <w:i/>
                <w:sz w:val="18"/>
                <w:szCs w:val="18"/>
                <w:lang w:val="hy-AM" w:eastAsia="en-US"/>
              </w:rPr>
            </w:pPr>
            <w:r w:rsidRPr="00A83C94">
              <w:rPr>
                <w:rFonts w:cs="Times Armenian"/>
                <w:bCs/>
                <w:i/>
                <w:sz w:val="18"/>
                <w:szCs w:val="18"/>
                <w:lang w:val="hy-AM" w:eastAsia="en-US"/>
              </w:rPr>
              <w:t>Գծապատկեր 1.</w:t>
            </w:r>
            <w:r w:rsidRPr="00A83C94">
              <w:rPr>
                <w:rFonts w:cs="Times Armenian"/>
                <w:bCs/>
                <w:i/>
                <w:sz w:val="18"/>
                <w:szCs w:val="18"/>
                <w:lang w:val="en-US" w:eastAsia="en-US"/>
              </w:rPr>
              <w:t>20.</w:t>
            </w:r>
            <w:r w:rsidRPr="00A83C94">
              <w:rPr>
                <w:rFonts w:cs="Times Armenian"/>
                <w:bCs/>
                <w:i/>
                <w:sz w:val="18"/>
                <w:szCs w:val="18"/>
                <w:lang w:val="hy-AM" w:eastAsia="en-US"/>
              </w:rPr>
              <w:t xml:space="preserve"> Գործազրկություն և զբաղվածություն </w:t>
            </w:r>
          </w:p>
          <w:p w14:paraId="6C0A4616" w14:textId="77777777" w:rsidR="00027FBF" w:rsidRPr="00A83C94" w:rsidRDefault="00027FBF" w:rsidP="00027FBF">
            <w:pPr>
              <w:spacing w:before="40" w:after="60" w:line="240" w:lineRule="auto"/>
              <w:ind w:firstLine="0"/>
              <w:contextualSpacing w:val="0"/>
              <w:jc w:val="left"/>
              <w:rPr>
                <w:rFonts w:cs="Times Armenian"/>
                <w:b w:val="0"/>
                <w:bCs/>
                <w:szCs w:val="22"/>
                <w:lang w:val="en-US" w:eastAsia="en-US"/>
              </w:rPr>
            </w:pPr>
            <w:r w:rsidRPr="00A83C94">
              <w:rPr>
                <w:rFonts w:cs="Times Armenian"/>
                <w:b w:val="0"/>
                <w:bCs/>
                <w:noProof/>
                <w:szCs w:val="22"/>
                <w:lang w:val="en-US" w:eastAsia="en-US"/>
              </w:rPr>
              <w:drawing>
                <wp:inline distT="0" distB="0" distL="0" distR="0" wp14:anchorId="3FC70A91" wp14:editId="51ED3BFC">
                  <wp:extent cx="2962275" cy="2105025"/>
                  <wp:effectExtent l="0" t="0" r="9525" b="9525"/>
                  <wp:docPr id="8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2FBA1F" w14:textId="77777777" w:rsidR="00027FBF" w:rsidRPr="00A83C94" w:rsidRDefault="00027FBF" w:rsidP="00027FBF">
            <w:pPr>
              <w:spacing w:before="40" w:after="60" w:line="240" w:lineRule="auto"/>
              <w:ind w:left="155" w:firstLine="0"/>
              <w:contextualSpacing w:val="0"/>
              <w:jc w:val="left"/>
              <w:rPr>
                <w:rFonts w:cs="Times Armenian"/>
                <w:bCs/>
                <w:i/>
                <w:sz w:val="16"/>
                <w:szCs w:val="16"/>
                <w:lang w:val="hy-AM" w:eastAsia="en-US"/>
              </w:rPr>
            </w:pPr>
            <w:r w:rsidRPr="00A83C94">
              <w:rPr>
                <w:rFonts w:cs="Times Armenian"/>
                <w:b w:val="0"/>
                <w:i/>
                <w:sz w:val="16"/>
                <w:szCs w:val="16"/>
                <w:lang w:val="en-US" w:eastAsia="en-US"/>
              </w:rPr>
              <w:t>Աղբյուրը՝ ՀՀ ՎԿ</w:t>
            </w:r>
          </w:p>
        </w:tc>
        <w:tc>
          <w:tcPr>
            <w:tcW w:w="4961" w:type="dxa"/>
          </w:tcPr>
          <w:p w14:paraId="7F04190A" w14:textId="77777777" w:rsidR="00027FBF" w:rsidRPr="00A83C94" w:rsidRDefault="00027FBF" w:rsidP="00027FBF">
            <w:pPr>
              <w:spacing w:before="40" w:line="240" w:lineRule="auto"/>
              <w:ind w:left="173" w:firstLine="0"/>
              <w:contextualSpacing w:val="0"/>
              <w:jc w:val="left"/>
              <w:rPr>
                <w:rFonts w:cs="Times Armenian"/>
                <w:noProof/>
                <w:sz w:val="18"/>
                <w:szCs w:val="18"/>
                <w:lang w:val="hy-AM" w:eastAsia="en-US"/>
              </w:rPr>
            </w:pPr>
            <w:r w:rsidRPr="00A83C94">
              <w:rPr>
                <w:rFonts w:cs="Times Armenian"/>
                <w:b w:val="0"/>
                <w:noProof/>
                <w:szCs w:val="22"/>
                <w:lang w:val="en-US" w:eastAsia="en-US"/>
              </w:rPr>
              <w:drawing>
                <wp:anchor distT="0" distB="0" distL="114300" distR="114300" simplePos="0" relativeHeight="251731968" behindDoc="1" locked="0" layoutInCell="1" allowOverlap="1" wp14:anchorId="15230E30" wp14:editId="7CE40088">
                  <wp:simplePos x="0" y="0"/>
                  <wp:positionH relativeFrom="column">
                    <wp:posOffset>-6985</wp:posOffset>
                  </wp:positionH>
                  <wp:positionV relativeFrom="paragraph">
                    <wp:posOffset>372110</wp:posOffset>
                  </wp:positionV>
                  <wp:extent cx="2987040" cy="2105025"/>
                  <wp:effectExtent l="0" t="0" r="3810" b="9525"/>
                  <wp:wrapTight wrapText="bothSides">
                    <wp:wrapPolygon edited="0">
                      <wp:start x="0" y="0"/>
                      <wp:lineTo x="0" y="21502"/>
                      <wp:lineTo x="21490" y="21502"/>
                      <wp:lineTo x="21490" y="0"/>
                      <wp:lineTo x="0" y="0"/>
                    </wp:wrapPolygon>
                  </wp:wrapTight>
                  <wp:docPr id="157"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Pr="00A83C94">
              <w:rPr>
                <w:rFonts w:cs="Times Armenian"/>
                <w:bCs/>
                <w:i/>
                <w:iCs/>
                <w:sz w:val="18"/>
                <w:szCs w:val="18"/>
                <w:lang w:val="hy-AM" w:eastAsia="en-US"/>
              </w:rPr>
              <w:t>Գծապատկեր 1.21. Միջին ամսական անվանական աշխատավարձի կուտակային աճ</w:t>
            </w:r>
            <w:r w:rsidRPr="00A83C94">
              <w:rPr>
                <w:rFonts w:cs="Times Armenian"/>
                <w:noProof/>
                <w:sz w:val="18"/>
                <w:szCs w:val="18"/>
                <w:lang w:val="hy-AM" w:eastAsia="en-US"/>
              </w:rPr>
              <w:t xml:space="preserve">, 2021թ., % </w:t>
            </w:r>
          </w:p>
          <w:p w14:paraId="5B419668" w14:textId="77777777" w:rsidR="00027FBF" w:rsidRPr="00A83C94" w:rsidRDefault="00027FBF" w:rsidP="00027FBF">
            <w:pPr>
              <w:spacing w:before="0" w:after="60" w:line="240" w:lineRule="auto"/>
              <w:ind w:left="173" w:firstLine="0"/>
              <w:contextualSpacing w:val="0"/>
              <w:jc w:val="left"/>
              <w:rPr>
                <w:rFonts w:cs="Times Armenian"/>
                <w:bCs/>
                <w:i/>
                <w:sz w:val="16"/>
                <w:szCs w:val="16"/>
                <w:lang w:val="hy-AM" w:eastAsia="en-US"/>
              </w:rPr>
            </w:pPr>
            <w:r w:rsidRPr="00A83C94">
              <w:rPr>
                <w:rFonts w:cs="Times Armenian"/>
                <w:b w:val="0"/>
                <w:i/>
                <w:sz w:val="16"/>
                <w:szCs w:val="16"/>
                <w:lang w:val="hy-AM" w:eastAsia="en-US"/>
              </w:rPr>
              <w:t>Աղբյուրը՝ ՀՀ ՎԿ</w:t>
            </w:r>
          </w:p>
        </w:tc>
      </w:tr>
    </w:tbl>
    <w:p w14:paraId="2CA5169A" w14:textId="77777777" w:rsidR="00027FBF" w:rsidRPr="00A83C94" w:rsidRDefault="00027FBF" w:rsidP="00027FBF">
      <w:pPr>
        <w:spacing w:after="60" w:line="276" w:lineRule="auto"/>
        <w:ind w:firstLine="634"/>
        <w:contextualSpacing w:val="0"/>
        <w:rPr>
          <w:rFonts w:cs="Times Armenian"/>
          <w:szCs w:val="22"/>
          <w:lang w:val="hy-AM" w:eastAsia="en-US"/>
        </w:rPr>
      </w:pPr>
      <w:r w:rsidRPr="00A83C94">
        <w:rPr>
          <w:rFonts w:cs="Times Armenian"/>
          <w:szCs w:val="22"/>
          <w:lang w:val="hy-AM" w:eastAsia="en-US"/>
        </w:rPr>
        <w:t>2021թ. տարեսկզբից</w:t>
      </w:r>
      <w:r w:rsidRPr="00A83C94">
        <w:rPr>
          <w:rFonts w:cs="Times Armenian"/>
          <w:szCs w:val="22"/>
          <w:lang w:eastAsia="en-US"/>
        </w:rPr>
        <w:t xml:space="preserve"> </w:t>
      </w:r>
      <w:r w:rsidRPr="00A83C94">
        <w:rPr>
          <w:rFonts w:cs="Times Armenian"/>
          <w:szCs w:val="22"/>
          <w:lang w:val="en-US" w:eastAsia="en-US"/>
        </w:rPr>
        <w:t>տնտեսության</w:t>
      </w:r>
      <w:r w:rsidRPr="00A83C94">
        <w:rPr>
          <w:rFonts w:cs="Times Armenian"/>
          <w:szCs w:val="22"/>
          <w:lang w:eastAsia="en-US"/>
        </w:rPr>
        <w:t xml:space="preserve"> </w:t>
      </w:r>
      <w:r w:rsidRPr="00A83C94">
        <w:rPr>
          <w:rFonts w:cs="Times Armenian"/>
          <w:szCs w:val="22"/>
          <w:lang w:val="en-US" w:eastAsia="en-US"/>
        </w:rPr>
        <w:t>վերականգնման</w:t>
      </w:r>
      <w:r w:rsidRPr="00A83C94">
        <w:rPr>
          <w:rFonts w:cs="Times Armenian"/>
          <w:szCs w:val="22"/>
          <w:lang w:eastAsia="en-US"/>
        </w:rPr>
        <w:t xml:space="preserve"> </w:t>
      </w:r>
      <w:r w:rsidRPr="00A83C94">
        <w:rPr>
          <w:rFonts w:cs="Times Armenian"/>
          <w:szCs w:val="22"/>
          <w:lang w:val="en-US" w:eastAsia="en-US"/>
        </w:rPr>
        <w:t>պայմաններում</w:t>
      </w:r>
      <w:r w:rsidRPr="00A83C94">
        <w:rPr>
          <w:rFonts w:cs="Times Armenian"/>
          <w:szCs w:val="22"/>
          <w:lang w:eastAsia="en-US"/>
        </w:rPr>
        <w:t xml:space="preserve"> </w:t>
      </w:r>
      <w:r w:rsidRPr="00A83C94">
        <w:rPr>
          <w:rFonts w:cs="Times Armenian"/>
          <w:szCs w:val="22"/>
          <w:lang w:val="hy-AM" w:eastAsia="en-US"/>
        </w:rPr>
        <w:t xml:space="preserve">միջին ամսական անվանական աշխատավարձի աճի տեմպը (հատկապես մասնավոր հատվածում) սկսեց աստիճանաբար </w:t>
      </w:r>
      <w:r w:rsidRPr="00A83C94">
        <w:rPr>
          <w:rFonts w:cs="Times Armenian"/>
          <w:szCs w:val="22"/>
          <w:lang w:val="en-US" w:eastAsia="en-US"/>
        </w:rPr>
        <w:t>արագանալ</w:t>
      </w:r>
      <w:r w:rsidRPr="00A83C94">
        <w:rPr>
          <w:rFonts w:cs="Times Armenian"/>
          <w:szCs w:val="22"/>
          <w:lang w:val="hy-AM" w:eastAsia="en-US"/>
        </w:rPr>
        <w:t xml:space="preserve">: </w:t>
      </w:r>
      <w:r w:rsidRPr="00A83C94">
        <w:rPr>
          <w:rFonts w:cs="Times Armenian"/>
          <w:b w:val="0"/>
          <w:szCs w:val="22"/>
          <w:lang w:val="hy-AM" w:eastAsia="en-US"/>
        </w:rPr>
        <w:t>2021թ. հունվար-հուլիսին միջին ամսական անվանական աշխատավարձն աճել է 5.7%-ով՝ կազմելով 197,881 դրամ: Միաժամանակ, սպառողական գների ինդեքսի 6.1% աճի պարագայում իրական աշխատավարձը նվազել է 0.4%-ով: Պետական հատվածում միջին ամսական անվանական աշխատավարձն աճել է 3.6%-ով՝ կազմելով  171,763 դրամ, իսկ մասնավոր հատվածում՝ 6.5%-ով՝ կազմելով 210,336 դրամ:</w:t>
      </w:r>
    </w:p>
    <w:p w14:paraId="5460E830" w14:textId="77777777" w:rsidR="00027FBF" w:rsidRPr="00A83C94" w:rsidRDefault="00027FBF" w:rsidP="00027FBF">
      <w:pPr>
        <w:keepNext/>
        <w:keepLines/>
        <w:spacing w:before="0" w:line="276" w:lineRule="auto"/>
        <w:jc w:val="left"/>
        <w:outlineLvl w:val="2"/>
        <w:rPr>
          <w:rFonts w:cs="Times Armenian"/>
          <w:b w:val="0"/>
          <w:szCs w:val="22"/>
          <w:lang w:val="hy-AM" w:eastAsia="en-US"/>
        </w:rPr>
      </w:pPr>
    </w:p>
    <w:p w14:paraId="24B855E7"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r w:rsidRPr="00A83C94">
        <w:rPr>
          <w:rFonts w:eastAsia="Calibri"/>
          <w:bCs/>
          <w:sz w:val="24"/>
          <w:lang w:val="hy-AM" w:eastAsia="en-US"/>
        </w:rPr>
        <w:t xml:space="preserve">1.3.3. ՀՀ վճարային հաշվեկշիռ, արտահանում և ներմուծում </w:t>
      </w:r>
    </w:p>
    <w:p w14:paraId="4EC437F0" w14:textId="77777777" w:rsidR="00027FBF" w:rsidRPr="00A83C94" w:rsidRDefault="00027FBF" w:rsidP="00027FBF">
      <w:pPr>
        <w:spacing w:before="0" w:after="120" w:line="276" w:lineRule="auto"/>
        <w:ind w:left="5" w:firstLine="1"/>
        <w:contextualSpacing w:val="0"/>
        <w:rPr>
          <w:rFonts w:eastAsia="Calibri" w:cs="Sylfaen"/>
          <w:b w:val="0"/>
          <w:szCs w:val="22"/>
          <w:lang w:val="hy-AM" w:eastAsia="en-US"/>
        </w:rPr>
      </w:pPr>
      <w:r w:rsidRPr="00A83C94">
        <w:rPr>
          <w:rFonts w:cs="Times Armenian"/>
          <w:szCs w:val="22"/>
          <w:lang w:val="hy-AM" w:eastAsia="en-US"/>
        </w:rPr>
        <w:t xml:space="preserve">          2020</w:t>
      </w:r>
      <w:r w:rsidRPr="00A83C94">
        <w:rPr>
          <w:rFonts w:cs="Sylfaen"/>
          <w:lang w:val="hy-AM"/>
        </w:rPr>
        <w:t>թ</w:t>
      </w:r>
      <w:r w:rsidRPr="00A83C94">
        <w:rPr>
          <w:rFonts w:ascii="Cambria Math" w:eastAsia="Calibri" w:hAnsi="Cambria Math" w:cs="Cambria Math"/>
          <w:szCs w:val="22"/>
          <w:lang w:val="hy-AM" w:eastAsia="en-US"/>
        </w:rPr>
        <w:t>․</w:t>
      </w:r>
      <w:r w:rsidRPr="00A83C94">
        <w:rPr>
          <w:rFonts w:eastAsia="Calibri" w:cs="Sylfaen"/>
          <w:szCs w:val="22"/>
          <w:lang w:val="hy-AM" w:eastAsia="en-US"/>
        </w:rPr>
        <w:t xml:space="preserve"> ՀՀ վճարային հաշվեկշռի ընթացիկ հաշվի պակասուրդը նախորդ տարվա համեմատ բարելավվել է՝ կազմելով ՀՆԱ-ի 3.8%-ը: </w:t>
      </w:r>
      <w:r w:rsidRPr="00A83C94">
        <w:rPr>
          <w:rFonts w:eastAsia="Calibri" w:cs="Sylfaen"/>
          <w:b w:val="0"/>
          <w:szCs w:val="22"/>
          <w:lang w:val="hy-AM" w:eastAsia="en-US"/>
        </w:rPr>
        <w:t>Ընթացիկ հաշվի բարելավումը պայմանավորված է եղել ապրանքների և ծառայությունների բացասական հաշվեկշիռի կրճատմամբ՝ հիմնականում համավարակի պատճառով գլոբալ զբոսաշրջության կրճատման և ներքին թույլ պահանջարկի հետևանքով ապրանքների և ծառայությունների ներմուծման ավելի խորը անկման, ինչպես նաև անհատույց տրամադրվող դրամական փոխանցումների (երկրորդային եկամուտների) աճի արդյունքում:</w:t>
      </w:r>
    </w:p>
    <w:p w14:paraId="58A2D4CB" w14:textId="77777777" w:rsidR="00027FBF" w:rsidRPr="00A83C94" w:rsidRDefault="00027FBF" w:rsidP="00027FBF">
      <w:pPr>
        <w:spacing w:before="0" w:after="120" w:line="276" w:lineRule="auto"/>
        <w:ind w:left="8" w:firstLine="1"/>
        <w:contextualSpacing w:val="0"/>
        <w:rPr>
          <w:rFonts w:eastAsia="Calibri" w:cs="Sylfaen"/>
          <w:b w:val="0"/>
          <w:szCs w:val="22"/>
          <w:lang w:val="hy-AM" w:eastAsia="en-US"/>
        </w:rPr>
      </w:pPr>
      <w:r w:rsidRPr="00A83C94">
        <w:rPr>
          <w:rFonts w:cs="Sylfaen"/>
          <w:lang w:val="hy-AM"/>
        </w:rPr>
        <w:t xml:space="preserve">         2021թ</w:t>
      </w:r>
      <w:r w:rsidRPr="00A83C94">
        <w:rPr>
          <w:rFonts w:ascii="Cambria Math" w:hAnsi="Cambria Math" w:cs="Cambria Math"/>
          <w:lang w:val="hy-AM"/>
        </w:rPr>
        <w:t>․</w:t>
      </w:r>
      <w:r w:rsidRPr="00A83C94">
        <w:rPr>
          <w:rFonts w:cs="Sylfaen"/>
          <w:lang w:val="hy-AM"/>
        </w:rPr>
        <w:t xml:space="preserve"> </w:t>
      </w:r>
      <w:r w:rsidRPr="00A83C94">
        <w:rPr>
          <w:rFonts w:cs="GHEA Grapalat"/>
          <w:lang w:val="hy-AM"/>
        </w:rPr>
        <w:t>առաջին</w:t>
      </w:r>
      <w:r w:rsidRPr="00A83C94">
        <w:rPr>
          <w:rFonts w:cs="Sylfaen"/>
          <w:lang w:val="hy-AM"/>
        </w:rPr>
        <w:t xml:space="preserve"> </w:t>
      </w:r>
      <w:r w:rsidRPr="00A83C94">
        <w:rPr>
          <w:rFonts w:cs="GHEA Grapalat"/>
          <w:lang w:val="hy-AM"/>
        </w:rPr>
        <w:t>եռամսյակ</w:t>
      </w:r>
      <w:r w:rsidRPr="00A83C94">
        <w:rPr>
          <w:rFonts w:cs="Sylfaen"/>
          <w:lang w:val="hy-AM"/>
        </w:rPr>
        <w:t>ում ընթացիկ հաշվի պակասուրդը նախորդ</w:t>
      </w:r>
      <w:r w:rsidRPr="00A83C94">
        <w:rPr>
          <w:rFonts w:cs="Sylfaen"/>
          <w:lang w:val="it-IT"/>
        </w:rPr>
        <w:t xml:space="preserve"> </w:t>
      </w:r>
      <w:r w:rsidRPr="00A83C94">
        <w:rPr>
          <w:rFonts w:cs="Sylfaen"/>
          <w:lang w:val="hy-AM"/>
        </w:rPr>
        <w:t>տարվա</w:t>
      </w:r>
      <w:r w:rsidRPr="00A83C94">
        <w:rPr>
          <w:rFonts w:cs="Sylfaen"/>
          <w:lang w:val="it-IT"/>
        </w:rPr>
        <w:t xml:space="preserve"> </w:t>
      </w:r>
      <w:r w:rsidRPr="00A83C94">
        <w:rPr>
          <w:rFonts w:cs="Sylfaen"/>
          <w:lang w:val="hy-AM"/>
        </w:rPr>
        <w:t>առաջին եռամսյակի համեմատ բարելավվել է 5</w:t>
      </w:r>
      <w:r w:rsidRPr="00A83C94">
        <w:rPr>
          <w:rFonts w:cs="Sylfaen"/>
          <w:lang w:val="it-IT"/>
        </w:rPr>
        <w:t>.</w:t>
      </w:r>
      <w:r w:rsidRPr="00A83C94">
        <w:rPr>
          <w:rFonts w:cs="Sylfaen"/>
          <w:lang w:val="hy-AM"/>
        </w:rPr>
        <w:t>5 տոկոսային կետով՝ կազմելով ՀՆԱ-ի 3.4</w:t>
      </w:r>
      <w:r w:rsidRPr="00A83C94">
        <w:rPr>
          <w:rFonts w:cs="Sylfaen"/>
          <w:lang w:val="it-IT"/>
        </w:rPr>
        <w:t>%</w:t>
      </w:r>
      <w:r w:rsidRPr="00A83C94">
        <w:rPr>
          <w:rFonts w:cs="Sylfaen"/>
          <w:lang w:val="hy-AM"/>
        </w:rPr>
        <w:t xml:space="preserve">, </w:t>
      </w:r>
      <w:r w:rsidRPr="00A83C94">
        <w:rPr>
          <w:rFonts w:cs="Sylfaen"/>
          <w:b w:val="0"/>
          <w:lang w:val="hy-AM"/>
        </w:rPr>
        <w:t xml:space="preserve">որը հիմնականում պայմանավորված էր ապրանքների և ծառայությունների բացասական հաշվեկշիռի կրճատմամբ և տնային տնտեսություններին անհատույց տրամադրվող դրամական </w:t>
      </w:r>
      <w:r w:rsidRPr="00A83C94">
        <w:rPr>
          <w:rFonts w:cs="Sylfaen"/>
          <w:b w:val="0"/>
          <w:lang w:val="hy-AM"/>
        </w:rPr>
        <w:lastRenderedPageBreak/>
        <w:t>փոխանցումների աճով: Մ</w:t>
      </w:r>
      <w:r w:rsidRPr="00A83C94">
        <w:rPr>
          <w:rFonts w:eastAsia="Calibri" w:cs="Sylfaen"/>
          <w:b w:val="0"/>
          <w:szCs w:val="22"/>
          <w:lang w:val="hy-AM" w:eastAsia="en-US"/>
        </w:rPr>
        <w:t>ասնավորապես՝ ը</w:t>
      </w:r>
      <w:r w:rsidRPr="00A83C94">
        <w:rPr>
          <w:rFonts w:cs="Sylfaen"/>
          <w:b w:val="0"/>
          <w:lang w:val="hy-AM"/>
        </w:rPr>
        <w:t xml:space="preserve">նթացիկ տարվա հունվար-հուլիս ամիսներին տեղի է ունեցել արտերկրից ստացված դրամական փոխանցումների զգալի աճ </w:t>
      </w:r>
      <w:r w:rsidRPr="00A83C94">
        <w:rPr>
          <w:rFonts w:cs="Sylfaen"/>
          <w:b w:val="0"/>
          <w:lang w:val="it-IT"/>
        </w:rPr>
        <w:t>(</w:t>
      </w:r>
      <w:r w:rsidRPr="00A83C94">
        <w:rPr>
          <w:rFonts w:cs="Sylfaen"/>
          <w:b w:val="0"/>
          <w:lang w:val="hy-AM"/>
        </w:rPr>
        <w:t>մոտ 79</w:t>
      </w:r>
      <w:r w:rsidRPr="00A83C94">
        <w:rPr>
          <w:rFonts w:cs="Sylfaen"/>
          <w:b w:val="0"/>
          <w:lang w:val="it-IT"/>
        </w:rPr>
        <w:t>%</w:t>
      </w:r>
      <w:r w:rsidRPr="00A83C94">
        <w:rPr>
          <w:rFonts w:cs="Sylfaen"/>
          <w:b w:val="0"/>
          <w:lang w:val="hy-AM"/>
        </w:rPr>
        <w:t>-ով</w:t>
      </w:r>
      <w:r w:rsidRPr="00A83C94">
        <w:rPr>
          <w:rStyle w:val="FootnoteReference"/>
          <w:rFonts w:cs="Sylfaen"/>
          <w:b w:val="0"/>
          <w:lang w:val="hy-AM"/>
        </w:rPr>
        <w:footnoteReference w:id="7"/>
      </w:r>
      <w:r w:rsidRPr="00A83C94">
        <w:rPr>
          <w:rFonts w:cs="Sylfaen"/>
          <w:b w:val="0"/>
          <w:lang w:val="it-IT"/>
        </w:rPr>
        <w:t>)</w:t>
      </w:r>
      <w:r w:rsidRPr="00A83C94">
        <w:rPr>
          <w:rFonts w:cs="Sylfaen"/>
          <w:b w:val="0"/>
          <w:lang w:val="hy-AM"/>
        </w:rPr>
        <w:t xml:space="preserve">։ </w:t>
      </w:r>
      <w:r w:rsidRPr="00A83C94">
        <w:rPr>
          <w:rFonts w:eastAsia="Calibri" w:cs="Sylfaen"/>
          <w:b w:val="0"/>
          <w:szCs w:val="22"/>
          <w:lang w:val="hy-AM" w:eastAsia="en-US"/>
        </w:rPr>
        <w:t xml:space="preserve">      </w:t>
      </w:r>
    </w:p>
    <w:p w14:paraId="79CA4B15" w14:textId="77777777" w:rsidR="00027FBF" w:rsidRPr="00A83C94" w:rsidRDefault="00027FBF" w:rsidP="00027FBF">
      <w:pPr>
        <w:spacing w:before="0" w:after="120" w:line="276" w:lineRule="auto"/>
        <w:ind w:firstLine="0"/>
        <w:contextualSpacing w:val="0"/>
        <w:rPr>
          <w:b w:val="0"/>
          <w:lang w:val="hy-AM"/>
        </w:rPr>
      </w:pPr>
      <w:r w:rsidRPr="00A83C94">
        <w:rPr>
          <w:rFonts w:eastAsia="Calibri" w:cs="Sylfaen"/>
          <w:b w:val="0"/>
          <w:szCs w:val="22"/>
          <w:lang w:val="hy-AM" w:eastAsia="en-US"/>
        </w:rPr>
        <w:t xml:space="preserve">  </w:t>
      </w:r>
      <w:r w:rsidRPr="00A83C94">
        <w:rPr>
          <w:rFonts w:eastAsia="Calibri" w:cs="Sylfaen"/>
          <w:bCs/>
          <w:szCs w:val="22"/>
          <w:u w:val="single"/>
          <w:lang w:val="hy-AM" w:eastAsia="en-US"/>
        </w:rPr>
        <w:t>Կանխատեսում։</w:t>
      </w:r>
      <w:r w:rsidRPr="00A83C94">
        <w:rPr>
          <w:rFonts w:eastAsia="Calibri" w:cs="Sylfaen"/>
          <w:b w:val="0"/>
          <w:szCs w:val="22"/>
          <w:lang w:val="hy-AM" w:eastAsia="en-US"/>
        </w:rPr>
        <w:t xml:space="preserve"> </w:t>
      </w:r>
      <w:r w:rsidRPr="00A83C94">
        <w:rPr>
          <w:b w:val="0"/>
          <w:lang w:val="hy-AM"/>
        </w:rPr>
        <w:t>Ներքին պահանջարկի արագ վերականգնումը կարտացոլվի ներմուծման արագացմամբ, սակայն արտահանման առաջանցիկ աճն ու դրամական փոխանցումների բարձր մակարդակները կնպաստեն ընթացիկ հաշվի բարելավմանը, որը 2021թ</w:t>
      </w:r>
      <w:r w:rsidRPr="00A83C94">
        <w:rPr>
          <w:rFonts w:ascii="Cambria Math" w:hAnsi="Cambria Math" w:cs="Cambria Math"/>
          <w:b w:val="0"/>
          <w:lang w:val="hy-AM"/>
        </w:rPr>
        <w:t>․</w:t>
      </w:r>
      <w:r w:rsidRPr="00A83C94">
        <w:rPr>
          <w:rFonts w:eastAsiaTheme="majorEastAsia"/>
          <w:b w:val="0"/>
          <w:lang w:val="hy-AM"/>
        </w:rPr>
        <w:t xml:space="preserve"> կմոտենա</w:t>
      </w:r>
      <w:r w:rsidRPr="00A83C94">
        <w:rPr>
          <w:rFonts w:eastAsiaTheme="majorEastAsia"/>
          <w:b w:val="0"/>
          <w:lang w:val="it-IT"/>
        </w:rPr>
        <w:t xml:space="preserve"> </w:t>
      </w:r>
      <w:r w:rsidRPr="00A83C94">
        <w:rPr>
          <w:rFonts w:eastAsiaTheme="majorEastAsia"/>
          <w:b w:val="0"/>
          <w:lang w:val="hy-AM"/>
        </w:rPr>
        <w:t>ՀՆԱ</w:t>
      </w:r>
      <w:r w:rsidRPr="00A83C94">
        <w:rPr>
          <w:rFonts w:eastAsiaTheme="majorEastAsia"/>
          <w:b w:val="0"/>
          <w:lang w:val="it-IT"/>
        </w:rPr>
        <w:t>-</w:t>
      </w:r>
      <w:r w:rsidRPr="00A83C94">
        <w:rPr>
          <w:rFonts w:eastAsiaTheme="majorEastAsia"/>
          <w:b w:val="0"/>
          <w:lang w:val="hy-AM"/>
        </w:rPr>
        <w:t>ի</w:t>
      </w:r>
      <w:r w:rsidRPr="00A83C94">
        <w:rPr>
          <w:rFonts w:eastAsiaTheme="majorEastAsia"/>
          <w:b w:val="0"/>
          <w:lang w:val="it-IT"/>
        </w:rPr>
        <w:t xml:space="preserve"> </w:t>
      </w:r>
      <w:r w:rsidRPr="00A83C94">
        <w:rPr>
          <w:rFonts w:eastAsiaTheme="majorEastAsia"/>
          <w:b w:val="0"/>
          <w:lang w:val="hy-AM"/>
        </w:rPr>
        <w:t>1</w:t>
      </w:r>
      <w:r w:rsidRPr="00A83C94">
        <w:rPr>
          <w:rFonts w:eastAsiaTheme="majorEastAsia"/>
          <w:b w:val="0"/>
          <w:lang w:val="it-IT"/>
        </w:rPr>
        <w:t>.</w:t>
      </w:r>
      <w:r w:rsidRPr="00A83C94">
        <w:rPr>
          <w:rFonts w:eastAsiaTheme="majorEastAsia"/>
          <w:b w:val="0"/>
          <w:lang w:val="hy-AM"/>
        </w:rPr>
        <w:t>7</w:t>
      </w:r>
      <w:r w:rsidRPr="00A83C94">
        <w:rPr>
          <w:rFonts w:eastAsiaTheme="majorEastAsia"/>
          <w:b w:val="0"/>
          <w:lang w:val="it-IT"/>
        </w:rPr>
        <w:t xml:space="preserve">% </w:t>
      </w:r>
      <w:r w:rsidRPr="00A83C94">
        <w:rPr>
          <w:rFonts w:eastAsiaTheme="majorEastAsia"/>
          <w:b w:val="0"/>
          <w:lang w:val="hy-AM"/>
        </w:rPr>
        <w:t>մակարդակի</w:t>
      </w:r>
      <w:r w:rsidRPr="00A83C94">
        <w:rPr>
          <w:b w:val="0"/>
          <w:lang w:val="hy-AM"/>
        </w:rPr>
        <w:t>:</w:t>
      </w:r>
      <w:r w:rsidRPr="00A83C94">
        <w:rPr>
          <w:rFonts w:cs="Times Armenian"/>
          <w:b w:val="0"/>
          <w:bCs/>
          <w:szCs w:val="22"/>
          <w:lang w:val="hy-AM" w:eastAsia="en-US"/>
        </w:rPr>
        <w:t xml:space="preserve"> </w:t>
      </w:r>
      <w:r w:rsidRPr="00A83C94">
        <w:rPr>
          <w:rFonts w:eastAsiaTheme="majorEastAsia"/>
          <w:b w:val="0"/>
          <w:lang w:val="hy-AM"/>
        </w:rPr>
        <w:t>2022թ</w:t>
      </w:r>
      <w:r w:rsidRPr="00A83C94">
        <w:rPr>
          <w:rFonts w:ascii="Cambria Math" w:eastAsiaTheme="majorEastAsia" w:hAnsi="Cambria Math" w:cs="Cambria Math"/>
          <w:b w:val="0"/>
          <w:lang w:val="hy-AM"/>
        </w:rPr>
        <w:t xml:space="preserve">․ </w:t>
      </w:r>
      <w:r w:rsidRPr="00A83C94">
        <w:rPr>
          <w:rFonts w:eastAsiaTheme="majorEastAsia"/>
          <w:b w:val="0"/>
          <w:lang w:val="hy-AM"/>
        </w:rPr>
        <w:t>ընթացիկ</w:t>
      </w:r>
      <w:r w:rsidRPr="00A83C94">
        <w:rPr>
          <w:rFonts w:eastAsiaTheme="majorEastAsia"/>
          <w:b w:val="0"/>
          <w:lang w:val="it-IT"/>
        </w:rPr>
        <w:t xml:space="preserve"> </w:t>
      </w:r>
      <w:r w:rsidRPr="00A83C94">
        <w:rPr>
          <w:rFonts w:eastAsiaTheme="majorEastAsia"/>
          <w:b w:val="0"/>
          <w:lang w:val="hy-AM"/>
        </w:rPr>
        <w:t>հաշվի</w:t>
      </w:r>
      <w:r w:rsidRPr="00A83C94">
        <w:rPr>
          <w:rFonts w:eastAsiaTheme="majorEastAsia"/>
          <w:b w:val="0"/>
          <w:lang w:val="it-IT"/>
        </w:rPr>
        <w:t xml:space="preserve"> </w:t>
      </w:r>
      <w:r w:rsidRPr="00A83C94">
        <w:rPr>
          <w:rFonts w:eastAsiaTheme="majorEastAsia"/>
          <w:b w:val="0"/>
          <w:lang w:val="hy-AM"/>
        </w:rPr>
        <w:t>պակասուրդը</w:t>
      </w:r>
      <w:r w:rsidRPr="00A83C94">
        <w:rPr>
          <w:rFonts w:eastAsiaTheme="majorEastAsia"/>
          <w:b w:val="0"/>
          <w:lang w:val="it-IT"/>
        </w:rPr>
        <w:t xml:space="preserve"> </w:t>
      </w:r>
      <w:r w:rsidRPr="00A83C94">
        <w:rPr>
          <w:rFonts w:eastAsiaTheme="majorEastAsia"/>
          <w:b w:val="0"/>
          <w:lang w:val="hy-AM"/>
        </w:rPr>
        <w:t>կխորանա՝</w:t>
      </w:r>
      <w:r w:rsidRPr="00A83C94">
        <w:rPr>
          <w:rFonts w:eastAsiaTheme="majorEastAsia"/>
          <w:b w:val="0"/>
          <w:lang w:val="it-IT"/>
        </w:rPr>
        <w:t xml:space="preserve"> </w:t>
      </w:r>
      <w:r w:rsidRPr="00A83C94">
        <w:rPr>
          <w:rFonts w:eastAsiaTheme="majorEastAsia"/>
          <w:b w:val="0"/>
          <w:lang w:val="hy-AM"/>
        </w:rPr>
        <w:t>ձգտելով</w:t>
      </w:r>
      <w:r w:rsidRPr="00A83C94">
        <w:rPr>
          <w:rFonts w:eastAsiaTheme="majorEastAsia"/>
          <w:b w:val="0"/>
          <w:lang w:val="it-IT"/>
        </w:rPr>
        <w:t xml:space="preserve"> </w:t>
      </w:r>
      <w:r w:rsidRPr="00A83C94">
        <w:rPr>
          <w:rFonts w:eastAsiaTheme="majorEastAsia"/>
          <w:b w:val="0"/>
          <w:lang w:val="hy-AM"/>
        </w:rPr>
        <w:t>իր</w:t>
      </w:r>
      <w:r w:rsidRPr="00A83C94">
        <w:rPr>
          <w:rFonts w:eastAsiaTheme="majorEastAsia"/>
          <w:b w:val="0"/>
          <w:lang w:val="it-IT"/>
        </w:rPr>
        <w:t xml:space="preserve"> </w:t>
      </w:r>
      <w:r w:rsidRPr="00A83C94">
        <w:rPr>
          <w:rFonts w:eastAsiaTheme="majorEastAsia"/>
          <w:b w:val="0"/>
          <w:lang w:val="hy-AM"/>
        </w:rPr>
        <w:t>հավասարակշիռ</w:t>
      </w:r>
      <w:r w:rsidRPr="00A83C94">
        <w:rPr>
          <w:rFonts w:eastAsiaTheme="majorEastAsia"/>
          <w:b w:val="0"/>
          <w:lang w:val="it-IT"/>
        </w:rPr>
        <w:t xml:space="preserve"> </w:t>
      </w:r>
      <w:r w:rsidRPr="00A83C94">
        <w:rPr>
          <w:rFonts w:eastAsiaTheme="majorEastAsia"/>
          <w:b w:val="0"/>
          <w:lang w:val="hy-AM"/>
        </w:rPr>
        <w:t>մակարդակին</w:t>
      </w:r>
      <w:r w:rsidRPr="00A83C94">
        <w:rPr>
          <w:rFonts w:eastAsiaTheme="majorEastAsia"/>
          <w:b w:val="0"/>
          <w:lang w:val="it-IT"/>
        </w:rPr>
        <w:t>:</w:t>
      </w:r>
      <w:r w:rsidRPr="00A83C94">
        <w:rPr>
          <w:rFonts w:eastAsiaTheme="majorEastAsia"/>
          <w:b w:val="0"/>
          <w:lang w:val="hy-AM"/>
        </w:rPr>
        <w:t xml:space="preserve"> </w:t>
      </w:r>
      <w:r w:rsidRPr="00A83C94">
        <w:rPr>
          <w:b w:val="0"/>
          <w:lang w:val="hy-AM"/>
        </w:rPr>
        <w:t>Ընթացիկ հաշվի պակասուրդի ավելացումը մեծամասամբ պայմանավորված կլինի ՀՀ կառավարության կողմից պետական ներդրումների իրականացման և մասանվոր ներդրումների խթանման արդյունքում ակնկալվող ներդրումային բնույթի ապրանքների ներմուծման աճի հաշվին առևտրային բացասական հաշվեկշռի խորացմամբ:</w:t>
      </w:r>
    </w:p>
    <w:p w14:paraId="60AF4E93" w14:textId="77777777" w:rsidR="00027FBF" w:rsidRPr="00A83C94" w:rsidRDefault="00027FBF" w:rsidP="00027FBF">
      <w:pPr>
        <w:keepNext/>
        <w:keepLines/>
        <w:tabs>
          <w:tab w:val="left" w:pos="0"/>
        </w:tabs>
        <w:spacing w:before="0" w:line="276" w:lineRule="auto"/>
        <w:ind w:firstLine="0"/>
        <w:contextualSpacing w:val="0"/>
        <w:jc w:val="left"/>
        <w:rPr>
          <w:rFonts w:eastAsia="Calibri"/>
          <w:b w:val="0"/>
          <w:i/>
          <w:sz w:val="18"/>
          <w:szCs w:val="18"/>
          <w:lang w:val="hy-AM" w:eastAsia="en-US"/>
        </w:rPr>
      </w:pPr>
      <w:r w:rsidRPr="00A83C94">
        <w:rPr>
          <w:rFonts w:eastAsia="Calibri"/>
          <w:b w:val="0"/>
          <w:i/>
          <w:noProof/>
          <w:sz w:val="18"/>
          <w:szCs w:val="18"/>
          <w:lang w:val="en-US" w:eastAsia="en-US"/>
        </w:rPr>
        <w:drawing>
          <wp:anchor distT="0" distB="0" distL="114300" distR="114300" simplePos="0" relativeHeight="251685888" behindDoc="1" locked="0" layoutInCell="1" allowOverlap="1" wp14:anchorId="51F54AFB" wp14:editId="4A4A567A">
            <wp:simplePos x="0" y="0"/>
            <wp:positionH relativeFrom="column">
              <wp:posOffset>3073400</wp:posOffset>
            </wp:positionH>
            <wp:positionV relativeFrom="paragraph">
              <wp:posOffset>300355</wp:posOffset>
            </wp:positionV>
            <wp:extent cx="3115310" cy="2264410"/>
            <wp:effectExtent l="0" t="0" r="8890" b="2540"/>
            <wp:wrapTight wrapText="bothSides">
              <wp:wrapPolygon edited="0">
                <wp:start x="0" y="0"/>
                <wp:lineTo x="0" y="21443"/>
                <wp:lineTo x="21530" y="21443"/>
                <wp:lineTo x="21530"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r w:rsidRPr="00A83C94">
        <w:rPr>
          <w:rFonts w:eastAsia="Calibri" w:cs="Sylfaen"/>
          <w:i/>
          <w:szCs w:val="22"/>
          <w:lang w:val="hy-AM" w:eastAsia="en-US"/>
        </w:rPr>
        <w:t>Գծապատկեր</w:t>
      </w:r>
      <w:r w:rsidRPr="00A83C94">
        <w:rPr>
          <w:rFonts w:eastAsia="Calibri" w:cs="Times Armenian"/>
          <w:i/>
          <w:szCs w:val="22"/>
          <w:lang w:val="hy-AM" w:eastAsia="en-US"/>
        </w:rPr>
        <w:t xml:space="preserve"> 1.22.</w:t>
      </w:r>
      <w:r w:rsidRPr="00A83C94">
        <w:rPr>
          <w:rFonts w:eastAsia="Calibri" w:cs="Times Armenian"/>
          <w:b w:val="0"/>
          <w:i/>
          <w:sz w:val="21"/>
          <w:szCs w:val="20"/>
          <w:lang w:val="hy-AM" w:eastAsia="en-US"/>
        </w:rPr>
        <w:t xml:space="preserve"> </w:t>
      </w:r>
      <w:r w:rsidRPr="00A83C94">
        <w:rPr>
          <w:rFonts w:eastAsia="Calibri" w:cs="Sylfaen"/>
          <w:b w:val="0"/>
          <w:i/>
          <w:sz w:val="20"/>
          <w:szCs w:val="20"/>
          <w:lang w:val="hy-AM" w:eastAsia="en-US"/>
        </w:rPr>
        <w:t>Ընթացիկ հաշվի պակասուրդը և բաղադրատարրերը (ՀՆԱ-ում %)</w:t>
      </w:r>
    </w:p>
    <w:p w14:paraId="4066579C" w14:textId="77777777" w:rsidR="00027FBF" w:rsidRPr="00A83C94" w:rsidRDefault="00027FBF" w:rsidP="00027FBF">
      <w:pPr>
        <w:spacing w:before="0" w:line="276" w:lineRule="auto"/>
        <w:ind w:firstLine="0"/>
        <w:contextualSpacing w:val="0"/>
        <w:rPr>
          <w:rFonts w:eastAsia="Calibri"/>
          <w:b w:val="0"/>
          <w:i/>
          <w:sz w:val="16"/>
          <w:szCs w:val="16"/>
          <w:lang w:val="hy-AM"/>
        </w:rPr>
      </w:pPr>
      <w:r w:rsidRPr="00A83C94">
        <w:rPr>
          <w:rFonts w:eastAsia="Calibri"/>
          <w:b w:val="0"/>
          <w:i/>
          <w:noProof/>
          <w:sz w:val="16"/>
          <w:szCs w:val="16"/>
          <w:lang w:val="en-US" w:eastAsia="en-US"/>
        </w:rPr>
        <w:drawing>
          <wp:anchor distT="0" distB="0" distL="114300" distR="114300" simplePos="0" relativeHeight="251682816" behindDoc="1" locked="0" layoutInCell="1" allowOverlap="1" wp14:anchorId="20E45140" wp14:editId="720DD04D">
            <wp:simplePos x="0" y="0"/>
            <wp:positionH relativeFrom="column">
              <wp:posOffset>-8255</wp:posOffset>
            </wp:positionH>
            <wp:positionV relativeFrom="paragraph">
              <wp:posOffset>66675</wp:posOffset>
            </wp:positionV>
            <wp:extent cx="2934335" cy="2264410"/>
            <wp:effectExtent l="0" t="0" r="18415" b="21590"/>
            <wp:wrapTight wrapText="bothSides">
              <wp:wrapPolygon edited="0">
                <wp:start x="0" y="0"/>
                <wp:lineTo x="0" y="21624"/>
                <wp:lineTo x="21595" y="21624"/>
                <wp:lineTo x="21595"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r w:rsidRPr="00A83C94">
        <w:rPr>
          <w:rFonts w:eastAsia="Calibri"/>
          <w:b w:val="0"/>
          <w:i/>
          <w:sz w:val="16"/>
          <w:szCs w:val="16"/>
          <w:lang w:val="hy-AM"/>
        </w:rPr>
        <w:t>Աղբյուրը՝ ՀՀ ՎԿ, ՀՀ ՖՆ հաշվարկներ և  կանխատեսումներ</w:t>
      </w:r>
    </w:p>
    <w:p w14:paraId="313BDF54" w14:textId="77777777" w:rsidR="00027FBF" w:rsidRPr="00A83C94" w:rsidRDefault="00027FBF" w:rsidP="00027FBF">
      <w:pPr>
        <w:spacing w:before="0" w:after="120" w:line="276" w:lineRule="auto"/>
        <w:ind w:firstLine="0"/>
        <w:contextualSpacing w:val="0"/>
        <w:rPr>
          <w:rFonts w:eastAsia="Calibri" w:cs="Sylfaen"/>
          <w:szCs w:val="22"/>
          <w:u w:val="single"/>
          <w:lang w:val="hy-AM" w:eastAsia="en-US"/>
        </w:rPr>
      </w:pPr>
    </w:p>
    <w:p w14:paraId="60F36351" w14:textId="77777777" w:rsidR="00027FBF" w:rsidRPr="00A83C94" w:rsidRDefault="00027FBF" w:rsidP="00027FBF">
      <w:pPr>
        <w:spacing w:before="0" w:after="120" w:line="276" w:lineRule="auto"/>
        <w:ind w:left="7" w:firstLine="1"/>
        <w:contextualSpacing w:val="0"/>
        <w:rPr>
          <w:rFonts w:eastAsia="Calibri" w:cs="Sylfaen"/>
          <w:b w:val="0"/>
          <w:szCs w:val="22"/>
          <w:lang w:val="hy-AM" w:eastAsia="en-US"/>
        </w:rPr>
      </w:pPr>
      <w:r w:rsidRPr="00A83C94">
        <w:rPr>
          <w:rFonts w:eastAsia="Calibri" w:cs="Sylfaen"/>
          <w:szCs w:val="22"/>
          <w:lang w:val="hy-AM" w:eastAsia="en-US"/>
        </w:rPr>
        <w:t xml:space="preserve">        </w:t>
      </w:r>
      <w:r w:rsidRPr="00A83C94">
        <w:rPr>
          <w:rFonts w:eastAsia="Calibri" w:cs="Sylfaen"/>
          <w:szCs w:val="22"/>
          <w:u w:val="single"/>
          <w:lang w:val="hy-AM" w:eastAsia="en-US"/>
        </w:rPr>
        <w:t>Արտահանում:</w:t>
      </w:r>
      <w:r w:rsidRPr="00A83C94">
        <w:rPr>
          <w:rFonts w:eastAsia="Calibri" w:cs="Sylfaen"/>
          <w:szCs w:val="22"/>
          <w:lang w:val="hy-AM" w:eastAsia="en-US"/>
        </w:rPr>
        <w:t xml:space="preserve"> 2020թ. արձանագրվել է ապրանքների և ծառայությունների դոլարային արտահանման 34.2% անկում: </w:t>
      </w:r>
      <w:r w:rsidRPr="00A83C94">
        <w:rPr>
          <w:rFonts w:eastAsia="Calibri" w:cs="Sylfaen"/>
          <w:b w:val="0"/>
          <w:bCs/>
          <w:szCs w:val="22"/>
          <w:lang w:val="hy-AM" w:eastAsia="en-US"/>
        </w:rPr>
        <w:t xml:space="preserve">Հիմնականում պայմանավորված համավարակի հետևանքով տնտեսությունում արտադրության կրճատմամբ, սահմանափակումներով և արտաքին պահանջարկի նվազմամբ ապրանքների </w:t>
      </w:r>
      <w:r w:rsidRPr="00A83C94">
        <w:rPr>
          <w:rFonts w:eastAsia="Calibri" w:cs="Sylfaen"/>
          <w:b w:val="0"/>
          <w:szCs w:val="22"/>
          <w:lang w:val="hy-AM" w:eastAsia="en-US"/>
        </w:rPr>
        <w:t>արտահանումը 2020թ</w:t>
      </w:r>
      <w:r w:rsidRPr="00A83C94">
        <w:rPr>
          <w:rFonts w:ascii="MS Gothic" w:eastAsia="MS Gothic" w:hAnsi="MS Gothic" w:cs="MS Gothic" w:hint="eastAsia"/>
          <w:b w:val="0"/>
          <w:szCs w:val="22"/>
          <w:lang w:val="hy-AM" w:eastAsia="en-US"/>
        </w:rPr>
        <w:t>․</w:t>
      </w:r>
      <w:r>
        <w:rPr>
          <w:rFonts w:ascii="MS Gothic" w:eastAsia="MS Gothic" w:hAnsi="MS Gothic" w:cs="MS Gothic" w:hint="eastAsia"/>
          <w:b w:val="0"/>
          <w:szCs w:val="22"/>
          <w:lang w:val="hy-AM" w:eastAsia="en-US"/>
        </w:rPr>
        <w:t xml:space="preserve"> </w:t>
      </w:r>
      <w:r w:rsidRPr="00A83C94">
        <w:rPr>
          <w:rFonts w:eastAsia="Calibri" w:cs="Sylfaen"/>
          <w:b w:val="0"/>
          <w:szCs w:val="22"/>
          <w:lang w:val="hy-AM" w:eastAsia="en-US"/>
        </w:rPr>
        <w:t>կրճատվել է 19.2%-ով: Համավարակի պայմաններում տուրիզմի կտրուկ անկման հետևանքով առավել մեծ վնասներ է կրել ծառայությունների արտահանումը՝ 2020թ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 xml:space="preserve"> կրճատվելով 54.5%-ով:</w:t>
      </w:r>
    </w:p>
    <w:p w14:paraId="74361767" w14:textId="77777777" w:rsidR="00027FBF" w:rsidRPr="00A83C94" w:rsidRDefault="00027FBF" w:rsidP="00027FBF">
      <w:pPr>
        <w:spacing w:before="0" w:after="120" w:line="276" w:lineRule="auto"/>
        <w:ind w:firstLine="720"/>
        <w:contextualSpacing w:val="0"/>
        <w:rPr>
          <w:rFonts w:eastAsia="Calibri" w:cs="Sylfaen"/>
          <w:b w:val="0"/>
          <w:szCs w:val="22"/>
          <w:lang w:val="hy-AM" w:eastAsia="en-US"/>
        </w:rPr>
      </w:pPr>
      <w:r w:rsidRPr="00A83C94">
        <w:rPr>
          <w:rFonts w:eastAsia="Calibri" w:cs="Sylfaen"/>
          <w:szCs w:val="22"/>
          <w:lang w:val="hy-AM" w:eastAsia="en-US"/>
        </w:rPr>
        <w:t>Ծառայությունների նվազման նախորդ տարվա միտումները շարունակվում են</w:t>
      </w:r>
      <w:r w:rsidRPr="00A83C94">
        <w:rPr>
          <w:rFonts w:ascii="Cambria Math" w:eastAsia="Calibri" w:hAnsi="Cambria Math" w:cs="Cambria Math"/>
          <w:szCs w:val="22"/>
          <w:lang w:val="hy-AM" w:eastAsia="en-US"/>
        </w:rPr>
        <w:t>․</w:t>
      </w:r>
      <w:r w:rsidRPr="00A83C94">
        <w:rPr>
          <w:rFonts w:eastAsia="Calibri" w:cs="Sylfaen"/>
          <w:b w:val="0"/>
          <w:szCs w:val="22"/>
          <w:lang w:val="hy-AM" w:eastAsia="en-US"/>
        </w:rPr>
        <w:t xml:space="preserve"> </w:t>
      </w:r>
      <w:r w:rsidRPr="00A83C94">
        <w:rPr>
          <w:rFonts w:eastAsia="Calibri" w:cs="Sylfaen"/>
          <w:szCs w:val="22"/>
          <w:lang w:val="hy-AM" w:eastAsia="en-US"/>
        </w:rPr>
        <w:t xml:space="preserve">2021թ. նույնպես համավարակից առավել մեծ վնասներ է կրում ծառայությունների արտահանման ոլորտը։ </w:t>
      </w:r>
      <w:r w:rsidRPr="00A83C94">
        <w:rPr>
          <w:rFonts w:eastAsia="Calibri" w:cs="Sylfaen"/>
          <w:b w:val="0"/>
          <w:szCs w:val="22"/>
          <w:lang w:val="hy-AM" w:eastAsia="en-US"/>
        </w:rPr>
        <w:t>2021թ. առաջին կիսամյակում ծառայությունների արտահանումը կրճատվել է 14.9%-ով</w:t>
      </w:r>
      <w:r w:rsidRPr="00A83C94">
        <w:rPr>
          <w:rFonts w:eastAsia="Calibri" w:cs="Sylfaen"/>
          <w:b w:val="0"/>
          <w:szCs w:val="22"/>
          <w:vertAlign w:val="superscript"/>
          <w:lang w:val="hy-AM" w:eastAsia="en-US"/>
        </w:rPr>
        <w:footnoteReference w:id="8"/>
      </w:r>
      <w:r w:rsidRPr="00A83C94">
        <w:rPr>
          <w:rFonts w:eastAsia="Calibri" w:cs="Sylfaen"/>
          <w:b w:val="0"/>
          <w:szCs w:val="22"/>
          <w:lang w:val="hy-AM" w:eastAsia="en-US"/>
        </w:rPr>
        <w:t xml:space="preserve">, որին հիմնականում նպաստել է զբոսաշրջության արտահանման շուրջ 22% անկումը։ </w:t>
      </w:r>
    </w:p>
    <w:p w14:paraId="5A2CC9B8" w14:textId="77777777" w:rsidR="00027FBF" w:rsidRPr="00A83C94" w:rsidRDefault="00027FBF" w:rsidP="00027FBF">
      <w:pPr>
        <w:spacing w:before="0" w:after="120" w:line="276" w:lineRule="auto"/>
        <w:ind w:left="7" w:firstLine="1"/>
        <w:contextualSpacing w:val="0"/>
        <w:rPr>
          <w:rFonts w:eastAsiaTheme="majorEastAsia"/>
          <w:b w:val="0"/>
          <w:lang w:val="hy-AM"/>
        </w:rPr>
      </w:pPr>
      <w:r w:rsidRPr="00A83C94">
        <w:rPr>
          <w:rFonts w:eastAsiaTheme="majorEastAsia"/>
          <w:bCs/>
          <w:lang w:val="hy-AM"/>
        </w:rPr>
        <w:t xml:space="preserve">          ՀՀ ապրանքների արտահանումը սկսել է արագ վերականգնվել</w:t>
      </w:r>
      <w:r w:rsidRPr="00A83C94">
        <w:rPr>
          <w:rFonts w:ascii="Cambria Math" w:eastAsiaTheme="majorEastAsia" w:hAnsi="Cambria Math" w:cs="Cambria Math"/>
          <w:bCs/>
          <w:lang w:val="hy-AM"/>
        </w:rPr>
        <w:t>․</w:t>
      </w:r>
      <w:r w:rsidRPr="00A83C94">
        <w:rPr>
          <w:rFonts w:eastAsiaTheme="majorEastAsia"/>
          <w:bCs/>
          <w:lang w:val="hy-AM"/>
        </w:rPr>
        <w:t xml:space="preserve"> 2021թ. հունվար-օգոստոս ամիսներին աճը կազմել է 21.8%</w:t>
      </w:r>
      <w:r w:rsidRPr="00A83C94">
        <w:rPr>
          <w:rFonts w:eastAsiaTheme="majorEastAsia"/>
          <w:lang w:val="hy-AM"/>
        </w:rPr>
        <w:t xml:space="preserve">, </w:t>
      </w:r>
      <w:r w:rsidRPr="00A83C94">
        <w:rPr>
          <w:rFonts w:eastAsiaTheme="majorEastAsia"/>
          <w:b w:val="0"/>
          <w:lang w:val="hy-AM"/>
        </w:rPr>
        <w:t xml:space="preserve">ինչը տեղի է ունեցել տնտեսական ակտիվության </w:t>
      </w:r>
      <w:r w:rsidRPr="00A83C94">
        <w:rPr>
          <w:rFonts w:eastAsiaTheme="majorEastAsia"/>
          <w:b w:val="0"/>
          <w:lang w:val="hy-AM"/>
        </w:rPr>
        <w:lastRenderedPageBreak/>
        <w:t xml:space="preserve">վերականգման, պղնձի համաշխարհային գների աճի և արտաքին պահանջարկի վերականգնման հաշվին: </w:t>
      </w:r>
    </w:p>
    <w:p w14:paraId="03438910" w14:textId="77777777" w:rsidR="00027FBF" w:rsidRPr="00A83C94" w:rsidRDefault="00027FBF" w:rsidP="00027FBF">
      <w:pPr>
        <w:keepNext/>
        <w:keepLines/>
        <w:spacing w:before="0" w:line="276" w:lineRule="auto"/>
        <w:ind w:firstLine="0"/>
        <w:contextualSpacing w:val="0"/>
        <w:rPr>
          <w:rFonts w:eastAsia="Calibri" w:cs="Sylfaen"/>
          <w:b w:val="0"/>
          <w:bCs/>
          <w:i/>
          <w:sz w:val="20"/>
          <w:szCs w:val="20"/>
          <w:lang w:val="hy-AM" w:eastAsia="en-US"/>
        </w:rPr>
      </w:pPr>
      <w:r w:rsidRPr="00A83C94">
        <w:rPr>
          <w:rFonts w:eastAsia="Calibri"/>
          <w:i/>
          <w:noProof/>
          <w:color w:val="990033"/>
          <w:szCs w:val="22"/>
          <w:lang w:val="en-US" w:eastAsia="en-US"/>
        </w:rPr>
        <w:drawing>
          <wp:anchor distT="0" distB="0" distL="114300" distR="114300" simplePos="0" relativeHeight="251692032" behindDoc="1" locked="0" layoutInCell="1" allowOverlap="1" wp14:anchorId="16FD01D3" wp14:editId="033BCC34">
            <wp:simplePos x="0" y="0"/>
            <wp:positionH relativeFrom="margin">
              <wp:align>left</wp:align>
            </wp:positionH>
            <wp:positionV relativeFrom="paragraph">
              <wp:posOffset>318770</wp:posOffset>
            </wp:positionV>
            <wp:extent cx="3295650" cy="2028825"/>
            <wp:effectExtent l="0" t="0" r="0" b="9525"/>
            <wp:wrapTight wrapText="bothSides">
              <wp:wrapPolygon edited="0">
                <wp:start x="0" y="0"/>
                <wp:lineTo x="0" y="21499"/>
                <wp:lineTo x="21475" y="21499"/>
                <wp:lineTo x="21475"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A83C94">
        <w:rPr>
          <w:rFonts w:eastAsia="Calibri"/>
          <w:i/>
          <w:noProof/>
          <w:szCs w:val="22"/>
          <w:lang w:val="en-US" w:eastAsia="en-US"/>
        </w:rPr>
        <w:drawing>
          <wp:anchor distT="0" distB="0" distL="114300" distR="114300" simplePos="0" relativeHeight="251695104" behindDoc="1" locked="0" layoutInCell="1" allowOverlap="1" wp14:anchorId="2815A47C" wp14:editId="6153E85D">
            <wp:simplePos x="0" y="0"/>
            <wp:positionH relativeFrom="margin">
              <wp:posOffset>3409315</wp:posOffset>
            </wp:positionH>
            <wp:positionV relativeFrom="paragraph">
              <wp:posOffset>319405</wp:posOffset>
            </wp:positionV>
            <wp:extent cx="3076575" cy="2019300"/>
            <wp:effectExtent l="0" t="0" r="9525" b="0"/>
            <wp:wrapTight wrapText="bothSides">
              <wp:wrapPolygon edited="0">
                <wp:start x="0" y="0"/>
                <wp:lineTo x="0" y="21396"/>
                <wp:lineTo x="21533" y="21396"/>
                <wp:lineTo x="21533"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A83C94">
        <w:rPr>
          <w:rFonts w:eastAsia="Calibri" w:cs="Sylfaen"/>
          <w:i/>
          <w:szCs w:val="22"/>
          <w:lang w:val="hy-AM" w:eastAsia="en-US"/>
        </w:rPr>
        <w:t>Գծապատկեր 1.23</w:t>
      </w:r>
      <w:r w:rsidRPr="00A83C94">
        <w:rPr>
          <w:rFonts w:ascii="MS Gothic" w:eastAsia="MS Gothic" w:hAnsi="MS Gothic" w:cs="MS Gothic" w:hint="eastAsia"/>
          <w:i/>
          <w:szCs w:val="22"/>
          <w:lang w:val="hy-AM" w:eastAsia="en-US"/>
        </w:rPr>
        <w:t>․</w:t>
      </w:r>
      <w:r w:rsidRPr="00A83C94">
        <w:rPr>
          <w:rFonts w:eastAsia="Calibri" w:cs="Sylfaen"/>
          <w:b w:val="0"/>
          <w:bCs/>
          <w:i/>
          <w:sz w:val="20"/>
          <w:szCs w:val="20"/>
          <w:lang w:val="hy-AM" w:eastAsia="en-US"/>
        </w:rPr>
        <w:t xml:space="preserve"> 2021թ. ապրանքների արտահանման միտումները, %</w:t>
      </w:r>
    </w:p>
    <w:p w14:paraId="50EDEFE5" w14:textId="77777777" w:rsidR="00027FBF" w:rsidRPr="00A83C94" w:rsidRDefault="00027FBF" w:rsidP="00027FBF">
      <w:pPr>
        <w:spacing w:before="0" w:line="276" w:lineRule="auto"/>
        <w:ind w:firstLine="540"/>
        <w:contextualSpacing w:val="0"/>
        <w:rPr>
          <w:rFonts w:eastAsia="Calibri"/>
          <w:b w:val="0"/>
          <w:i/>
          <w:sz w:val="16"/>
          <w:szCs w:val="16"/>
          <w:lang w:val="hy-AM"/>
        </w:rPr>
      </w:pPr>
      <w:r w:rsidRPr="00A83C94">
        <w:rPr>
          <w:rFonts w:eastAsia="Calibri"/>
          <w:b w:val="0"/>
          <w:i/>
          <w:sz w:val="16"/>
          <w:szCs w:val="16"/>
          <w:lang w:val="hy-AM"/>
        </w:rPr>
        <w:t>Աղբյուրը՝ ՀՀ ՎԿ և ՀՀ ՖՆ հաշվարկներ:</w:t>
      </w:r>
    </w:p>
    <w:p w14:paraId="5319102A" w14:textId="77777777" w:rsidR="00027FBF" w:rsidRPr="00A83C94" w:rsidRDefault="00027FBF" w:rsidP="00027FBF">
      <w:pPr>
        <w:spacing w:before="0" w:line="276" w:lineRule="auto"/>
        <w:ind w:firstLine="0"/>
        <w:contextualSpacing w:val="0"/>
        <w:rPr>
          <w:rFonts w:eastAsia="Calibri" w:cs="Sylfaen"/>
          <w:szCs w:val="22"/>
          <w:u w:val="single"/>
          <w:lang w:val="hy-AM" w:eastAsia="en-US"/>
        </w:rPr>
      </w:pPr>
    </w:p>
    <w:p w14:paraId="038E024A" w14:textId="77777777" w:rsidR="00027FBF" w:rsidRPr="00A83C94" w:rsidRDefault="00027FBF" w:rsidP="00027FBF">
      <w:pPr>
        <w:tabs>
          <w:tab w:val="left" w:pos="0"/>
        </w:tabs>
        <w:spacing w:before="0" w:after="120" w:line="276" w:lineRule="auto"/>
        <w:ind w:firstLine="539"/>
        <w:contextualSpacing w:val="0"/>
        <w:rPr>
          <w:rFonts w:eastAsia="Calibri" w:cs="Sylfaen"/>
          <w:b w:val="0"/>
          <w:color w:val="FF0000"/>
          <w:szCs w:val="22"/>
          <w:lang w:val="hy-AM" w:eastAsia="en-US"/>
        </w:rPr>
      </w:pPr>
      <w:r w:rsidRPr="00A83C94">
        <w:rPr>
          <w:rFonts w:eastAsiaTheme="majorEastAsia"/>
          <w:iCs/>
          <w:u w:val="single"/>
          <w:lang w:val="hy-AM"/>
        </w:rPr>
        <w:t>Կանխատեսում</w:t>
      </w:r>
      <w:r w:rsidRPr="00A83C94">
        <w:rPr>
          <w:rFonts w:eastAsiaTheme="majorEastAsia"/>
          <w:lang w:val="hy-AM"/>
        </w:rPr>
        <w:t xml:space="preserve">։ </w:t>
      </w:r>
      <w:r w:rsidRPr="00A83C94">
        <w:rPr>
          <w:rFonts w:eastAsiaTheme="majorEastAsia"/>
          <w:b w:val="0"/>
          <w:lang w:val="hy-AM"/>
        </w:rPr>
        <w:t>2021թ. սպասվում է մոտ 20.2% արտահանման աճ, ինչը պայմանավորված կլինելի արտաքին պահանջարկի վերականգմամբ, մետաղների միջազգային գների աճով և դեպի Հայաստան ժամանման սահմանափակումների որոշակի թուլացմամբ։ Այդուհանդերձ՝ Սոթքի հանքավայրի շահագործման մասշտաբների կրճատումը և դեպի Արցախ արտահանման հետ կապված կորուստները ապրանքների արտահանման զսպող գործոններ կհանդիսանան, իսկ տուրիզմի հաշվին ծառայությունների արտահանման վերականգնումը կլինի համեմատաբար դանդաղ: Համաշխարհային և ՀՀ տնտեսական ակտիվության, պղնձի գների բարձր մակարդակով, զբոսաշրջության աստիճանական վերականգնմամբ և արտահանելի հատվածի ներդրումների խթանմանն ուղղված ՀՀ կառավարության քաղաքականության ջանքերին համահունչ 2022թ. ակնկալվում է ապրանքների և ծառայությունների արտահանման 16.6% աճ:</w:t>
      </w:r>
      <w:r w:rsidRPr="00A83C94">
        <w:rPr>
          <w:rFonts w:eastAsia="Calibri" w:cs="Sylfaen"/>
          <w:b w:val="0"/>
          <w:color w:val="FF0000"/>
          <w:szCs w:val="22"/>
          <w:lang w:val="hy-AM" w:eastAsia="en-US"/>
        </w:rPr>
        <w:t xml:space="preserve"> </w:t>
      </w:r>
    </w:p>
    <w:p w14:paraId="79FA7AFD" w14:textId="77777777" w:rsidR="00027FBF" w:rsidRPr="00A83C94" w:rsidRDefault="00027FBF" w:rsidP="00027FBF">
      <w:pPr>
        <w:spacing w:line="276" w:lineRule="auto"/>
        <w:rPr>
          <w:rFonts w:eastAsiaTheme="majorEastAsia"/>
          <w:bCs/>
          <w:lang w:val="hy-AM"/>
        </w:rPr>
      </w:pPr>
      <w:r w:rsidRPr="00A83C94">
        <w:rPr>
          <w:rFonts w:eastAsia="Calibri" w:cs="Sylfaen"/>
          <w:szCs w:val="22"/>
          <w:u w:val="single"/>
          <w:lang w:val="hy-AM" w:eastAsia="en-US"/>
        </w:rPr>
        <w:t>Ներմուծում:</w:t>
      </w:r>
      <w:r w:rsidRPr="00A83C94">
        <w:rPr>
          <w:rFonts w:eastAsia="Calibri" w:cs="Sylfaen"/>
          <w:szCs w:val="22"/>
          <w:lang w:val="hy-AM" w:eastAsia="en-US"/>
        </w:rPr>
        <w:t xml:space="preserve"> </w:t>
      </w:r>
      <w:r w:rsidRPr="00A83C94">
        <w:rPr>
          <w:rFonts w:eastAsiaTheme="majorEastAsia"/>
          <w:bCs/>
          <w:lang w:val="hy-AM"/>
        </w:rPr>
        <w:t>2020թ. ապրանքների և ծառայությունների ներմուծումը նվազել է 33.2%-ով:</w:t>
      </w:r>
      <w:r w:rsidRPr="00A83C94">
        <w:rPr>
          <w:rFonts w:eastAsiaTheme="majorEastAsia"/>
          <w:b w:val="0"/>
          <w:bCs/>
          <w:lang w:val="hy-AM"/>
        </w:rPr>
        <w:t xml:space="preserve"> 2020թ</w:t>
      </w:r>
      <w:r w:rsidRPr="00A83C94">
        <w:rPr>
          <w:rFonts w:ascii="Cambria Math" w:eastAsiaTheme="majorEastAsia" w:hAnsi="Cambria Math" w:cs="Cambria Math"/>
          <w:b w:val="0"/>
          <w:bCs/>
          <w:lang w:val="hy-AM"/>
        </w:rPr>
        <w:t>․</w:t>
      </w:r>
      <w:r w:rsidRPr="00A83C94">
        <w:rPr>
          <w:rFonts w:eastAsiaTheme="majorEastAsia"/>
          <w:b w:val="0"/>
          <w:bCs/>
          <w:lang w:val="hy-AM"/>
        </w:rPr>
        <w:t xml:space="preserve"> արձանագրվել է ապրանքների ներմուծման 20% անկում`</w:t>
      </w:r>
      <w:r w:rsidRPr="00A83C94">
        <w:rPr>
          <w:rFonts w:eastAsiaTheme="majorEastAsia"/>
          <w:b w:val="0"/>
          <w:lang w:val="hy-AM"/>
        </w:rPr>
        <w:t xml:space="preserve"> պայմանավորված հիմնականում ավտոմեքենաների ներկրման մաքսատուրքերի բարձրացման հետևանքով դրանց ծավալների կտրուկ նվազմամբ, ինչպես նաև համավարակի, Արցախյան պատերազմի և տնտեսական ակտիվության անկման պայմաններում ներքին պահանջարկի նվազմամբ։ Ծառայությունների ներմուծման նվազումը 2020թ. կազմել է 59.8% և հիմնականում պայմանավորվել է սահմանափակումների հետևանքով ճանապարհորդության և դրա հետ կապված ծառայությունների կտրուկ անկմամբ (մոտ 80%):</w:t>
      </w:r>
    </w:p>
    <w:p w14:paraId="194D3F43" w14:textId="77777777" w:rsidR="00027FBF" w:rsidRPr="00A83C94" w:rsidRDefault="00027FBF" w:rsidP="00027FBF">
      <w:pPr>
        <w:tabs>
          <w:tab w:val="left" w:pos="0"/>
        </w:tabs>
        <w:spacing w:before="0" w:after="120" w:line="276" w:lineRule="auto"/>
        <w:ind w:firstLine="539"/>
        <w:contextualSpacing w:val="0"/>
        <w:rPr>
          <w:rFonts w:eastAsia="Calibri" w:cs="Sylfaen"/>
          <w:szCs w:val="22"/>
          <w:lang w:val="hy-AM" w:eastAsia="en-US"/>
        </w:rPr>
      </w:pPr>
      <w:r w:rsidRPr="00A83C94">
        <w:rPr>
          <w:rFonts w:eastAsia="Calibri" w:cs="Sylfaen"/>
          <w:szCs w:val="22"/>
          <w:lang w:val="hy-AM" w:eastAsia="en-US"/>
        </w:rPr>
        <w:t xml:space="preserve">Չնայած տարեսկզբի նվազման տեմպերին 2021թ. հունվար-օգոստոս ամիսներին արձանագրվել է ապրանքների ներմուծման 7.7% աճ՝ </w:t>
      </w:r>
      <w:r w:rsidRPr="00A83C94">
        <w:rPr>
          <w:rFonts w:eastAsia="Calibri" w:cs="Sylfaen"/>
          <w:b w:val="0"/>
          <w:szCs w:val="22"/>
          <w:lang w:val="hy-AM" w:eastAsia="en-US"/>
        </w:rPr>
        <w:t xml:space="preserve">հիմնականում տնտեսական ակտիվության աստիճանական վերականգնման պայմաններում ներքին պահանջարկի վերականգնմամբ պայմանավորված: 2021թ. առաջին կիսամյակի տվյալներով ծառայությունների </w:t>
      </w:r>
      <w:r w:rsidRPr="00A83C94">
        <w:rPr>
          <w:rFonts w:eastAsia="Calibri" w:cs="Sylfaen"/>
          <w:b w:val="0"/>
          <w:szCs w:val="22"/>
          <w:lang w:val="hy-AM" w:eastAsia="en-US"/>
        </w:rPr>
        <w:lastRenderedPageBreak/>
        <w:t>ներմուծումը շարունակել է անկում</w:t>
      </w:r>
      <w:r w:rsidRPr="00A83C94">
        <w:rPr>
          <w:rFonts w:eastAsia="Calibri" w:cs="Sylfaen"/>
          <w:b w:val="0"/>
          <w:szCs w:val="22"/>
          <w:vertAlign w:val="superscript"/>
          <w:lang w:val="hy-AM" w:eastAsia="en-US"/>
        </w:rPr>
        <w:footnoteReference w:id="9"/>
      </w:r>
      <w:r w:rsidRPr="00A83C94">
        <w:rPr>
          <w:rFonts w:eastAsia="Calibri" w:cs="Sylfaen"/>
          <w:b w:val="0"/>
          <w:szCs w:val="22"/>
          <w:lang w:val="hy-AM" w:eastAsia="en-US"/>
        </w:rPr>
        <w:t xml:space="preserve"> ապրել՝ հիմնականում ճանապարհորդության խորը անկման հաշվին: </w:t>
      </w:r>
      <w:r w:rsidRPr="00A83C94">
        <w:rPr>
          <w:rFonts w:eastAsia="Calibri" w:cs="Sylfaen"/>
          <w:szCs w:val="22"/>
          <w:lang w:val="hy-AM" w:eastAsia="en-US"/>
        </w:rPr>
        <w:t xml:space="preserve"> </w:t>
      </w:r>
    </w:p>
    <w:p w14:paraId="4380B0DA" w14:textId="77777777" w:rsidR="00027FBF" w:rsidRPr="00A83C94" w:rsidRDefault="00027FBF" w:rsidP="00027FBF">
      <w:pPr>
        <w:tabs>
          <w:tab w:val="left" w:pos="0"/>
        </w:tabs>
        <w:spacing w:before="0" w:after="120" w:line="276" w:lineRule="auto"/>
        <w:ind w:firstLine="539"/>
        <w:contextualSpacing w:val="0"/>
        <w:rPr>
          <w:rFonts w:eastAsia="Calibri" w:cs="Sylfaen"/>
          <w:b w:val="0"/>
          <w:bCs/>
          <w:i/>
          <w:iCs/>
          <w:szCs w:val="22"/>
          <w:lang w:val="hy-AM" w:eastAsia="en-US"/>
        </w:rPr>
      </w:pPr>
      <w:r w:rsidRPr="00A83C94">
        <w:rPr>
          <w:rFonts w:eastAsia="Calibri"/>
          <w:bCs/>
          <w:i/>
          <w:iCs/>
          <w:noProof/>
          <w:szCs w:val="22"/>
          <w:lang w:val="en-US" w:eastAsia="en-US"/>
        </w:rPr>
        <w:drawing>
          <wp:anchor distT="0" distB="0" distL="114300" distR="114300" simplePos="0" relativeHeight="251688960" behindDoc="1" locked="0" layoutInCell="1" allowOverlap="1" wp14:anchorId="6B0614EB" wp14:editId="635D731B">
            <wp:simplePos x="0" y="0"/>
            <wp:positionH relativeFrom="margin">
              <wp:posOffset>3133559</wp:posOffset>
            </wp:positionH>
            <wp:positionV relativeFrom="paragraph">
              <wp:posOffset>370233</wp:posOffset>
            </wp:positionV>
            <wp:extent cx="3162300" cy="1943100"/>
            <wp:effectExtent l="0" t="0" r="0" b="0"/>
            <wp:wrapTight wrapText="bothSides">
              <wp:wrapPolygon edited="0">
                <wp:start x="0" y="0"/>
                <wp:lineTo x="0" y="21388"/>
                <wp:lineTo x="21470" y="21388"/>
                <wp:lineTo x="2147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r w:rsidRPr="00A83C94">
        <w:rPr>
          <w:rFonts w:eastAsia="Calibri" w:cs="Sylfaen"/>
          <w:bCs/>
          <w:i/>
          <w:iCs/>
          <w:noProof/>
          <w:szCs w:val="22"/>
          <w:lang w:val="en-US" w:eastAsia="en-US"/>
        </w:rPr>
        <w:drawing>
          <wp:anchor distT="0" distB="0" distL="114300" distR="114300" simplePos="0" relativeHeight="251679744" behindDoc="1" locked="0" layoutInCell="1" allowOverlap="1" wp14:anchorId="1315B6D7" wp14:editId="43141C63">
            <wp:simplePos x="0" y="0"/>
            <wp:positionH relativeFrom="margin">
              <wp:posOffset>36195</wp:posOffset>
            </wp:positionH>
            <wp:positionV relativeFrom="paragraph">
              <wp:posOffset>376196</wp:posOffset>
            </wp:positionV>
            <wp:extent cx="3051175" cy="1966595"/>
            <wp:effectExtent l="0" t="0" r="15875" b="14605"/>
            <wp:wrapTight wrapText="bothSides">
              <wp:wrapPolygon edited="0">
                <wp:start x="0" y="0"/>
                <wp:lineTo x="0" y="21551"/>
                <wp:lineTo x="21578" y="21551"/>
                <wp:lineTo x="21578"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r w:rsidRPr="00A83C94">
        <w:rPr>
          <w:rFonts w:eastAsia="Calibri" w:cs="Sylfaen"/>
          <w:bCs/>
          <w:i/>
          <w:iCs/>
          <w:szCs w:val="22"/>
          <w:lang w:val="hy-AM" w:eastAsia="en-US"/>
        </w:rPr>
        <w:t>Գծապատկեր 1.24</w:t>
      </w:r>
      <w:r w:rsidRPr="00A83C94">
        <w:rPr>
          <w:rFonts w:ascii="MS Gothic" w:eastAsia="MS Gothic" w:hAnsi="MS Gothic" w:cs="MS Gothic" w:hint="eastAsia"/>
          <w:bCs/>
          <w:i/>
          <w:iCs/>
          <w:szCs w:val="22"/>
          <w:lang w:val="hy-AM" w:eastAsia="en-US"/>
        </w:rPr>
        <w:t>․</w:t>
      </w:r>
      <w:r w:rsidRPr="00A83C94">
        <w:rPr>
          <w:rFonts w:eastAsia="Calibri" w:cs="Sylfaen"/>
          <w:b w:val="0"/>
          <w:bCs/>
          <w:i/>
          <w:iCs/>
          <w:sz w:val="21"/>
          <w:szCs w:val="21"/>
          <w:lang w:val="hy-AM" w:eastAsia="en-US"/>
        </w:rPr>
        <w:t xml:space="preserve"> </w:t>
      </w:r>
      <w:r w:rsidRPr="00A83C94">
        <w:rPr>
          <w:rFonts w:eastAsia="Calibri" w:cs="Sylfaen"/>
          <w:b w:val="0"/>
          <w:bCs/>
          <w:i/>
          <w:iCs/>
          <w:sz w:val="20"/>
          <w:szCs w:val="20"/>
          <w:lang w:val="hy-AM" w:eastAsia="en-US"/>
        </w:rPr>
        <w:t>2021թ. ապրանքների ներմուծման միտումները, %</w:t>
      </w:r>
    </w:p>
    <w:p w14:paraId="3B0D67EC" w14:textId="77777777" w:rsidR="00027FBF" w:rsidRPr="00A83C94" w:rsidRDefault="00027FBF" w:rsidP="00027FBF">
      <w:pPr>
        <w:tabs>
          <w:tab w:val="left" w:pos="0"/>
        </w:tabs>
        <w:spacing w:before="0" w:line="276" w:lineRule="auto"/>
        <w:ind w:firstLine="0"/>
        <w:contextualSpacing w:val="0"/>
        <w:rPr>
          <w:rFonts w:eastAsia="Calibri" w:cs="Sylfaen"/>
          <w:b w:val="0"/>
          <w:i/>
          <w:sz w:val="18"/>
          <w:szCs w:val="18"/>
          <w:lang w:val="hy-AM" w:eastAsia="en-US"/>
        </w:rPr>
      </w:pPr>
      <w:r w:rsidRPr="00A83C94">
        <w:rPr>
          <w:rFonts w:eastAsia="Calibri"/>
          <w:b w:val="0"/>
          <w:i/>
          <w:sz w:val="16"/>
          <w:szCs w:val="16"/>
          <w:lang w:val="hy-AM"/>
        </w:rPr>
        <w:t>Աղբյուրը՝ ՀՀ ՎԿ և ՀՀ ՖՆ հաշվարկներ</w:t>
      </w:r>
      <w:r w:rsidRPr="00A83C94">
        <w:rPr>
          <w:rFonts w:eastAsia="Calibri" w:cs="Sylfaen"/>
          <w:b w:val="0"/>
          <w:i/>
          <w:sz w:val="18"/>
          <w:szCs w:val="18"/>
          <w:lang w:val="hy-AM" w:eastAsia="en-US"/>
        </w:rPr>
        <w:t xml:space="preserve">:  </w:t>
      </w:r>
    </w:p>
    <w:p w14:paraId="0C58A294" w14:textId="77777777" w:rsidR="00027FBF" w:rsidRPr="00A83C94" w:rsidRDefault="00027FBF" w:rsidP="00027FBF">
      <w:pPr>
        <w:spacing w:line="276" w:lineRule="auto"/>
        <w:rPr>
          <w:rFonts w:eastAsiaTheme="majorEastAsia"/>
          <w:iCs/>
          <w:u w:val="single"/>
          <w:lang w:val="hy-AM"/>
        </w:rPr>
      </w:pPr>
    </w:p>
    <w:p w14:paraId="3F61B313" w14:textId="77777777" w:rsidR="00027FBF" w:rsidRPr="00A83C94" w:rsidRDefault="00027FBF" w:rsidP="00027FBF">
      <w:pPr>
        <w:spacing w:line="276" w:lineRule="auto"/>
        <w:rPr>
          <w:rFonts w:eastAsiaTheme="majorEastAsia"/>
          <w:b w:val="0"/>
          <w:lang w:val="hy-AM"/>
        </w:rPr>
      </w:pPr>
      <w:r w:rsidRPr="00A83C94">
        <w:rPr>
          <w:rFonts w:eastAsiaTheme="majorEastAsia"/>
          <w:iCs/>
          <w:u w:val="single"/>
          <w:lang w:val="hy-AM"/>
        </w:rPr>
        <w:t>Կանխատեսում</w:t>
      </w:r>
      <w:r w:rsidRPr="00A83C94">
        <w:rPr>
          <w:rFonts w:eastAsiaTheme="majorEastAsia"/>
          <w:lang w:val="hy-AM"/>
        </w:rPr>
        <w:t xml:space="preserve">։ </w:t>
      </w:r>
      <w:r w:rsidRPr="00A83C94">
        <w:rPr>
          <w:rFonts w:eastAsiaTheme="majorEastAsia"/>
          <w:b w:val="0"/>
          <w:lang w:val="hy-AM"/>
        </w:rPr>
        <w:t>Ապրանքների և ծառայությունների նկատմամբ ներքին պահանջարկի աստիճանական վերականգնմամբ պայմանավորված 2021թ. սպասվում է շուրջ 16.7% ներմուծման աճ: Բարձր տնտեսական աճի,  երկրների միջև սահմանափակումների վերացմանը զուգընթաց զբոսաշրջության վերականգման, ինչպես նաև ներդրուների խթանմանն ուղղված ՀՀ կառավարության քաղաքականության ջանքերին համահունչ ներդրումային բնույթի ապրանքների աճի հաշվին` 2022թ. ներմուծման աճը կկազմի մոտ 18.3%:</w:t>
      </w:r>
    </w:p>
    <w:p w14:paraId="221FB94B" w14:textId="77777777" w:rsidR="00027FBF" w:rsidRPr="00A83C94" w:rsidRDefault="00027FBF" w:rsidP="00027FBF">
      <w:pPr>
        <w:tabs>
          <w:tab w:val="left" w:pos="0"/>
          <w:tab w:val="num" w:pos="720"/>
        </w:tabs>
        <w:spacing w:before="0" w:after="120" w:line="276" w:lineRule="auto"/>
        <w:ind w:firstLine="539"/>
        <w:contextualSpacing w:val="0"/>
        <w:rPr>
          <w:rFonts w:eastAsia="Calibri" w:cs="Sylfaen"/>
          <w:b w:val="0"/>
          <w:szCs w:val="22"/>
          <w:lang w:val="hy-AM" w:eastAsia="en-US"/>
        </w:rPr>
      </w:pPr>
    </w:p>
    <w:p w14:paraId="36144079" w14:textId="77777777" w:rsidR="00027FBF" w:rsidRPr="00A83C94" w:rsidRDefault="00027FBF" w:rsidP="00027FBF">
      <w:pPr>
        <w:tabs>
          <w:tab w:val="left" w:pos="0"/>
        </w:tabs>
        <w:spacing w:before="0" w:line="276" w:lineRule="auto"/>
        <w:ind w:firstLine="0"/>
        <w:rPr>
          <w:rFonts w:eastAsia="Calibri" w:cs="Sylfaen"/>
          <w:b w:val="0"/>
          <w:i/>
          <w:sz w:val="18"/>
          <w:szCs w:val="18"/>
          <w:lang w:val="hy-AM" w:eastAsia="en-US"/>
        </w:rPr>
      </w:pPr>
      <w:r w:rsidRPr="00A83C94">
        <w:rPr>
          <w:rFonts w:eastAsia="Calibri" w:cs="Sylfaen"/>
          <w:b w:val="0"/>
          <w:noProof/>
          <w:szCs w:val="22"/>
          <w:lang w:val="en-US" w:eastAsia="en-US"/>
        </w:rPr>
        <w:drawing>
          <wp:anchor distT="0" distB="0" distL="114300" distR="114300" simplePos="0" relativeHeight="251701248" behindDoc="1" locked="0" layoutInCell="1" allowOverlap="1" wp14:anchorId="7591EA56" wp14:editId="79D7E66A">
            <wp:simplePos x="0" y="0"/>
            <wp:positionH relativeFrom="margin">
              <wp:align>left</wp:align>
            </wp:positionH>
            <wp:positionV relativeFrom="paragraph">
              <wp:posOffset>477851</wp:posOffset>
            </wp:positionV>
            <wp:extent cx="3171825" cy="2009775"/>
            <wp:effectExtent l="0" t="0" r="9525" b="9525"/>
            <wp:wrapTight wrapText="bothSides">
              <wp:wrapPolygon edited="0">
                <wp:start x="0" y="0"/>
                <wp:lineTo x="0" y="21498"/>
                <wp:lineTo x="21535" y="21498"/>
                <wp:lineTo x="21535"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A83C94">
        <w:rPr>
          <w:rFonts w:eastAsia="Calibri" w:cs="Sylfaen"/>
          <w:b w:val="0"/>
          <w:noProof/>
          <w:color w:val="C00000"/>
          <w:szCs w:val="22"/>
          <w:lang w:val="en-US" w:eastAsia="en-US"/>
        </w:rPr>
        <w:drawing>
          <wp:anchor distT="0" distB="0" distL="114300" distR="114300" simplePos="0" relativeHeight="251698176" behindDoc="1" locked="0" layoutInCell="1" allowOverlap="1" wp14:anchorId="6AAF7667" wp14:editId="685E3E08">
            <wp:simplePos x="0" y="0"/>
            <wp:positionH relativeFrom="column">
              <wp:posOffset>3232785</wp:posOffset>
            </wp:positionH>
            <wp:positionV relativeFrom="paragraph">
              <wp:posOffset>473710</wp:posOffset>
            </wp:positionV>
            <wp:extent cx="3066415" cy="2009775"/>
            <wp:effectExtent l="0" t="0" r="635" b="9525"/>
            <wp:wrapTight wrapText="bothSides">
              <wp:wrapPolygon edited="0">
                <wp:start x="0" y="0"/>
                <wp:lineTo x="0" y="21498"/>
                <wp:lineTo x="21470" y="21498"/>
                <wp:lineTo x="21470"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A83C94">
        <w:rPr>
          <w:rFonts w:eastAsia="Calibri" w:cs="Sylfaen"/>
          <w:i/>
          <w:szCs w:val="22"/>
          <w:lang w:val="hy-AM" w:eastAsia="en-US"/>
        </w:rPr>
        <w:t>Գծապարկեր 1.25</w:t>
      </w:r>
      <w:r w:rsidRPr="00A83C94">
        <w:rPr>
          <w:rFonts w:ascii="MS Gothic" w:eastAsia="MS Gothic" w:hAnsi="MS Gothic" w:cs="MS Gothic" w:hint="eastAsia"/>
          <w:i/>
          <w:szCs w:val="22"/>
          <w:lang w:val="hy-AM" w:eastAsia="en-US"/>
        </w:rPr>
        <w:t>․</w:t>
      </w:r>
      <w:r w:rsidRPr="00A83C94">
        <w:rPr>
          <w:rFonts w:eastAsia="Calibri" w:cs="Sylfaen"/>
          <w:b w:val="0"/>
          <w:bCs/>
          <w:sz w:val="21"/>
          <w:szCs w:val="21"/>
          <w:lang w:val="hy-AM" w:eastAsia="en-US"/>
        </w:rPr>
        <w:t xml:space="preserve"> </w:t>
      </w:r>
      <w:r w:rsidRPr="00A83C94">
        <w:rPr>
          <w:rFonts w:eastAsia="Calibri" w:cs="Sylfaen"/>
          <w:b w:val="0"/>
          <w:bCs/>
          <w:i/>
          <w:sz w:val="20"/>
          <w:szCs w:val="20"/>
          <w:lang w:val="hy-AM" w:eastAsia="en-US"/>
        </w:rPr>
        <w:t>ՀՀ ապրանքների և ծառայությունների արտահանման և ներմուծման միտումները ՀՖՃ տարիներին և 2018-2022թթ., %</w:t>
      </w:r>
      <w:r w:rsidRPr="00A83C94">
        <w:rPr>
          <w:rFonts w:eastAsia="Calibri" w:cs="Sylfaen"/>
          <w:b w:val="0"/>
          <w:bCs/>
          <w:sz w:val="21"/>
          <w:szCs w:val="21"/>
          <w:lang w:val="hy-AM" w:eastAsia="en-US"/>
        </w:rPr>
        <w:t xml:space="preserve">  </w:t>
      </w:r>
    </w:p>
    <w:p w14:paraId="41FA2DB6" w14:textId="77777777" w:rsidR="00027FBF" w:rsidRPr="00A83C94" w:rsidRDefault="00027FBF" w:rsidP="00027FBF">
      <w:pPr>
        <w:tabs>
          <w:tab w:val="left" w:pos="0"/>
          <w:tab w:val="num" w:pos="720"/>
        </w:tabs>
        <w:spacing w:before="0" w:line="276" w:lineRule="auto"/>
        <w:ind w:firstLine="0"/>
        <w:rPr>
          <w:rFonts w:eastAsia="Calibri"/>
          <w:b w:val="0"/>
          <w:i/>
          <w:sz w:val="16"/>
          <w:szCs w:val="16"/>
          <w:lang w:val="hy-AM"/>
        </w:rPr>
      </w:pPr>
      <w:r w:rsidRPr="00A83C94">
        <w:rPr>
          <w:rFonts w:eastAsia="Calibri"/>
          <w:b w:val="0"/>
          <w:i/>
          <w:sz w:val="16"/>
          <w:szCs w:val="16"/>
          <w:lang w:val="hy-AM"/>
        </w:rPr>
        <w:t>Աղբյուր՝ ՀՀ ՎԿ և  ՀՀ ՖՆ հաշվարկներ և կանխաեսումներ:</w:t>
      </w:r>
    </w:p>
    <w:p w14:paraId="35B86B18"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p>
    <w:p w14:paraId="7EF15899"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p>
    <w:p w14:paraId="0BE0E078"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p>
    <w:p w14:paraId="4D100ADF"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r w:rsidRPr="00A83C94">
        <w:rPr>
          <w:rFonts w:eastAsia="Calibri"/>
          <w:bCs/>
          <w:sz w:val="24"/>
          <w:lang w:val="hy-AM" w:eastAsia="en-US"/>
        </w:rPr>
        <w:lastRenderedPageBreak/>
        <w:t>1.3.4. Փոխարժեքներ</w:t>
      </w:r>
    </w:p>
    <w:tbl>
      <w:tblPr>
        <w:tblStyle w:val="TableGrid9121"/>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7"/>
        <w:gridCol w:w="222"/>
      </w:tblGrid>
      <w:tr w:rsidR="00027FBF" w:rsidRPr="006B7E7B" w14:paraId="3783B971" w14:textId="77777777" w:rsidTr="00027FBF">
        <w:trPr>
          <w:trHeight w:val="309"/>
        </w:trPr>
        <w:tc>
          <w:tcPr>
            <w:tcW w:w="5181" w:type="dxa"/>
          </w:tcPr>
          <w:p w14:paraId="7B7DFE73" w14:textId="77777777" w:rsidR="00027FBF" w:rsidRPr="00A83C94" w:rsidRDefault="00027FBF" w:rsidP="00027FBF">
            <w:pPr>
              <w:spacing w:before="0" w:after="120" w:line="276" w:lineRule="auto"/>
              <w:ind w:right="-31" w:firstLine="539"/>
              <w:contextualSpacing w:val="0"/>
              <w:rPr>
                <w:rFonts w:cs="Sylfaen"/>
                <w:b w:val="0"/>
                <w:szCs w:val="22"/>
                <w:lang w:val="hy-AM" w:eastAsia="en-US"/>
              </w:rPr>
            </w:pPr>
            <w:r w:rsidRPr="00A83C94">
              <w:rPr>
                <w:rFonts w:cs="Sylfaen"/>
                <w:szCs w:val="22"/>
                <w:lang w:val="hy-AM" w:eastAsia="en-US"/>
              </w:rPr>
              <w:t xml:space="preserve">Համավարակով պայմանավորված 2020թ. </w:t>
            </w:r>
            <w:r w:rsidRPr="00A83C94">
              <w:rPr>
                <w:rFonts w:cs="Sylfaen"/>
                <w:szCs w:val="22"/>
                <w:lang w:val="hy-AM"/>
              </w:rPr>
              <w:t xml:space="preserve">ՀՀ փոխարժեքի շուկայում </w:t>
            </w:r>
            <w:r w:rsidRPr="00A83C94">
              <w:rPr>
                <w:rFonts w:cs="Sylfaen"/>
                <w:szCs w:val="22"/>
                <w:lang w:val="hy-AM" w:eastAsia="en-US"/>
              </w:rPr>
              <w:t xml:space="preserve">նկատվել են արժեզրկման միտումներ: </w:t>
            </w:r>
            <w:r w:rsidRPr="00A83C94">
              <w:rPr>
                <w:rFonts w:cs="Sylfaen"/>
                <w:b w:val="0"/>
                <w:szCs w:val="22"/>
                <w:lang w:val="hy-AM" w:eastAsia="en-US"/>
              </w:rPr>
              <w:t xml:space="preserve">Նախորդ տարվա միջինի համեմատ դրամն արժեզրկվել է </w:t>
            </w:r>
            <w:r w:rsidRPr="00A83C94">
              <w:rPr>
                <w:rFonts w:eastAsiaTheme="majorEastAsia"/>
                <w:b w:val="0"/>
                <w:lang w:val="hy-AM"/>
              </w:rPr>
              <w:t>ԱՄՆ</w:t>
            </w:r>
            <w:r w:rsidRPr="00A83C94">
              <w:rPr>
                <w:rFonts w:cs="Sylfaen"/>
                <w:b w:val="0"/>
                <w:szCs w:val="22"/>
                <w:lang w:val="hy-AM" w:eastAsia="en-US"/>
              </w:rPr>
              <w:t xml:space="preserve"> դոլարի և եվրոյի նկատմամբ (համապատասխանաբար՝ 1.8% և 3</w:t>
            </w:r>
            <w:r w:rsidRPr="00A83C94">
              <w:rPr>
                <w:rFonts w:ascii="Cambria Math" w:hAnsi="Cambria Math" w:cs="Sylfaen"/>
                <w:b w:val="0"/>
                <w:szCs w:val="22"/>
                <w:lang w:val="hy-AM" w:eastAsia="en-US"/>
              </w:rPr>
              <w:t>․</w:t>
            </w:r>
            <w:r w:rsidRPr="00A83C94">
              <w:rPr>
                <w:rFonts w:cs="Sylfaen"/>
                <w:b w:val="0"/>
                <w:szCs w:val="22"/>
                <w:lang w:val="hy-AM" w:eastAsia="en-US"/>
              </w:rPr>
              <w:t>6%), մինչդեռ աժեվորվել՝ ռուսական ռուբլու նկատմամբ (9</w:t>
            </w:r>
            <w:r w:rsidRPr="00A83C94">
              <w:rPr>
                <w:rFonts w:ascii="Cambria Math" w:hAnsi="Cambria Math" w:cs="Cambria Math"/>
                <w:b w:val="0"/>
                <w:szCs w:val="22"/>
                <w:lang w:val="hy-AM" w:eastAsia="en-US"/>
              </w:rPr>
              <w:t>․</w:t>
            </w:r>
            <w:r w:rsidRPr="00A83C94">
              <w:rPr>
                <w:rFonts w:cs="Sylfaen"/>
                <w:b w:val="0"/>
                <w:szCs w:val="22"/>
                <w:lang w:val="hy-AM" w:eastAsia="en-US"/>
              </w:rPr>
              <w:t xml:space="preserve">4%)։ </w:t>
            </w:r>
          </w:p>
          <w:p w14:paraId="2B978222" w14:textId="77777777" w:rsidR="00027FBF" w:rsidRPr="00A83C94" w:rsidRDefault="00027FBF" w:rsidP="00027FBF">
            <w:pPr>
              <w:spacing w:before="0" w:after="120" w:line="276" w:lineRule="auto"/>
              <w:ind w:firstLine="539"/>
              <w:contextualSpacing w:val="0"/>
              <w:rPr>
                <w:rFonts w:cs="Sylfaen"/>
                <w:b w:val="0"/>
                <w:szCs w:val="22"/>
                <w:lang w:val="hy-AM" w:eastAsia="en-US"/>
              </w:rPr>
            </w:pPr>
            <w:r w:rsidRPr="00A83C94">
              <w:rPr>
                <w:rFonts w:cs="Sylfaen"/>
                <w:bCs/>
                <w:szCs w:val="22"/>
                <w:lang w:val="hy-AM" w:eastAsia="en-US"/>
              </w:rPr>
              <w:t xml:space="preserve">ՀՀ դրամը շարունակել է արժեզրկվել նաև 2021թ. ընթացքում՝ հիմնականում պայմանավորված համավարակի և Արցախյան պատերազմի հետևանքով ձևավորված սպասումներով։ </w:t>
            </w:r>
            <w:r w:rsidRPr="00A83C94">
              <w:rPr>
                <w:rFonts w:cs="Sylfaen"/>
                <w:b w:val="0"/>
                <w:szCs w:val="22"/>
                <w:lang w:val="hy-AM" w:eastAsia="en-US"/>
              </w:rPr>
              <w:t>2021թ. հունվար-օգոստոս ամիսներին ՀՀ դրամի միջին փոխարժեքը կազմել է մոտ 514</w:t>
            </w:r>
            <w:r w:rsidRPr="00A83C94">
              <w:rPr>
                <w:rFonts w:ascii="Cambria Math" w:hAnsi="Cambria Math" w:cs="Sylfaen"/>
                <w:b w:val="0"/>
                <w:szCs w:val="22"/>
                <w:lang w:val="hy-AM" w:eastAsia="en-US"/>
              </w:rPr>
              <w:t>․</w:t>
            </w:r>
            <w:r w:rsidRPr="00A83C94">
              <w:rPr>
                <w:rFonts w:cs="Sylfaen"/>
                <w:b w:val="0"/>
                <w:szCs w:val="22"/>
                <w:lang w:val="hy-AM" w:eastAsia="en-US"/>
              </w:rPr>
              <w:t>4.0 ՀՀ դրամ ԱՄՆ դոլարի դիմաց՝ նախորդ տարվա նույն ժամանակահատվածի միջինի նկատմամբ արժեզրկվելով 5.9%-ով: ՀՀ փոխարժեքի շուկայում սկսած հունիսից նկատվել են արժևորման միտումներ, որն իր առավելագույն արժեքին հասել է հուլիսի 27-ին՝ կազմելով 482</w:t>
            </w:r>
            <w:r w:rsidRPr="00A83C94">
              <w:rPr>
                <w:rFonts w:ascii="Cambria Math" w:hAnsi="Cambria Math" w:cs="Sylfaen"/>
                <w:b w:val="0"/>
                <w:szCs w:val="22"/>
                <w:lang w:val="hy-AM" w:eastAsia="en-US"/>
              </w:rPr>
              <w:t>․</w:t>
            </w:r>
            <w:r w:rsidRPr="00A83C94">
              <w:rPr>
                <w:rFonts w:cs="Sylfaen"/>
                <w:b w:val="0"/>
                <w:szCs w:val="22"/>
                <w:lang w:val="hy-AM" w:eastAsia="en-US"/>
              </w:rPr>
              <w:t>3 ՀՀ դրամ մեկ ԱՄՆ դոլարի դիմաց, որից հետո ԱՄՆ դոլարի նկատմամբ ՀՀ դրամը դրսևորել է հարաբերականորեն կայուն վարքագիծ: 2021թ. հունվար-օգոստոս ամիսներին ՀՀ դրամն եվրոյի նկատմամբ արժեզրկվել է շուրջ 12.3%-ով, իսկ ռուսական ռուբլու նկատմամբ՝ 0.3%-ով:</w:t>
            </w:r>
            <w:r w:rsidRPr="00A83C94">
              <w:rPr>
                <w:rFonts w:eastAsiaTheme="majorEastAsia"/>
                <w:lang w:val="hy-AM"/>
              </w:rPr>
              <w:t xml:space="preserve"> </w:t>
            </w:r>
          </w:p>
          <w:p w14:paraId="6E680BAB" w14:textId="77777777" w:rsidR="00027FBF" w:rsidRPr="00A83C94" w:rsidRDefault="00027FBF" w:rsidP="00027FBF">
            <w:pPr>
              <w:spacing w:before="0" w:after="120" w:line="276" w:lineRule="auto"/>
              <w:ind w:firstLine="539"/>
              <w:contextualSpacing w:val="0"/>
              <w:rPr>
                <w:rFonts w:eastAsia="Times New Roman"/>
                <w:b w:val="0"/>
                <w:szCs w:val="22"/>
                <w:lang w:val="hy-AM" w:eastAsia="en-US"/>
              </w:rPr>
            </w:pPr>
            <w:r w:rsidRPr="00A83C94">
              <w:rPr>
                <w:bCs/>
                <w:szCs w:val="22"/>
                <w:lang w:val="hy-AM" w:eastAsia="en-US"/>
              </w:rPr>
              <w:t>ՀՀ արտաքին առևտրի տեսանկյունից առավել կարևոր արժույթներից բաղկացած զամբյուղի նկատմամբ ՀՀ ազգային արժույթն</w:t>
            </w:r>
            <w:r w:rsidRPr="00A83C94">
              <w:rPr>
                <w:rFonts w:cs="Sylfaen"/>
                <w:bCs/>
                <w:szCs w:val="22"/>
                <w:lang w:val="hy-AM" w:eastAsia="en-US"/>
              </w:rPr>
              <w:t xml:space="preserve"> իրական արտահայտությամբ 2020թ. արժևորվել է 1.7%-ով</w:t>
            </w:r>
            <w:r w:rsidRPr="00A83C94">
              <w:rPr>
                <w:rFonts w:cs="Sylfaen"/>
                <w:b w:val="0"/>
                <w:szCs w:val="22"/>
                <w:lang w:val="hy-AM" w:eastAsia="en-US"/>
              </w:rPr>
              <w:t>, իսկ անվանական արտահայտությամբ՝ 4.2%-ով: 2021թ. հունվար-հուլիս ամիսներին ՀՀ դրամի իրական արդյունավետ փոխարժեքի արժեզրկումը կազմել է 5.0%, իսկ անվանականի արժեզրկումը՝ 5.1%՝ իր</w:t>
            </w:r>
            <w:r w:rsidRPr="00A83C94">
              <w:rPr>
                <w:b w:val="0"/>
                <w:szCs w:val="22"/>
                <w:lang w:val="hy-AM" w:eastAsia="en-US"/>
              </w:rPr>
              <w:t xml:space="preserve"> դրական ազդեցությունը թողնելով տեղական ապրանքների արտաքին մրցունակության վրա: </w:t>
            </w:r>
          </w:p>
          <w:tbl>
            <w:tblPr>
              <w:tblStyle w:val="TableGrid9121"/>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1"/>
              <w:gridCol w:w="5090"/>
            </w:tblGrid>
            <w:tr w:rsidR="00027FBF" w:rsidRPr="006B7E7B" w14:paraId="427E3C18" w14:textId="77777777" w:rsidTr="00027FBF">
              <w:trPr>
                <w:trHeight w:val="309"/>
              </w:trPr>
              <w:tc>
                <w:tcPr>
                  <w:tcW w:w="5181" w:type="dxa"/>
                </w:tcPr>
                <w:p w14:paraId="28949D9A" w14:textId="77777777" w:rsidR="00027FBF" w:rsidRPr="00A83C94" w:rsidRDefault="00027FBF" w:rsidP="00027FBF">
                  <w:pPr>
                    <w:spacing w:before="0" w:line="240" w:lineRule="auto"/>
                    <w:ind w:right="-267" w:firstLine="0"/>
                    <w:contextualSpacing w:val="0"/>
                    <w:rPr>
                      <w:rFonts w:cs="Sylfaen"/>
                      <w:b w:val="0"/>
                      <w:i/>
                      <w:sz w:val="18"/>
                      <w:szCs w:val="18"/>
                      <w:lang w:val="hy-AM" w:eastAsia="en-US"/>
                    </w:rPr>
                  </w:pPr>
                  <w:r w:rsidRPr="00A83C94">
                    <w:rPr>
                      <w:rFonts w:cs="Sylfaen"/>
                      <w:i/>
                      <w:sz w:val="18"/>
                      <w:szCs w:val="18"/>
                      <w:lang w:val="hy-AM" w:eastAsia="en-US"/>
                    </w:rPr>
                    <w:t xml:space="preserve">Գծապատկեր 1.26. </w:t>
                  </w:r>
                  <w:r w:rsidRPr="00A83C94">
                    <w:rPr>
                      <w:rFonts w:cs="Sylfaen"/>
                      <w:b w:val="0"/>
                      <w:i/>
                      <w:sz w:val="18"/>
                      <w:szCs w:val="18"/>
                      <w:lang w:val="hy-AM" w:eastAsia="en-US"/>
                    </w:rPr>
                    <w:t xml:space="preserve">ՀՀ դրամի անվանական </w:t>
                  </w:r>
                </w:p>
                <w:p w14:paraId="686EE7CC" w14:textId="77777777" w:rsidR="00027FBF" w:rsidRPr="00A83C94" w:rsidRDefault="00027FBF" w:rsidP="00027FBF">
                  <w:pPr>
                    <w:spacing w:before="0" w:line="240" w:lineRule="auto"/>
                    <w:ind w:right="-267" w:firstLine="0"/>
                    <w:contextualSpacing w:val="0"/>
                    <w:rPr>
                      <w:rFonts w:cs="Sylfaen"/>
                      <w:b w:val="0"/>
                      <w:i/>
                      <w:sz w:val="18"/>
                      <w:szCs w:val="18"/>
                      <w:lang w:val="hy-AM" w:eastAsia="en-US"/>
                    </w:rPr>
                  </w:pPr>
                  <w:r w:rsidRPr="00A83C94">
                    <w:rPr>
                      <w:rFonts w:cs="Sylfaen"/>
                      <w:b w:val="0"/>
                      <w:i/>
                      <w:sz w:val="18"/>
                      <w:szCs w:val="18"/>
                      <w:lang w:val="hy-AM" w:eastAsia="en-US"/>
                    </w:rPr>
                    <w:t xml:space="preserve">փոխարժեքի օրական դինամիկան </w:t>
                  </w:r>
                </w:p>
                <w:p w14:paraId="01BF6890" w14:textId="77777777" w:rsidR="00027FBF" w:rsidRPr="00A83C94" w:rsidRDefault="00027FBF" w:rsidP="00027FBF">
                  <w:pPr>
                    <w:spacing w:before="0" w:line="240" w:lineRule="auto"/>
                    <w:ind w:right="-267" w:firstLine="0"/>
                    <w:contextualSpacing w:val="0"/>
                    <w:rPr>
                      <w:rFonts w:cs="Sylfaen"/>
                      <w:b w:val="0"/>
                      <w:i/>
                      <w:sz w:val="18"/>
                      <w:szCs w:val="18"/>
                      <w:lang w:val="hy-AM" w:eastAsia="en-US"/>
                    </w:rPr>
                  </w:pPr>
                  <w:r w:rsidRPr="00A83C94">
                    <w:rPr>
                      <w:rFonts w:cs="Sylfaen"/>
                      <w:b w:val="0"/>
                      <w:i/>
                      <w:noProof/>
                      <w:sz w:val="18"/>
                      <w:szCs w:val="18"/>
                      <w:lang w:val="en-US" w:eastAsia="en-US"/>
                    </w:rPr>
                    <w:drawing>
                      <wp:anchor distT="0" distB="0" distL="114300" distR="114300" simplePos="0" relativeHeight="251710464" behindDoc="1" locked="0" layoutInCell="1" allowOverlap="1" wp14:anchorId="027EB956" wp14:editId="5298D874">
                        <wp:simplePos x="0" y="0"/>
                        <wp:positionH relativeFrom="margin">
                          <wp:posOffset>-26670</wp:posOffset>
                        </wp:positionH>
                        <wp:positionV relativeFrom="paragraph">
                          <wp:posOffset>230505</wp:posOffset>
                        </wp:positionV>
                        <wp:extent cx="3133725" cy="2114550"/>
                        <wp:effectExtent l="0" t="0" r="9525" b="0"/>
                        <wp:wrapTight wrapText="bothSides">
                          <wp:wrapPolygon edited="0">
                            <wp:start x="0" y="0"/>
                            <wp:lineTo x="0" y="21405"/>
                            <wp:lineTo x="21534" y="21405"/>
                            <wp:lineTo x="21534" y="0"/>
                            <wp:lineTo x="0" y="0"/>
                          </wp:wrapPolygon>
                        </wp:wrapTight>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A83C94">
                    <w:rPr>
                      <w:rFonts w:cs="Sylfaen"/>
                      <w:b w:val="0"/>
                      <w:i/>
                      <w:sz w:val="18"/>
                      <w:szCs w:val="18"/>
                      <w:lang w:val="hy-AM" w:eastAsia="en-US"/>
                    </w:rPr>
                    <w:t>հիմնական արժույթների նկատմամբ</w:t>
                  </w:r>
                </w:p>
                <w:p w14:paraId="271AFB8F" w14:textId="77777777" w:rsidR="00027FBF" w:rsidRPr="00A83C94" w:rsidRDefault="00027FBF" w:rsidP="00027FBF">
                  <w:pPr>
                    <w:tabs>
                      <w:tab w:val="left" w:pos="0"/>
                      <w:tab w:val="num" w:pos="720"/>
                    </w:tabs>
                    <w:spacing w:before="0" w:line="276" w:lineRule="auto"/>
                    <w:ind w:firstLine="0"/>
                    <w:rPr>
                      <w:rFonts w:cs="Sylfaen"/>
                      <w:b w:val="0"/>
                      <w:i/>
                      <w:sz w:val="18"/>
                      <w:szCs w:val="18"/>
                      <w:lang w:val="hy-AM" w:eastAsia="en-US"/>
                    </w:rPr>
                  </w:pPr>
                  <w:r w:rsidRPr="00A83C94">
                    <w:rPr>
                      <w:b w:val="0"/>
                      <w:i/>
                      <w:sz w:val="16"/>
                      <w:szCs w:val="16"/>
                      <w:lang w:val="hy-AM"/>
                    </w:rPr>
                    <w:t>Աղբյուրը՝ ՀՀ ԿԲ, ՀՀ ՖՆ հաշվարկներ</w:t>
                  </w:r>
                </w:p>
              </w:tc>
              <w:tc>
                <w:tcPr>
                  <w:tcW w:w="5090" w:type="dxa"/>
                </w:tcPr>
                <w:p w14:paraId="51316CF9" w14:textId="77777777" w:rsidR="00027FBF" w:rsidRPr="00A83C94" w:rsidRDefault="00027FBF" w:rsidP="00027FBF">
                  <w:pPr>
                    <w:spacing w:before="0" w:line="240" w:lineRule="auto"/>
                    <w:ind w:right="217" w:firstLine="0"/>
                    <w:contextualSpacing w:val="0"/>
                    <w:rPr>
                      <w:rFonts w:cs="Sylfaen"/>
                      <w:b w:val="0"/>
                      <w:i/>
                      <w:sz w:val="18"/>
                      <w:szCs w:val="18"/>
                      <w:lang w:val="hy-AM" w:eastAsia="en-US"/>
                    </w:rPr>
                  </w:pPr>
                  <w:r w:rsidRPr="00A83C94">
                    <w:rPr>
                      <w:rFonts w:cs="Sylfaen"/>
                      <w:b w:val="0"/>
                      <w:i/>
                      <w:noProof/>
                      <w:sz w:val="18"/>
                      <w:szCs w:val="18"/>
                      <w:lang w:val="en-US" w:eastAsia="en-US"/>
                    </w:rPr>
                    <w:drawing>
                      <wp:anchor distT="0" distB="0" distL="114300" distR="114300" simplePos="0" relativeHeight="251713536" behindDoc="1" locked="0" layoutInCell="1" allowOverlap="1" wp14:anchorId="4CB4CD88" wp14:editId="4F3DC0C2">
                        <wp:simplePos x="0" y="0"/>
                        <wp:positionH relativeFrom="column">
                          <wp:posOffset>-27940</wp:posOffset>
                        </wp:positionH>
                        <wp:positionV relativeFrom="paragraph">
                          <wp:posOffset>546735</wp:posOffset>
                        </wp:positionV>
                        <wp:extent cx="3076575" cy="2114550"/>
                        <wp:effectExtent l="0" t="0" r="9525" b="0"/>
                        <wp:wrapTight wrapText="bothSides">
                          <wp:wrapPolygon edited="0">
                            <wp:start x="0" y="0"/>
                            <wp:lineTo x="0" y="21405"/>
                            <wp:lineTo x="21533" y="21405"/>
                            <wp:lineTo x="21533"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A83C94">
                    <w:rPr>
                      <w:rFonts w:cs="Sylfaen"/>
                      <w:i/>
                      <w:sz w:val="18"/>
                      <w:szCs w:val="18"/>
                      <w:lang w:val="hy-AM" w:eastAsia="en-US"/>
                    </w:rPr>
                    <w:t>Գծապատկեր 1.27.</w:t>
                  </w:r>
                  <w:r w:rsidRPr="00A83C94">
                    <w:rPr>
                      <w:rFonts w:cs="Sylfaen"/>
                      <w:b w:val="0"/>
                      <w:i/>
                      <w:sz w:val="18"/>
                      <w:szCs w:val="18"/>
                      <w:lang w:val="hy-AM" w:eastAsia="en-US"/>
                    </w:rPr>
                    <w:t xml:space="preserve"> ՀՀ իրական և անվանական արդյունավետ փոխարժեքների կուտակային տ/տ աճերի դինամիկան</w:t>
                  </w:r>
                </w:p>
                <w:p w14:paraId="702E7CFF" w14:textId="77777777" w:rsidR="00027FBF" w:rsidRPr="00A83C94" w:rsidRDefault="00027FBF" w:rsidP="00027FBF">
                  <w:pPr>
                    <w:tabs>
                      <w:tab w:val="left" w:pos="0"/>
                      <w:tab w:val="num" w:pos="720"/>
                    </w:tabs>
                    <w:spacing w:before="0" w:line="276" w:lineRule="auto"/>
                    <w:ind w:firstLine="0"/>
                    <w:rPr>
                      <w:rFonts w:cs="Sylfaen"/>
                      <w:b w:val="0"/>
                      <w:sz w:val="16"/>
                      <w:szCs w:val="16"/>
                      <w:lang w:val="hy-AM" w:eastAsia="en-US"/>
                    </w:rPr>
                  </w:pPr>
                  <w:r w:rsidRPr="00A83C94">
                    <w:rPr>
                      <w:b w:val="0"/>
                      <w:i/>
                      <w:sz w:val="16"/>
                      <w:szCs w:val="16"/>
                      <w:lang w:val="hy-AM"/>
                    </w:rPr>
                    <w:t>Աղբյուրը՝ ՀՀ ԿԲ, ՀՀ ՖՆ հաշվարկներ</w:t>
                  </w:r>
                </w:p>
              </w:tc>
            </w:tr>
          </w:tbl>
          <w:p w14:paraId="7FD44F7D" w14:textId="77777777" w:rsidR="00027FBF" w:rsidRPr="00A83C94" w:rsidRDefault="00027FBF" w:rsidP="00027FBF">
            <w:pPr>
              <w:spacing w:before="0" w:line="240" w:lineRule="auto"/>
              <w:ind w:firstLine="0"/>
              <w:contextualSpacing w:val="0"/>
              <w:jc w:val="left"/>
              <w:rPr>
                <w:rFonts w:cs="Sylfaen"/>
                <w:b w:val="0"/>
                <w:sz w:val="18"/>
                <w:szCs w:val="18"/>
                <w:lang w:val="hy-AM" w:eastAsia="en-US"/>
              </w:rPr>
            </w:pPr>
          </w:p>
        </w:tc>
        <w:tc>
          <w:tcPr>
            <w:tcW w:w="5090" w:type="dxa"/>
          </w:tcPr>
          <w:p w14:paraId="0EFA6866" w14:textId="77777777" w:rsidR="00027FBF" w:rsidRPr="00A83C94" w:rsidRDefault="00027FBF" w:rsidP="00027FBF">
            <w:pPr>
              <w:spacing w:before="0" w:line="240" w:lineRule="auto"/>
              <w:ind w:right="217" w:firstLine="0"/>
              <w:contextualSpacing w:val="0"/>
              <w:rPr>
                <w:rFonts w:cs="Sylfaen"/>
                <w:b w:val="0"/>
                <w:i/>
                <w:noProof/>
                <w:sz w:val="18"/>
                <w:szCs w:val="18"/>
                <w:lang w:val="hy-AM" w:eastAsia="en-US"/>
              </w:rPr>
            </w:pPr>
          </w:p>
        </w:tc>
      </w:tr>
    </w:tbl>
    <w:p w14:paraId="536DFA38"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p>
    <w:p w14:paraId="3D250BD6"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r w:rsidRPr="00A83C94">
        <w:rPr>
          <w:rFonts w:eastAsia="Calibri"/>
          <w:bCs/>
          <w:sz w:val="24"/>
          <w:lang w:val="hy-AM" w:eastAsia="en-US"/>
        </w:rPr>
        <w:t xml:space="preserve">1.3.5. Գնաճ և դրամավարկային քաղաքականություն </w:t>
      </w:r>
    </w:p>
    <w:p w14:paraId="5143F43F" w14:textId="77777777" w:rsidR="00027FBF" w:rsidRPr="00A83C94" w:rsidRDefault="00027FBF" w:rsidP="00027FBF">
      <w:pPr>
        <w:spacing w:after="120" w:line="276" w:lineRule="auto"/>
        <w:rPr>
          <w:rFonts w:eastAsia="Calibri" w:cs="Sylfaen"/>
          <w:b w:val="0"/>
          <w:szCs w:val="22"/>
          <w:lang w:val="hy-AM" w:eastAsia="en-US"/>
        </w:rPr>
      </w:pPr>
      <w:r w:rsidRPr="00A83C94">
        <w:rPr>
          <w:rFonts w:eastAsia="Calibri" w:cs="Sylfaen"/>
          <w:bCs/>
          <w:szCs w:val="22"/>
          <w:lang w:val="hy-AM"/>
        </w:rPr>
        <w:t>2020 թվականին ՀՀ սպառողական շուկայում ցածր գնաճային միջավայրը պահպանվել է մինչև նոյեմբեր ամիսը, իսկ դեկտեմբերին գնաճը մոտեցել է իր նպատակային ցուցանիշին:</w:t>
      </w:r>
      <w:r w:rsidRPr="00A83C94">
        <w:rPr>
          <w:rFonts w:eastAsia="Calibri" w:cs="Sylfaen"/>
          <w:b w:val="0"/>
          <w:szCs w:val="22"/>
          <w:lang w:val="hy-AM"/>
        </w:rPr>
        <w:t xml:space="preserve"> 12-ամսյա գնաճը դեկտեմբերին կազմել է 3.7%, իսկ միջին գնաճը՝ 1.2%։ 2020թ դեկտեմբերի գնաճի կտրուկ արագացումը հիմնականում պայմանավորված էր առաջարկի գործոններով՝  մեծամասամբ ՀՀ դրամի արժեզրկմամբ և միջազգային գների աճով:</w:t>
      </w:r>
    </w:p>
    <w:p w14:paraId="36FDF71E" w14:textId="77777777" w:rsidR="00027FBF" w:rsidRPr="00A83C94" w:rsidRDefault="00027FBF" w:rsidP="00027FBF">
      <w:pPr>
        <w:spacing w:before="0" w:after="120" w:line="276" w:lineRule="auto"/>
        <w:ind w:firstLine="720"/>
        <w:contextualSpacing w:val="0"/>
        <w:rPr>
          <w:sz w:val="24"/>
          <w:lang w:val="hy-AM"/>
        </w:rPr>
      </w:pPr>
      <w:r w:rsidRPr="00A83C94">
        <w:rPr>
          <w:rFonts w:cs="Sylfaen"/>
          <w:bCs/>
          <w:szCs w:val="22"/>
          <w:lang w:val="hy-AM" w:eastAsia="en-US"/>
        </w:rPr>
        <w:lastRenderedPageBreak/>
        <w:t>2021թ. հունվար-օգոստոս ամիսներին գնաճը նախորդ տարվա նույն ժամանակահատվածի համեմատ արագացել է՝ կազմելով 8.8%, 1.8%-ի համեմատ։</w:t>
      </w:r>
      <w:r w:rsidRPr="00A83C94">
        <w:rPr>
          <w:rFonts w:cs="Sylfaen"/>
          <w:b w:val="0"/>
          <w:szCs w:val="22"/>
          <w:lang w:val="hy-AM" w:eastAsia="en-US"/>
        </w:rPr>
        <w:t xml:space="preserve"> Տարվա ընթացքում բարձր գնաճային միջավայրը պայմանավորված էր հիմնականում պարենային և հումքային ապրանքների միջազգային գների բարձրացումով, ՀՀ դրամի արժեզրկմամբ և որոշ սեզոնային ապրանքների (մասնավորապես բանջարեղենի) գների աճի արագացմամբ:</w:t>
      </w:r>
    </w:p>
    <w:p w14:paraId="47FE18C2" w14:textId="77777777" w:rsidR="00027FBF" w:rsidRPr="00A83C94" w:rsidRDefault="00027FBF" w:rsidP="00027FBF">
      <w:pPr>
        <w:spacing w:before="0" w:after="120" w:line="276" w:lineRule="auto"/>
        <w:ind w:firstLine="720"/>
        <w:contextualSpacing w:val="0"/>
        <w:rPr>
          <w:rFonts w:eastAsia="Calibri"/>
          <w:b w:val="0"/>
          <w:szCs w:val="22"/>
          <w:lang w:val="hy-AM" w:eastAsia="en-US"/>
        </w:rPr>
      </w:pPr>
      <w:r w:rsidRPr="00A83C94">
        <w:rPr>
          <w:rFonts w:eastAsia="Calibri"/>
          <w:szCs w:val="22"/>
          <w:lang w:val="hy-AM" w:eastAsia="en-US"/>
        </w:rPr>
        <w:t>2020թ</w:t>
      </w:r>
      <w:r w:rsidRPr="00A83C94">
        <w:rPr>
          <w:rFonts w:eastAsia="Calibri" w:cs="Cambria Math"/>
          <w:szCs w:val="22"/>
          <w:lang w:val="hy-AM" w:eastAsia="en-US"/>
        </w:rPr>
        <w:t>.</w:t>
      </w:r>
      <w:r w:rsidRPr="00A83C94">
        <w:rPr>
          <w:rFonts w:eastAsia="Calibri"/>
          <w:szCs w:val="22"/>
          <w:lang w:val="hy-AM" w:eastAsia="en-US"/>
        </w:rPr>
        <w:t xml:space="preserve"> ՀՀ կենտրոնական բանկի դրամավարկային քաղաքականությունն ունեցել է խթանող ուղղվածություն։ </w:t>
      </w:r>
      <w:r w:rsidRPr="00A83C94">
        <w:rPr>
          <w:rFonts w:eastAsia="Calibri" w:cs="Sylfaen"/>
          <w:b w:val="0"/>
          <w:szCs w:val="22"/>
          <w:lang w:val="hy-AM"/>
        </w:rPr>
        <w:t xml:space="preserve">2020 թվականին գնաճի դանդաղմանը և համավարակի տարածման բացասական ազդեցություներին հակազդելու նպատակով ՀՀ Կենտրոնական բանկն իջեցրել է վերաֆինանսավորման տոկոսադրույքը ընդհանուր առմամբ 1.25 տոկոսային կետով՝ իրականացնելով խթանող դրամավարկային քաղաքականություն: Սակայն 2020թ. դեկտեմբերի 15-ին, պայմանավորված գնաճի և գնաճային սպասումների արագացմամբ, ինչպես նաև արտաքին հատվածից սպասվող գնաճային զարգացումներով ՀՀ ԿԲ-ն կտրուկ բարձրացրել է վերաֆինանսավորման տոկոսադրույքը 1.0 տոկոսային կետով՝ սահմանելով այն 5.25%: </w:t>
      </w:r>
    </w:p>
    <w:p w14:paraId="7A08A2AA" w14:textId="77777777" w:rsidR="00027FBF" w:rsidRPr="00A83C94" w:rsidRDefault="00027FBF" w:rsidP="00027FBF">
      <w:pPr>
        <w:spacing w:before="40" w:after="120" w:line="276" w:lineRule="auto"/>
        <w:contextualSpacing w:val="0"/>
        <w:rPr>
          <w:rFonts w:eastAsia="Calibri"/>
          <w:b w:val="0"/>
          <w:szCs w:val="22"/>
          <w:lang w:val="hy-AM" w:eastAsia="en-US"/>
        </w:rPr>
      </w:pPr>
      <w:r w:rsidRPr="00A83C94">
        <w:rPr>
          <w:rFonts w:eastAsia="Calibri"/>
          <w:bCs/>
          <w:szCs w:val="22"/>
          <w:lang w:val="hy-AM" w:eastAsia="en-US"/>
        </w:rPr>
        <w:t>Գնաճի արագացմանը հակազդելու նպատակով 2021թ. ընթացքում ՀՀ ԿԲ-ն խստացրել է դրամավարկային պայմանները։</w:t>
      </w:r>
      <w:r w:rsidRPr="00A83C94">
        <w:rPr>
          <w:rFonts w:eastAsia="Calibri"/>
          <w:b w:val="0"/>
          <w:szCs w:val="22"/>
          <w:lang w:val="hy-AM" w:eastAsia="en-US"/>
        </w:rPr>
        <w:t xml:space="preserve"> 2021թ. հունվար–սեպտեմբեր ամիսներին ՀՀ ԿԲ-ը շարունակել է բարձրացնել վերաֆինանսավորման տոկոսադրույքը ընդհանուր առմամբ 2 տոկոսային կետով` բարձր գնաճային սպասումները և հասարակության մոտ ձևավորված անորոշությունը նվազեցնելու նպատակով: Բացի դրանից ՀՀ առևտային բանկերի համար բարձրացվել է ՀՀ դրամով պարտադիր պահուստավորման նորմատիվը (որը 0 տոկոսից սահմանվել է 2 տոկոս), </w:t>
      </w:r>
      <w:r w:rsidRPr="00A83C94">
        <w:rPr>
          <w:b w:val="0"/>
          <w:szCs w:val="22"/>
          <w:lang w:val="hy-AM" w:eastAsia="en-US"/>
        </w:rPr>
        <w:t>ինչպես նաև իրականացրել մակրոպրուդենցիալ քաղաքականության այլ միջոցառումներ</w:t>
      </w:r>
      <w:r w:rsidRPr="00A83C94">
        <w:rPr>
          <w:rFonts w:eastAsia="Calibri"/>
          <w:b w:val="0"/>
          <w:szCs w:val="22"/>
          <w:lang w:val="hy-AM" w:eastAsia="en-US"/>
        </w:rPr>
        <w:t>։</w:t>
      </w:r>
    </w:p>
    <w:p w14:paraId="38554BF2" w14:textId="77777777" w:rsidR="00027FBF" w:rsidRPr="00A83C94" w:rsidRDefault="00027FBF" w:rsidP="00027FBF">
      <w:pPr>
        <w:spacing w:before="40" w:after="120" w:line="276" w:lineRule="auto"/>
        <w:contextualSpacing w:val="0"/>
        <w:rPr>
          <w:b w:val="0"/>
          <w:szCs w:val="22"/>
          <w:lang w:val="hy-AM" w:eastAsia="en-US"/>
        </w:rPr>
      </w:pPr>
      <w:r w:rsidRPr="00A83C94">
        <w:rPr>
          <w:rFonts w:eastAsia="Calibri"/>
          <w:b w:val="0"/>
          <w:szCs w:val="22"/>
          <w:lang w:val="hy-AM" w:eastAsia="en-US"/>
        </w:rPr>
        <w:t xml:space="preserve">Փողի շուկայի տոկոսադրույքների ձևավորումը վերաֆինանսավորման տոկոսադրույքի շուրջ ապահովելու համար ԿԲ-ն շարունակել է բավարարել իրացվելիության նկատմամբ բանկային համակարգի պահանջարկը՝ ռեպո գործարքների միջոցով ավելացնելով զուտ իրացվելիության ներարկման չափը։ </w:t>
      </w:r>
      <w:r w:rsidRPr="00A83C94">
        <w:rPr>
          <w:b w:val="0"/>
          <w:szCs w:val="22"/>
          <w:lang w:val="hy-AM" w:eastAsia="en-US"/>
        </w:rPr>
        <w:t xml:space="preserve"> </w:t>
      </w:r>
    </w:p>
    <w:p w14:paraId="3B4F43E1" w14:textId="77777777" w:rsidR="00027FBF" w:rsidRPr="00A83C94" w:rsidRDefault="00027FBF" w:rsidP="00027FBF">
      <w:pPr>
        <w:spacing w:before="0" w:after="120" w:line="276" w:lineRule="auto"/>
        <w:contextualSpacing w:val="0"/>
        <w:rPr>
          <w:rFonts w:ascii="Times New Roman" w:eastAsiaTheme="minorHAnsi" w:hAnsi="Times New Roman"/>
          <w:b w:val="0"/>
          <w:sz w:val="24"/>
          <w:lang w:val="hy-AM" w:eastAsia="hy-AM"/>
        </w:rPr>
      </w:pPr>
      <w:r w:rsidRPr="00A83C94">
        <w:rPr>
          <w:rFonts w:eastAsia="Calibri" w:cs="Sylfaen"/>
          <w:szCs w:val="22"/>
          <w:u w:val="single"/>
          <w:lang w:val="hy-AM" w:eastAsia="en-US"/>
        </w:rPr>
        <w:t>Կանխատեսում.</w:t>
      </w:r>
      <w:r w:rsidRPr="00A83C94">
        <w:rPr>
          <w:rFonts w:eastAsia="Calibri" w:cs="Sylfaen"/>
          <w:b w:val="0"/>
          <w:szCs w:val="22"/>
          <w:lang w:val="hy-AM" w:eastAsia="en-US"/>
        </w:rPr>
        <w:t xml:space="preserve"> ԿԲ-ն կարճաժամկետ հատվածում անհրաժեշտ է համարում շարունակել որդեգրած դրամավարկային քաղաքականությունը, որն ուղղված կլինի գնաճային սպասումների արագացման ռիսկերի չեզոքացմանը՝ միևնույն ժամանակ ապահովելով հնարավորին նպաստավոր պայմաններ ամբողջական պահանջարկի վերականգնման համար, իսկ ցանկացած ռիսկերի դրսևորման պարագայում պատրաստ է համապատասխանորեն արձագանքել՝ միջնաժամկետ հատվածում գնաճի նպատակային ցուցանիշին հասնելու նպատակով</w:t>
      </w:r>
      <w:r w:rsidRPr="00A83C94">
        <w:rPr>
          <w:rFonts w:eastAsia="Calibri" w:cs="Sylfaen"/>
          <w:vertAlign w:val="superscript"/>
          <w:lang w:val="hy-AM"/>
        </w:rPr>
        <w:footnoteReference w:id="10"/>
      </w:r>
      <w:r w:rsidRPr="00A83C94">
        <w:rPr>
          <w:rFonts w:eastAsia="Calibri" w:cs="Sylfaen"/>
          <w:lang w:val="hy-AM"/>
        </w:rPr>
        <w:t>:</w:t>
      </w:r>
      <w:r w:rsidRPr="00A83C94">
        <w:rPr>
          <w:rFonts w:eastAsiaTheme="minorHAnsi"/>
          <w:lang w:val="hy-AM" w:eastAsia="hy-AM"/>
        </w:rPr>
        <w:t xml:space="preserve"> </w:t>
      </w:r>
    </w:p>
    <w:p w14:paraId="6AEBD4B8" w14:textId="77777777" w:rsidR="00027FBF" w:rsidRPr="00A83C94" w:rsidRDefault="00027FBF" w:rsidP="00027FBF">
      <w:pPr>
        <w:spacing w:before="0" w:after="120" w:line="276" w:lineRule="auto"/>
        <w:contextualSpacing w:val="0"/>
        <w:rPr>
          <w:rFonts w:eastAsia="Calibri" w:cs="Sylfaen"/>
          <w:b w:val="0"/>
          <w:szCs w:val="22"/>
          <w:lang w:val="hy-AM" w:eastAsia="en-US"/>
        </w:rPr>
      </w:pPr>
    </w:p>
    <w:p w14:paraId="744C89B5" w14:textId="77777777" w:rsidR="00027FBF" w:rsidRPr="00A83C94" w:rsidRDefault="00027FBF" w:rsidP="00027FBF">
      <w:pPr>
        <w:keepNext/>
        <w:keepLines/>
        <w:spacing w:before="0" w:after="120" w:line="276" w:lineRule="auto"/>
        <w:ind w:firstLine="0"/>
        <w:contextualSpacing w:val="0"/>
        <w:rPr>
          <w:rFonts w:cs="Sylfaen"/>
          <w:b w:val="0"/>
          <w:i/>
          <w:sz w:val="20"/>
          <w:szCs w:val="20"/>
          <w:lang w:val="hy-AM" w:eastAsia="en-US"/>
        </w:rPr>
      </w:pPr>
      <w:r w:rsidRPr="00A83C94">
        <w:rPr>
          <w:rFonts w:cs="Sylfaen"/>
          <w:i/>
          <w:szCs w:val="22"/>
          <w:lang w:val="hy-AM" w:eastAsia="en-US"/>
        </w:rPr>
        <w:lastRenderedPageBreak/>
        <w:t>Գծապատկեր 1.28.</w:t>
      </w:r>
      <w:r w:rsidRPr="00A83C94">
        <w:rPr>
          <w:rFonts w:cs="Sylfaen"/>
          <w:i/>
          <w:sz w:val="21"/>
          <w:szCs w:val="21"/>
          <w:lang w:val="hy-AM" w:eastAsia="en-US"/>
        </w:rPr>
        <w:t xml:space="preserve"> </w:t>
      </w:r>
      <w:r w:rsidRPr="00A83C94">
        <w:rPr>
          <w:rFonts w:cs="Sylfaen"/>
          <w:b w:val="0"/>
          <w:i/>
          <w:sz w:val="20"/>
          <w:szCs w:val="20"/>
          <w:lang w:val="hy-AM" w:eastAsia="en-US"/>
        </w:rPr>
        <w:t>Սպառողական գների աճը, դրամավարկային քաղաքականության հիմնական ցուցանիշները 2017-2021թթ. և գնաճի կանխատեսումները 2020-2022թթ.</w:t>
      </w:r>
    </w:p>
    <w:p w14:paraId="374BD021" w14:textId="77777777" w:rsidR="00027FBF" w:rsidRPr="00A83C94" w:rsidRDefault="00027FBF" w:rsidP="00027FBF">
      <w:pPr>
        <w:spacing w:before="0" w:line="240" w:lineRule="auto"/>
        <w:ind w:firstLine="0"/>
        <w:contextualSpacing w:val="0"/>
        <w:jc w:val="left"/>
        <w:rPr>
          <w:rFonts w:cs="Sylfaen"/>
          <w:noProof/>
          <w:sz w:val="24"/>
          <w:lang w:val="hy-AM" w:eastAsia="en-US"/>
        </w:rPr>
      </w:pPr>
      <w:r w:rsidRPr="00A83C94">
        <w:rPr>
          <w:rFonts w:cs="Sylfaen"/>
          <w:noProof/>
          <w:sz w:val="24"/>
          <w:lang w:val="en-US" w:eastAsia="en-US"/>
        </w:rPr>
        <w:drawing>
          <wp:inline distT="0" distB="0" distL="0" distR="0" wp14:anchorId="0F18B0F7" wp14:editId="4149A914">
            <wp:extent cx="3024000" cy="1980000"/>
            <wp:effectExtent l="0" t="0" r="5080"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A83C94">
        <w:rPr>
          <w:rFonts w:cs="Sylfaen"/>
          <w:noProof/>
          <w:sz w:val="24"/>
          <w:lang w:val="hy-AM" w:eastAsia="en-US"/>
        </w:rPr>
        <w:t xml:space="preserve"> </w:t>
      </w:r>
      <w:r w:rsidRPr="00A83C94">
        <w:rPr>
          <w:rFonts w:cs="Sylfaen"/>
          <w:noProof/>
          <w:sz w:val="24"/>
          <w:lang w:val="en-US" w:eastAsia="en-US"/>
        </w:rPr>
        <w:drawing>
          <wp:inline distT="0" distB="0" distL="0" distR="0" wp14:anchorId="41E84AB1" wp14:editId="07864DC2">
            <wp:extent cx="3024000" cy="1980000"/>
            <wp:effectExtent l="0" t="0" r="508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A83C94">
        <w:rPr>
          <w:rFonts w:cs="Sylfaen"/>
          <w:noProof/>
          <w:sz w:val="24"/>
          <w:lang w:val="en-US" w:eastAsia="en-US"/>
        </w:rPr>
        <w:drawing>
          <wp:inline distT="0" distB="0" distL="0" distR="0" wp14:anchorId="4661BCB4" wp14:editId="2E912C32">
            <wp:extent cx="6102000" cy="485775"/>
            <wp:effectExtent l="0" t="0" r="1333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27C40B3" w14:textId="77777777" w:rsidR="00027FBF" w:rsidRPr="00A83C94" w:rsidRDefault="00027FBF" w:rsidP="00027FBF">
      <w:pPr>
        <w:spacing w:before="0" w:line="240" w:lineRule="auto"/>
        <w:ind w:firstLine="0"/>
        <w:contextualSpacing w:val="0"/>
        <w:jc w:val="left"/>
        <w:rPr>
          <w:rFonts w:eastAsia="Calibri" w:cs="Sylfaen"/>
          <w:b w:val="0"/>
          <w:i/>
          <w:sz w:val="24"/>
          <w:lang w:val="hy-AM" w:eastAsia="en-US"/>
        </w:rPr>
      </w:pPr>
      <w:r w:rsidRPr="00A83C94">
        <w:rPr>
          <w:rFonts w:cs="Sylfaen"/>
          <w:noProof/>
          <w:sz w:val="24"/>
          <w:lang w:val="en-US" w:eastAsia="en-US"/>
        </w:rPr>
        <w:drawing>
          <wp:inline distT="0" distB="0" distL="0" distR="0" wp14:anchorId="125935BC" wp14:editId="036F3049">
            <wp:extent cx="6102000" cy="2160000"/>
            <wp:effectExtent l="0" t="0" r="13335" b="120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3CB1481" w14:textId="77777777" w:rsidR="00027FBF" w:rsidRPr="00A83C94" w:rsidRDefault="00027FBF" w:rsidP="00027FBF">
      <w:pPr>
        <w:spacing w:before="0" w:line="240" w:lineRule="auto"/>
        <w:ind w:firstLine="0"/>
        <w:contextualSpacing w:val="0"/>
        <w:jc w:val="left"/>
        <w:rPr>
          <w:rFonts w:eastAsia="Calibri" w:cs="Sylfaen"/>
          <w:b w:val="0"/>
          <w:i/>
          <w:sz w:val="24"/>
          <w:lang w:val="hy-AM" w:eastAsia="en-US"/>
        </w:rPr>
      </w:pPr>
      <w:r w:rsidRPr="00A83C94">
        <w:rPr>
          <w:rFonts w:ascii="Times New Roman" w:hAnsi="Times New Roman"/>
          <w:b w:val="0"/>
          <w:noProof/>
          <w:sz w:val="24"/>
          <w:lang w:val="en-US" w:eastAsia="en-US"/>
        </w:rPr>
        <w:drawing>
          <wp:inline distT="0" distB="0" distL="0" distR="0" wp14:anchorId="5B9C22D4" wp14:editId="0FF115B5">
            <wp:extent cx="3024000" cy="1980000"/>
            <wp:effectExtent l="0" t="0" r="5080" b="12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A83C94">
        <w:rPr>
          <w:rFonts w:eastAsia="Calibri" w:cs="Sylfaen"/>
          <w:b w:val="0"/>
          <w:i/>
          <w:sz w:val="24"/>
          <w:lang w:val="hy-AM" w:eastAsia="en-US"/>
        </w:rPr>
        <w:t xml:space="preserve"> </w:t>
      </w:r>
      <w:r w:rsidRPr="00A83C94">
        <w:rPr>
          <w:rFonts w:ascii="Times New Roman" w:hAnsi="Times New Roman"/>
          <w:b w:val="0"/>
          <w:noProof/>
          <w:sz w:val="24"/>
          <w:lang w:val="en-US" w:eastAsia="en-US"/>
        </w:rPr>
        <w:drawing>
          <wp:inline distT="0" distB="0" distL="0" distR="0" wp14:anchorId="2EDA6971" wp14:editId="0C0BDFBB">
            <wp:extent cx="3024000" cy="1980000"/>
            <wp:effectExtent l="0" t="0" r="5080" b="12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0DE6DE8" w14:textId="77777777" w:rsidR="00027FBF" w:rsidRPr="00A83C94" w:rsidRDefault="00027FBF" w:rsidP="00027FBF">
      <w:pPr>
        <w:tabs>
          <w:tab w:val="left" w:pos="0"/>
          <w:tab w:val="num" w:pos="720"/>
        </w:tabs>
        <w:spacing w:before="0" w:line="276" w:lineRule="auto"/>
        <w:ind w:firstLine="0"/>
        <w:rPr>
          <w:rFonts w:eastAsia="Calibri"/>
          <w:b w:val="0"/>
          <w:i/>
          <w:sz w:val="16"/>
          <w:szCs w:val="16"/>
          <w:lang w:val="hy-AM"/>
        </w:rPr>
      </w:pPr>
      <w:r w:rsidRPr="00A83C94">
        <w:rPr>
          <w:rFonts w:eastAsia="Calibri"/>
          <w:b w:val="0"/>
          <w:i/>
          <w:sz w:val="16"/>
          <w:szCs w:val="16"/>
          <w:lang w:val="hy-AM"/>
        </w:rPr>
        <w:t xml:space="preserve">Աղբյուրը՝ ՀՀ ԿԲ, ՀՀ ՖՆ հաշվարկներ և կանխատեսումներ </w:t>
      </w:r>
    </w:p>
    <w:p w14:paraId="302B3D57" w14:textId="77777777" w:rsidR="00027FBF" w:rsidRPr="00A83C94" w:rsidRDefault="00027FBF" w:rsidP="00027FBF">
      <w:pPr>
        <w:spacing w:before="0"/>
        <w:rPr>
          <w:rFonts w:eastAsia="Calibri" w:cs="Sylfaen"/>
          <w:b w:val="0"/>
          <w:i/>
          <w:sz w:val="18"/>
          <w:szCs w:val="18"/>
          <w:lang w:val="hy-AM"/>
        </w:rPr>
      </w:pPr>
      <w:r w:rsidRPr="00A83C94">
        <w:rPr>
          <w:rFonts w:eastAsia="Calibri"/>
          <w:b w:val="0"/>
          <w:bCs/>
          <w:lang w:val="hy-AM"/>
        </w:rPr>
        <w:br w:type="page"/>
      </w:r>
    </w:p>
    <w:p w14:paraId="05DD0734" w14:textId="77777777" w:rsidR="00027FBF" w:rsidRPr="00A83C94" w:rsidRDefault="00027FBF" w:rsidP="00027FBF">
      <w:pPr>
        <w:keepNext/>
        <w:keepLines/>
        <w:spacing w:before="0" w:line="276" w:lineRule="auto"/>
        <w:outlineLvl w:val="2"/>
        <w:rPr>
          <w:b w:val="0"/>
          <w:bCs/>
          <w:sz w:val="24"/>
          <w:lang w:val="hy-AM"/>
        </w:rPr>
      </w:pPr>
      <w:bookmarkStart w:id="31" w:name="_Toc46760406"/>
      <w:bookmarkStart w:id="32" w:name="_Toc51947415"/>
      <w:bookmarkStart w:id="33" w:name="_Toc52452088"/>
      <w:bookmarkStart w:id="34" w:name="_Toc57559415"/>
      <w:bookmarkStart w:id="35" w:name="_Toc83663897"/>
      <w:bookmarkStart w:id="36" w:name="_Toc83972833"/>
      <w:bookmarkStart w:id="37" w:name="_Toc89428288"/>
      <w:bookmarkEnd w:id="27"/>
      <w:r w:rsidRPr="00A83C94">
        <w:rPr>
          <w:bCs/>
          <w:sz w:val="24"/>
          <w:lang w:val="hy-AM"/>
        </w:rPr>
        <w:lastRenderedPageBreak/>
        <w:t>1.4. ԿԱՆԽԱՏԵՍՈՒՄՆԵՐԻ ՀԻՄՔՈՒՄ ԸՆԿԱԾ ԵՆԹԱԴՐՈՒԹՅՈՒՆՆԵՐԸ</w:t>
      </w:r>
      <w:bookmarkEnd w:id="31"/>
      <w:bookmarkEnd w:id="32"/>
      <w:bookmarkEnd w:id="33"/>
      <w:bookmarkEnd w:id="34"/>
      <w:bookmarkEnd w:id="35"/>
      <w:bookmarkEnd w:id="36"/>
      <w:bookmarkEnd w:id="37"/>
    </w:p>
    <w:p w14:paraId="0B6A0C24" w14:textId="77777777" w:rsidR="00027FBF" w:rsidRPr="00A83C94" w:rsidRDefault="00027FBF" w:rsidP="00027FBF">
      <w:pPr>
        <w:spacing w:after="120" w:line="276" w:lineRule="auto"/>
        <w:ind w:firstLine="709"/>
        <w:contextualSpacing w:val="0"/>
        <w:rPr>
          <w:rFonts w:eastAsia="Calibri" w:cs="Sylfaen"/>
          <w:b w:val="0"/>
          <w:bCs/>
          <w:szCs w:val="22"/>
          <w:lang w:val="hy-AM" w:eastAsia="en-US"/>
        </w:rPr>
      </w:pPr>
      <w:r w:rsidRPr="00A83C94">
        <w:rPr>
          <w:rFonts w:eastAsia="Calibri" w:cs="Sylfaen"/>
          <w:b w:val="0"/>
          <w:bCs/>
          <w:szCs w:val="22"/>
          <w:lang w:val="hy-AM" w:eastAsia="en-US"/>
        </w:rPr>
        <w:t>2022թ</w:t>
      </w:r>
      <w:r w:rsidRPr="00A83C94">
        <w:rPr>
          <w:rFonts w:ascii="Cambria Math" w:eastAsia="Calibri" w:hAnsi="Cambria Math" w:cs="Cambria Math"/>
          <w:b w:val="0"/>
          <w:bCs/>
          <w:szCs w:val="22"/>
          <w:lang w:val="hy-AM" w:eastAsia="en-US"/>
        </w:rPr>
        <w:t>․</w:t>
      </w:r>
      <w:r w:rsidRPr="00A83C94">
        <w:rPr>
          <w:rFonts w:eastAsia="Calibri"/>
          <w:b w:val="0"/>
          <w:bCs/>
          <w:szCs w:val="22"/>
          <w:lang w:val="hy-AM" w:eastAsia="en-US"/>
        </w:rPr>
        <w:t xml:space="preserve"> Բյուջեի</w:t>
      </w:r>
      <w:r w:rsidRPr="00A83C94">
        <w:rPr>
          <w:rFonts w:eastAsia="Calibri" w:cs="Sylfaen"/>
          <w:b w:val="0"/>
          <w:bCs/>
          <w:szCs w:val="22"/>
          <w:lang w:val="hy-AM" w:eastAsia="en-US"/>
        </w:rPr>
        <w:t xml:space="preserve">  մակրոտնտեսական շրջանակի կանխատեսումներն իրականացվել են ՀՀ ՖՆ կողմից՝ կիրառելով տնտեսաչափական մոդելներ, և առանձին շոկերի և հարկաբյուջետային միջոցառումների ազդեցությունների գնահատման համար՝ ՀՀ ՖՆ հարկաբյուջետային քաղաքականության դինամիկ ստոխաստիկ ընդհանուր հավասարակշռության (The Fiscal Strategy Model: A Structural Framework for Fiscal Policy Analysis in Armenia) մոդելը</w:t>
      </w:r>
      <w:r w:rsidRPr="00A83C94">
        <w:rPr>
          <w:rFonts w:eastAsia="Calibri"/>
          <w:b w:val="0"/>
          <w:szCs w:val="22"/>
          <w:vertAlign w:val="superscript"/>
          <w:lang w:val="es-ES" w:eastAsia="en-US"/>
        </w:rPr>
        <w:footnoteReference w:id="11"/>
      </w:r>
      <w:r w:rsidRPr="00A83C94">
        <w:rPr>
          <w:rFonts w:eastAsia="Calibri"/>
          <w:b w:val="0"/>
          <w:szCs w:val="22"/>
          <w:vertAlign w:val="superscript"/>
          <w:lang w:val="es-ES" w:eastAsia="en-US"/>
        </w:rPr>
        <w:t xml:space="preserve">, </w:t>
      </w:r>
      <w:r w:rsidRPr="00A83C94">
        <w:rPr>
          <w:rFonts w:eastAsia="Calibri" w:cs="Sylfaen"/>
          <w:b w:val="0"/>
          <w:bCs/>
          <w:szCs w:val="22"/>
          <w:lang w:val="hy-AM" w:eastAsia="en-US"/>
        </w:rPr>
        <w:t>որոնց համար տեղեկատվական հիմք են հանդիսացել նեքին և արտաքին ընթացիկ տնտեսական և ֆինանսական զարգացումները, ՀՀ կառավարության 2021-2026թթ. ծրագրով նախատեսված բարձր տնտեսական աճի ապահովմանն ուղղված քաղաքականությունները,  Արցախյան պատերազմի տնտեսական հետևանքների վերաբերյալ ՀՀ ՖՆ գնահատականները, ինչպես նաև ՀՀ գործընկեր երկրների տնտեսական  զարգացումների և հումքային ապրանքների համաշխարհային գների միջազգային կառույցների կողմից արված կանխատեսումները: Մասնավորապես՝</w:t>
      </w:r>
    </w:p>
    <w:p w14:paraId="7E608808" w14:textId="77777777" w:rsidR="00027FBF" w:rsidRPr="00A83C94" w:rsidRDefault="00027FBF" w:rsidP="00027FBF">
      <w:pPr>
        <w:numPr>
          <w:ilvl w:val="0"/>
          <w:numId w:val="54"/>
        </w:numPr>
        <w:spacing w:before="0" w:line="276" w:lineRule="auto"/>
        <w:ind w:left="426"/>
        <w:contextualSpacing w:val="0"/>
        <w:jc w:val="left"/>
        <w:rPr>
          <w:rFonts w:eastAsia="Calibri" w:cs="Sylfaen"/>
          <w:bCs/>
          <w:szCs w:val="22"/>
          <w:lang w:val="hy-AM" w:eastAsia="en-US"/>
        </w:rPr>
      </w:pPr>
      <w:r w:rsidRPr="00A83C94">
        <w:rPr>
          <w:rFonts w:eastAsia="Calibri" w:cs="Sylfaen"/>
          <w:bCs/>
          <w:szCs w:val="22"/>
          <w:lang w:val="hy-AM" w:eastAsia="en-US"/>
        </w:rPr>
        <w:t>Արտաքին  գործոններ.</w:t>
      </w:r>
    </w:p>
    <w:p w14:paraId="584F9BA2" w14:textId="77777777" w:rsidR="00027FBF" w:rsidRPr="00A83C94" w:rsidRDefault="00027FBF" w:rsidP="00027FBF">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cs="Sylfaen"/>
          <w:b w:val="0"/>
          <w:bCs/>
          <w:szCs w:val="22"/>
          <w:lang w:val="hy-AM" w:eastAsia="en-US"/>
        </w:rPr>
        <w:t>2021թ</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 համար հայտարարված խոշոր հարկաբյուջետային աջակցությունը կխթանի զարգացած երկրների տնտեսական ակտիվությունը, ինչը կստեղծի դրական երկրորդային ազդեցություններ առևտրային գործընկերների համար: </w:t>
      </w:r>
      <w:r w:rsidRPr="00A83C94">
        <w:rPr>
          <w:rFonts w:cs="Courier New"/>
          <w:b w:val="0"/>
          <w:szCs w:val="22"/>
          <w:lang w:val="hy-AM" w:eastAsia="en-US"/>
        </w:rPr>
        <w:t>Համավարակի հաղթահարման նպատակով կիրառվող</w:t>
      </w:r>
      <w:r w:rsidRPr="00A83C94">
        <w:rPr>
          <w:rFonts w:eastAsia="Calibri" w:cs="Sylfaen"/>
          <w:b w:val="0"/>
          <w:bCs/>
          <w:szCs w:val="22"/>
          <w:lang w:val="hy-AM" w:eastAsia="en-US"/>
        </w:rPr>
        <w:t xml:space="preserve"> պատվաստանյութերը լայնորեն մատչելի կլինեն զարգացած, ինչպես նաև որոշ զարգացող երկրներում,</w:t>
      </w:r>
      <w:r w:rsidRPr="00A83C94">
        <w:rPr>
          <w:rFonts w:cs="Courier New"/>
          <w:b w:val="0"/>
          <w:szCs w:val="22"/>
          <w:lang w:val="hy-AM" w:eastAsia="en-US"/>
        </w:rPr>
        <w:t xml:space="preserve"> տնտեսական սահմանափակումներն աստիճանաբար կհանվեն:</w:t>
      </w:r>
      <w:r w:rsidRPr="00A83C94">
        <w:rPr>
          <w:rFonts w:eastAsia="Calibri" w:cs="Sylfaen"/>
          <w:b w:val="0"/>
          <w:bCs/>
          <w:szCs w:val="22"/>
          <w:lang w:val="hy-AM" w:eastAsia="en-US"/>
        </w:rPr>
        <w:t xml:space="preserve"> Այս պայմաններում ԱՄՀ կանխատեսումների համաձայն 2021թ.  ՀՀ հիմ</w:t>
      </w:r>
      <w:r w:rsidRPr="00A83C94">
        <w:rPr>
          <w:rFonts w:eastAsia="Calibri" w:cs="Sylfaen"/>
          <w:b w:val="0"/>
          <w:bCs/>
          <w:szCs w:val="22"/>
          <w:lang w:val="hy-AM" w:eastAsia="en-US"/>
        </w:rPr>
        <w:softHyphen/>
        <w:t>նական գործընկեր երկրների արտաքին պահանջարկը կաճի 4.9%-ով</w:t>
      </w:r>
      <w:r w:rsidRPr="00A83C94">
        <w:rPr>
          <w:rFonts w:eastAsia="Calibri"/>
          <w:b w:val="0"/>
          <w:sz w:val="24"/>
          <w:vertAlign w:val="superscript"/>
          <w:lang w:val="es-ES" w:eastAsia="en-US"/>
        </w:rPr>
        <w:footnoteReference w:id="12"/>
      </w:r>
      <w:r w:rsidRPr="00A83C94">
        <w:rPr>
          <w:rFonts w:eastAsia="Calibri" w:cs="Sylfaen"/>
          <w:b w:val="0"/>
          <w:bCs/>
          <w:szCs w:val="22"/>
          <w:lang w:val="hy-AM" w:eastAsia="en-US"/>
        </w:rPr>
        <w:t>:</w:t>
      </w:r>
    </w:p>
    <w:p w14:paraId="01127218" w14:textId="77777777" w:rsidR="00027FBF" w:rsidRPr="00A83C94" w:rsidRDefault="00027FBF" w:rsidP="00027FBF">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cs="Sylfaen"/>
          <w:b w:val="0"/>
          <w:bCs/>
          <w:szCs w:val="22"/>
          <w:lang w:val="hy-AM" w:eastAsia="en-US"/>
        </w:rPr>
        <w:t>2022թ. պատվաստանյութերը լայնորեն հասանելի կլինեն նաև զարգացող երկրների մեծամասնությունում, արդյունքում մինչև 2022թ</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 ավարտը վարակի տարածումն ամենուր կնվազի՝ հասնելով ցածր մակարդակի: Այս համատեքստում, և 2021թ.-ից փոխանցվող դրական տենտեսական և հակաբյուջետային միջոցառումների ազդեցությունների պայմաններում, 2022թ. ՀՀ գործընկեր երկրների տնտեսությունների համար կանխատեսվում  է իրենց նախաճգնաժամային պոտենցիալ աճերից բարձր տնտեսական աճեր՝ նախանշելով վերականգման գործընթացը: Արդյունքում, 2022թ. վերջում տեղի կունենա ՀՀ արտաքին պահանջարկի վերականգնումը, սակայն  նոր՝ նախաճգնաժամային մակարդակից ցածր ներուժային մակարդակի պայմաններում։</w:t>
      </w:r>
    </w:p>
    <w:p w14:paraId="3BAFA6D6" w14:textId="77777777" w:rsidR="00027FBF" w:rsidRPr="00A83C94" w:rsidRDefault="00027FBF" w:rsidP="00027FBF">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b w:val="0"/>
          <w:szCs w:val="22"/>
          <w:lang w:val="hy-AM" w:eastAsia="en-US"/>
        </w:rPr>
        <w:t xml:space="preserve">2021թ. նավթի և պղնձի բորսային գները կգրանցեն բարձր աճեր, պայմանավորված հիմնականում համաշխարհային պահանջարկի վերականգմամբ, նավթի գների բարձրացմանը կնպաստի նաև OPEC+ անդամների միջև առաջարկի շուրջ պայմանավորվածությունները: Ըստ «Բլումբերգ» միջազգային հեղինակավոր </w:t>
      </w:r>
      <w:r w:rsidRPr="00A83C94">
        <w:rPr>
          <w:rFonts w:eastAsia="Calibri"/>
          <w:b w:val="0"/>
          <w:szCs w:val="22"/>
          <w:lang w:val="hy-AM" w:eastAsia="en-US"/>
        </w:rPr>
        <w:lastRenderedPageBreak/>
        <w:t>կազմակերպության օգոստոսի դրությամբ ամփոփած  կանխատեսումների 2021թ. նավթի միջազգային գները կաճեն 62.3</w:t>
      </w:r>
      <w:r w:rsidRPr="00A83C94">
        <w:rPr>
          <w:rFonts w:eastAsia="Calibri" w:cs="Sylfaen"/>
          <w:b w:val="0"/>
          <w:bCs/>
          <w:szCs w:val="22"/>
          <w:lang w:val="hy-AM" w:eastAsia="en-US"/>
        </w:rPr>
        <w:t>%-ով, իսկ պղնձի գները՝ 52.2%</w:t>
      </w:r>
      <w:r w:rsidRPr="00A83C94">
        <w:rPr>
          <w:rFonts w:eastAsia="Calibri"/>
          <w:b w:val="0"/>
          <w:szCs w:val="22"/>
          <w:lang w:val="hy-AM" w:eastAsia="en-US"/>
        </w:rPr>
        <w:t>: 2022թ. նավթի և պղնձի գների փոփոխությունը կլինեն ոչ նշանակալի:</w:t>
      </w:r>
    </w:p>
    <w:p w14:paraId="5CA02859" w14:textId="77777777" w:rsidR="00027FBF" w:rsidRPr="00A83C94" w:rsidRDefault="00027FBF" w:rsidP="00027FBF">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cs="Sylfaen"/>
          <w:b w:val="0"/>
          <w:szCs w:val="22"/>
          <w:lang w:val="hy-AM" w:eastAsia="en-US"/>
        </w:rPr>
        <w:t xml:space="preserve">Աշխարհում տուրիզմի վերականգնումը տեղի կունենա թույլ տեմպերով, պայմանավորված համավարակի հաղթահարման անորոշություններով: Ըստ </w:t>
      </w:r>
      <w:r w:rsidRPr="00A83C94">
        <w:rPr>
          <w:rFonts w:eastAsia="+mn-ea" w:cs="+mn-cs"/>
          <w:b w:val="0"/>
          <w:color w:val="000000"/>
          <w:kern w:val="24"/>
          <w:szCs w:val="22"/>
          <w:lang w:val="hy-AM" w:eastAsia="en-US"/>
        </w:rPr>
        <w:t>տուրիզմի համաշխարհային կազմակերպության (</w:t>
      </w:r>
      <w:r w:rsidRPr="00A83C94">
        <w:rPr>
          <w:rFonts w:eastAsia="Calibri" w:cs="Sylfaen"/>
          <w:b w:val="0"/>
          <w:szCs w:val="22"/>
          <w:lang w:val="es-ES" w:eastAsia="en-US"/>
        </w:rPr>
        <w:t xml:space="preserve">UNWTO) </w:t>
      </w:r>
      <w:r w:rsidRPr="00A83C94">
        <w:rPr>
          <w:rFonts w:eastAsia="Calibri" w:cs="Sylfaen"/>
          <w:b w:val="0"/>
          <w:szCs w:val="22"/>
          <w:lang w:val="hy-AM" w:eastAsia="en-US"/>
        </w:rPr>
        <w:t>հարցումների վրա հիմնված գնահատականների</w:t>
      </w:r>
      <w:r w:rsidRPr="00A83C94">
        <w:rPr>
          <w:rStyle w:val="FootnoteReference"/>
          <w:rFonts w:eastAsia="Calibri" w:cs="Sylfaen"/>
          <w:b w:val="0"/>
          <w:szCs w:val="22"/>
          <w:lang w:val="hy-AM" w:eastAsia="en-US"/>
        </w:rPr>
        <w:footnoteReference w:id="13"/>
      </w:r>
      <w:r w:rsidRPr="00A83C94">
        <w:rPr>
          <w:rFonts w:eastAsia="Calibri" w:cs="Sylfaen"/>
          <w:b w:val="0"/>
          <w:szCs w:val="22"/>
          <w:lang w:val="hy-AM" w:eastAsia="en-US"/>
        </w:rPr>
        <w:t xml:space="preserve"> համաշխարհային զբոսաշրջությունը 2019թ</w:t>
      </w:r>
      <w:r w:rsidRPr="00A83C94">
        <w:rPr>
          <w:rFonts w:eastAsia="Calibri" w:cs="Sylfaen"/>
          <w:b w:val="0"/>
          <w:szCs w:val="22"/>
          <w:lang w:val="es-ES" w:eastAsia="en-US"/>
        </w:rPr>
        <w:t>.</w:t>
      </w:r>
      <w:r w:rsidRPr="00A83C94">
        <w:rPr>
          <w:rFonts w:eastAsia="Calibri" w:cs="Sylfaen"/>
          <w:b w:val="0"/>
          <w:szCs w:val="22"/>
          <w:lang w:val="hy-AM" w:eastAsia="en-US"/>
        </w:rPr>
        <w:t xml:space="preserve"> մակարդակին կհասնի միայն 2024թ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 xml:space="preserve">-ին:  ՀՀ համար՝ հաշվի առնելով հետպատերազմյան ազդեցությունների և </w:t>
      </w:r>
      <w:r w:rsidRPr="00A83C94">
        <w:rPr>
          <w:rFonts w:eastAsia="Calibri" w:cs="Sylfaen"/>
          <w:b w:val="0"/>
          <w:bCs/>
          <w:szCs w:val="22"/>
          <w:lang w:val="hy-AM" w:eastAsia="en-US"/>
        </w:rPr>
        <w:t>այլ երկրների զգուշավոր քաղաքականությունների արդյունքում</w:t>
      </w:r>
      <w:r w:rsidRPr="00A83C94">
        <w:rPr>
          <w:rFonts w:eastAsia="Calibri" w:cs="Sylfaen"/>
          <w:b w:val="0"/>
          <w:szCs w:val="22"/>
          <w:lang w:val="hy-AM" w:eastAsia="en-US"/>
        </w:rPr>
        <w:t xml:space="preserve"> համաշխարհային տնտեսության նկատմամաբ ավելի դանդաղ վերականգնումը, ենթադրվել է, որ ծառայությունների արտահանումը 2019թ. մակարդակին կհասնի 2024թ.-ին, իսկ ներմուծումը հետ կմնա՝ վերականգնվելով  միայն 2025թ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 xml:space="preserve">-ին։ </w:t>
      </w:r>
    </w:p>
    <w:p w14:paraId="0738C403" w14:textId="77777777" w:rsidR="00027FBF" w:rsidRPr="00A83C94" w:rsidRDefault="00027FBF" w:rsidP="00027FBF">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cs="Sylfaen"/>
          <w:b w:val="0"/>
          <w:szCs w:val="22"/>
          <w:lang w:val="hy-AM" w:eastAsia="en-US"/>
        </w:rPr>
        <w:t>Դ</w:t>
      </w:r>
      <w:r w:rsidRPr="00A83C94">
        <w:rPr>
          <w:rFonts w:eastAsia="Calibri" w:cs="Sylfaen"/>
          <w:b w:val="0"/>
          <w:szCs w:val="22"/>
          <w:lang w:val="es-ES" w:eastAsia="en-US"/>
        </w:rPr>
        <w:t>րամական փոխանցումներ</w:t>
      </w:r>
      <w:r w:rsidRPr="00A83C94">
        <w:rPr>
          <w:rFonts w:eastAsia="Calibri" w:cs="Sylfaen"/>
          <w:b w:val="0"/>
          <w:szCs w:val="22"/>
          <w:lang w:val="hy-AM" w:eastAsia="en-US"/>
        </w:rPr>
        <w:t>ի</w:t>
      </w:r>
      <w:r w:rsidRPr="00A83C94">
        <w:rPr>
          <w:rFonts w:eastAsia="Calibri" w:cs="Sylfaen"/>
          <w:b w:val="0"/>
          <w:szCs w:val="22"/>
          <w:lang w:val="es-ES" w:eastAsia="en-US"/>
        </w:rPr>
        <w:t xml:space="preserve"> ԱՄՆ-ից դեպի Հայաստան 2020թ</w:t>
      </w:r>
      <w:r w:rsidRPr="00A83C94">
        <w:rPr>
          <w:rFonts w:ascii="Cambria Math" w:eastAsia="Calibri" w:hAnsi="Cambria Math" w:cs="Cambria Math"/>
          <w:b w:val="0"/>
          <w:szCs w:val="22"/>
          <w:lang w:val="es-ES" w:eastAsia="en-US"/>
        </w:rPr>
        <w:t>․</w:t>
      </w:r>
      <w:r w:rsidRPr="00A83C94">
        <w:rPr>
          <w:rFonts w:eastAsia="Calibri" w:cs="Sylfaen"/>
          <w:b w:val="0"/>
          <w:szCs w:val="22"/>
          <w:lang w:val="es-ES" w:eastAsia="en-US"/>
        </w:rPr>
        <w:t xml:space="preserve"> հունիս ամսից սկսված աննախադեպ բարձր աճը</w:t>
      </w:r>
      <w:r w:rsidRPr="00A83C94">
        <w:rPr>
          <w:rFonts w:eastAsia="Calibri" w:cs="Sylfaen"/>
          <w:b w:val="0"/>
          <w:szCs w:val="22"/>
          <w:lang w:val="hy-AM" w:eastAsia="en-US"/>
        </w:rPr>
        <w:t>, ենթադրվում է, որ</w:t>
      </w:r>
      <w:r w:rsidRPr="00A83C94">
        <w:rPr>
          <w:rFonts w:eastAsia="Calibri" w:cs="Sylfaen"/>
          <w:b w:val="0"/>
          <w:szCs w:val="22"/>
          <w:lang w:val="es-ES" w:eastAsia="en-US"/>
        </w:rPr>
        <w:t xml:space="preserve"> կրելու է ժամանակավոր բնույթ և 2021թ</w:t>
      </w:r>
      <w:r w:rsidRPr="00A83C94">
        <w:rPr>
          <w:rFonts w:ascii="Cambria Math" w:eastAsia="Calibri" w:hAnsi="Cambria Math" w:cs="Cambria Math"/>
          <w:b w:val="0"/>
          <w:szCs w:val="22"/>
          <w:lang w:val="es-ES" w:eastAsia="en-US"/>
        </w:rPr>
        <w:t>․</w:t>
      </w:r>
      <w:r w:rsidRPr="00A83C94">
        <w:rPr>
          <w:rFonts w:eastAsia="Calibri" w:cs="Sylfaen"/>
          <w:b w:val="0"/>
          <w:szCs w:val="22"/>
          <w:lang w:val="es-ES" w:eastAsia="en-US"/>
        </w:rPr>
        <w:t xml:space="preserve"> ընթացքում տեղի է ունենալու աստիճանական վերադարձ նախորդ զարգացումներին</w:t>
      </w:r>
      <w:r w:rsidRPr="00A83C94">
        <w:rPr>
          <w:rFonts w:ascii="Cambria Math" w:eastAsia="Calibri" w:hAnsi="Cambria Math" w:cs="Cambria Math"/>
          <w:b w:val="0"/>
          <w:szCs w:val="22"/>
          <w:lang w:val="hy-AM" w:eastAsia="en-US"/>
        </w:rPr>
        <w:t>․</w:t>
      </w:r>
      <w:r w:rsidRPr="00A83C94">
        <w:rPr>
          <w:rFonts w:eastAsia="Calibri" w:cs="Sylfaen"/>
          <w:b w:val="0"/>
          <w:szCs w:val="22"/>
          <w:lang w:val="es-ES" w:eastAsia="en-US"/>
        </w:rPr>
        <w:t xml:space="preserve"> </w:t>
      </w:r>
      <w:r w:rsidRPr="00A83C94">
        <w:rPr>
          <w:rFonts w:eastAsia="Calibri" w:cs="Sylfaen"/>
          <w:b w:val="0"/>
          <w:szCs w:val="22"/>
          <w:lang w:val="af-ZA" w:eastAsia="en-US"/>
        </w:rPr>
        <w:t>2021</w:t>
      </w:r>
      <w:r w:rsidRPr="00A83C94">
        <w:rPr>
          <w:rFonts w:eastAsia="Calibri" w:cs="Sylfaen"/>
          <w:b w:val="0"/>
          <w:szCs w:val="22"/>
          <w:lang w:val="hy-AM" w:eastAsia="en-US"/>
        </w:rPr>
        <w:t>թ</w:t>
      </w:r>
      <w:r w:rsidRPr="00A83C94">
        <w:rPr>
          <w:rFonts w:eastAsia="Calibri" w:cs="Sylfaen"/>
          <w:b w:val="0"/>
          <w:szCs w:val="22"/>
          <w:lang w:val="af-ZA" w:eastAsia="en-US"/>
        </w:rPr>
        <w:t xml:space="preserve">. </w:t>
      </w:r>
      <w:r w:rsidRPr="00A83C94">
        <w:rPr>
          <w:rFonts w:eastAsia="Calibri" w:cs="Sylfaen"/>
          <w:b w:val="0"/>
          <w:szCs w:val="22"/>
          <w:lang w:val="hy-AM" w:eastAsia="en-US"/>
        </w:rPr>
        <w:t>գնահատվում է</w:t>
      </w:r>
      <w:r w:rsidRPr="00A83C94">
        <w:rPr>
          <w:rFonts w:eastAsia="Calibri" w:cs="Sylfaen"/>
          <w:b w:val="0"/>
          <w:szCs w:val="22"/>
          <w:lang w:val="af-ZA" w:eastAsia="en-US"/>
        </w:rPr>
        <w:t xml:space="preserve"> </w:t>
      </w:r>
      <w:r w:rsidRPr="00A83C94">
        <w:rPr>
          <w:rFonts w:eastAsia="Calibri" w:cs="Sylfaen"/>
          <w:b w:val="0"/>
          <w:szCs w:val="22"/>
          <w:lang w:val="hy-AM" w:eastAsia="en-US"/>
        </w:rPr>
        <w:t>ԱՄՆ-ից դրամական</w:t>
      </w:r>
      <w:r w:rsidRPr="00A83C94">
        <w:rPr>
          <w:rFonts w:eastAsia="Calibri" w:cs="Sylfaen"/>
          <w:b w:val="0"/>
          <w:szCs w:val="22"/>
          <w:lang w:val="af-ZA" w:eastAsia="en-US"/>
        </w:rPr>
        <w:t xml:space="preserve"> </w:t>
      </w:r>
      <w:r w:rsidRPr="00A83C94">
        <w:rPr>
          <w:rFonts w:eastAsia="Calibri" w:cs="Sylfaen"/>
          <w:b w:val="0"/>
          <w:szCs w:val="22"/>
          <w:lang w:val="hy-AM" w:eastAsia="en-US"/>
        </w:rPr>
        <w:t>փոխանցումների</w:t>
      </w:r>
      <w:r w:rsidRPr="00A83C94">
        <w:rPr>
          <w:rFonts w:eastAsia="Calibri" w:cs="Sylfaen"/>
          <w:b w:val="0"/>
          <w:szCs w:val="22"/>
          <w:lang w:val="af-ZA" w:eastAsia="en-US"/>
        </w:rPr>
        <w:t xml:space="preserve"> </w:t>
      </w:r>
      <w:r w:rsidRPr="00A83C94">
        <w:rPr>
          <w:rFonts w:eastAsia="Calibri" w:cs="Sylfaen"/>
          <w:b w:val="0"/>
          <w:szCs w:val="22"/>
          <w:lang w:val="hy-AM" w:eastAsia="en-US"/>
        </w:rPr>
        <w:t>աճի տեմպի դանդաղում</w:t>
      </w:r>
      <w:r w:rsidRPr="00A83C94">
        <w:rPr>
          <w:rFonts w:eastAsia="Calibri" w:cs="Sylfaen"/>
          <w:b w:val="0"/>
          <w:szCs w:val="22"/>
          <w:lang w:val="af-ZA" w:eastAsia="en-US"/>
        </w:rPr>
        <w:t>,</w:t>
      </w:r>
      <w:r w:rsidRPr="00A83C94">
        <w:rPr>
          <w:rFonts w:eastAsia="Calibri" w:cs="Sylfaen"/>
          <w:b w:val="0"/>
          <w:szCs w:val="22"/>
          <w:lang w:val="hy-AM" w:eastAsia="en-US"/>
        </w:rPr>
        <w:t xml:space="preserve"> իսկ </w:t>
      </w:r>
      <w:r w:rsidRPr="00A83C94">
        <w:rPr>
          <w:rFonts w:eastAsia="Calibri" w:cs="Sylfaen"/>
          <w:b w:val="0"/>
          <w:szCs w:val="22"/>
          <w:lang w:val="es-ES" w:eastAsia="en-US"/>
        </w:rPr>
        <w:t>ՌԴ–ից դրամական փոխանցումներ</w:t>
      </w:r>
      <w:r w:rsidRPr="00A83C94">
        <w:rPr>
          <w:rFonts w:eastAsia="Calibri" w:cs="Sylfaen"/>
          <w:b w:val="0"/>
          <w:szCs w:val="22"/>
          <w:lang w:val="hy-AM" w:eastAsia="en-US"/>
        </w:rPr>
        <w:t>ի բարձր</w:t>
      </w:r>
      <w:r w:rsidRPr="00A83C94">
        <w:rPr>
          <w:rFonts w:eastAsia="Calibri" w:cs="Sylfaen"/>
          <w:b w:val="0"/>
          <w:szCs w:val="22"/>
          <w:lang w:val="es-ES" w:eastAsia="en-US"/>
        </w:rPr>
        <w:t xml:space="preserve"> աճ՝ պայմանավորված սահմանափակումների վերացման հետևանքով դեպի ՌԴ սեզոնային արտագնա աշխատանքի մեկնողների թվի աճով</w:t>
      </w:r>
      <w:r w:rsidRPr="00A83C94">
        <w:rPr>
          <w:rFonts w:eastAsia="Calibri" w:cs="Sylfaen"/>
          <w:b w:val="0"/>
          <w:szCs w:val="22"/>
          <w:lang w:val="hy-AM" w:eastAsia="en-US"/>
        </w:rPr>
        <w:t xml:space="preserve"> և ՌԴ տնտեսական դրական զարգացումներով:</w:t>
      </w:r>
    </w:p>
    <w:p w14:paraId="27C46D39" w14:textId="77777777" w:rsidR="00027FBF" w:rsidRPr="00A83C94" w:rsidRDefault="00027FBF" w:rsidP="00027FBF">
      <w:pPr>
        <w:spacing w:before="40" w:after="120" w:line="276" w:lineRule="auto"/>
        <w:rPr>
          <w:rFonts w:eastAsia="Calibri" w:cs="Sylfaen"/>
          <w:b w:val="0"/>
          <w:szCs w:val="22"/>
          <w:lang w:val="hy-AM" w:eastAsia="en-US"/>
        </w:rPr>
      </w:pPr>
    </w:p>
    <w:p w14:paraId="359EFE25" w14:textId="77777777" w:rsidR="00027FBF" w:rsidRPr="00A83C94" w:rsidRDefault="00027FBF" w:rsidP="00027FBF">
      <w:pPr>
        <w:numPr>
          <w:ilvl w:val="0"/>
          <w:numId w:val="54"/>
        </w:numPr>
        <w:spacing w:before="0" w:line="276" w:lineRule="auto"/>
        <w:ind w:left="426"/>
        <w:contextualSpacing w:val="0"/>
        <w:rPr>
          <w:rFonts w:eastAsia="Calibri" w:cs="Sylfaen"/>
          <w:bCs/>
          <w:szCs w:val="22"/>
          <w:lang w:val="hy-AM" w:eastAsia="en-US"/>
        </w:rPr>
      </w:pPr>
      <w:r w:rsidRPr="00A83C94">
        <w:rPr>
          <w:rFonts w:eastAsia="Calibri" w:cs="Sylfaen"/>
          <w:bCs/>
          <w:szCs w:val="22"/>
          <w:lang w:val="hy-AM" w:eastAsia="en-US"/>
        </w:rPr>
        <w:t xml:space="preserve">COVID-19 համավարակային իրավիճակ: </w:t>
      </w:r>
      <w:r w:rsidRPr="00A83C94">
        <w:rPr>
          <w:rFonts w:eastAsia="Calibri" w:cs="Sylfaen"/>
          <w:b w:val="0"/>
          <w:bCs/>
          <w:szCs w:val="22"/>
          <w:lang w:val="hy-AM" w:eastAsia="en-US"/>
        </w:rPr>
        <w:t>Իմունականխարգելման 2021-2025թթ. ազգային ծրագրով նախատեսվում է կորոնավիրուսային հիվանդության բնակչության ռիսկային խմբերի շրջանում զանգվածային պատվաստումների իրականացում, 2021թ</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 համավարակի աստիճանական չեզոքացում, իսկ միջնաժամկետում՝ կայուն համաճարակային իրավիճակ (լաբորատոր հաստատված եզակի դեպքեր)։ Ընդ որում՝ զանգվածային պատվաստումների իրականացումն արդեն իսկ մեկնարկել է, ինչի շրջանակներում՝ մարտ ամսից սկսած Հայաստան է ներկրվել «AstraZeneca», «Sputnik-V», «Կորոնավակ» պատվաստանյութերը: 2021թ. նախատեսվում է պատվաստել բնակչության 10%-ին, ինչի արդյունքում 2021թ. համավարակի բացասական ազդեցությունները աստիճանաբար կթուլանան, իսկ միջնաժամկետում լրացուցիչ բացասական ազդեցություններ չեն սպասվում: </w:t>
      </w:r>
    </w:p>
    <w:p w14:paraId="2F88B47F" w14:textId="77777777" w:rsidR="00027FBF" w:rsidRPr="00A83C94" w:rsidRDefault="00027FBF" w:rsidP="00027FBF">
      <w:pPr>
        <w:spacing w:before="0" w:line="276" w:lineRule="auto"/>
        <w:ind w:left="426" w:firstLine="0"/>
        <w:rPr>
          <w:rFonts w:eastAsia="Calibri" w:cs="Sylfaen"/>
          <w:bCs/>
          <w:szCs w:val="22"/>
          <w:lang w:val="hy-AM" w:eastAsia="en-US"/>
        </w:rPr>
      </w:pPr>
    </w:p>
    <w:p w14:paraId="2A814AEC" w14:textId="77777777" w:rsidR="00027FBF" w:rsidRPr="00A83C94" w:rsidRDefault="00027FBF" w:rsidP="00027FBF">
      <w:pPr>
        <w:numPr>
          <w:ilvl w:val="0"/>
          <w:numId w:val="54"/>
        </w:numPr>
        <w:spacing w:before="0" w:line="276" w:lineRule="auto"/>
        <w:ind w:left="426"/>
        <w:contextualSpacing w:val="0"/>
        <w:rPr>
          <w:rFonts w:eastAsia="Calibri" w:cs="Sylfaen"/>
          <w:bCs/>
          <w:szCs w:val="22"/>
          <w:lang w:val="hy-AM" w:eastAsia="en-US"/>
        </w:rPr>
      </w:pPr>
      <w:r w:rsidRPr="00A83C94">
        <w:rPr>
          <w:rFonts w:eastAsia="Calibri" w:cs="Sylfaen"/>
          <w:bCs/>
          <w:szCs w:val="22"/>
          <w:lang w:val="hy-AM" w:eastAsia="en-US"/>
        </w:rPr>
        <w:t xml:space="preserve">Արցախյան պատերազմի հիմնական տնտեսական հետևանքներ: </w:t>
      </w:r>
      <w:r w:rsidRPr="00A83C94">
        <w:rPr>
          <w:rFonts w:eastAsia="Calibri" w:cs="Sylfaen"/>
          <w:b w:val="0"/>
          <w:bCs/>
          <w:szCs w:val="22"/>
          <w:lang w:val="hy-AM" w:eastAsia="en-US"/>
        </w:rPr>
        <w:t xml:space="preserve">Արցախյան պատերազմի  հետևանքով տնտեսություն փոխանցվող բացասական հետևանքները գնահատվել են հաշվի առնելով հետևյալ հանգամանքները՝ </w:t>
      </w:r>
    </w:p>
    <w:p w14:paraId="3D2410F5" w14:textId="77777777" w:rsidR="00027FBF" w:rsidRPr="00A83C94" w:rsidRDefault="00027FBF" w:rsidP="00027FBF">
      <w:pPr>
        <w:numPr>
          <w:ilvl w:val="0"/>
          <w:numId w:val="55"/>
        </w:numPr>
        <w:spacing w:before="40" w:after="120" w:line="276" w:lineRule="auto"/>
        <w:ind w:left="1134" w:hanging="283"/>
        <w:contextualSpacing w:val="0"/>
        <w:rPr>
          <w:rFonts w:eastAsia="Calibri" w:cs="Sylfaen"/>
          <w:b w:val="0"/>
          <w:bCs/>
          <w:szCs w:val="22"/>
          <w:lang w:val="hy-AM" w:eastAsia="en-US"/>
        </w:rPr>
      </w:pPr>
      <w:r w:rsidRPr="00A83C94">
        <w:rPr>
          <w:rFonts w:eastAsia="Calibri" w:cs="Sylfaen"/>
          <w:b w:val="0"/>
          <w:bCs/>
          <w:szCs w:val="22"/>
          <w:lang w:val="hy-AM" w:eastAsia="en-US"/>
        </w:rPr>
        <w:t xml:space="preserve">ՀՀ գյուղատնտեսական նշանակություն ունեցող հողատարածքների Ադրբեջանի վերահսկողության տակ անցնելու և Ադրբեջանի հետ սահմանամերձ դառնալու արդյունքում ՀՀ  Սյունիքի, Գեղարքունիքի և Վայոց ձորի  մարզերում </w:t>
      </w:r>
      <w:r w:rsidRPr="00A83C94">
        <w:rPr>
          <w:rFonts w:eastAsia="Calibri" w:cs="Sylfaen"/>
          <w:b w:val="0"/>
          <w:bCs/>
          <w:szCs w:val="22"/>
          <w:lang w:val="hy-AM" w:eastAsia="en-US"/>
        </w:rPr>
        <w:lastRenderedPageBreak/>
        <w:t xml:space="preserve">գյուղատնտեսության ոլորտի, ինչպես նաև Սոթքի հանքավայրի շահագործման մասշտաբների կրճատման հետևանքով արտահանման, զբաղվածության, հարկային եկամուտների նվազման հետևանքով կրած և առաջացող վնասները: </w:t>
      </w:r>
    </w:p>
    <w:p w14:paraId="2BAB5CF3" w14:textId="77777777" w:rsidR="00027FBF" w:rsidRPr="00A83C94" w:rsidRDefault="00027FBF" w:rsidP="00027FBF">
      <w:pPr>
        <w:numPr>
          <w:ilvl w:val="0"/>
          <w:numId w:val="55"/>
        </w:numPr>
        <w:spacing w:before="40" w:after="120" w:line="276" w:lineRule="auto"/>
        <w:ind w:left="1134" w:hanging="283"/>
        <w:contextualSpacing w:val="0"/>
        <w:rPr>
          <w:rFonts w:eastAsia="Calibri" w:cs="Sylfaen"/>
          <w:b w:val="0"/>
          <w:bCs/>
          <w:szCs w:val="22"/>
          <w:lang w:val="hy-AM" w:eastAsia="en-US"/>
        </w:rPr>
      </w:pPr>
      <w:r w:rsidRPr="00A83C94">
        <w:rPr>
          <w:rFonts w:eastAsia="Calibri" w:cs="Sylfaen"/>
          <w:b w:val="0"/>
          <w:bCs/>
          <w:szCs w:val="22"/>
          <w:lang w:val="hy-AM" w:eastAsia="en-US"/>
        </w:rPr>
        <w:t>Արցախյան պատերազմի հետևանքով առաջացած նոր իրողությունների պայմաններում Արցախում ներքին պահանջարկի նվազման արդյունքում ՀՀ-ից դեպի Արցախ արտահանման ծավալների կրճատումը:</w:t>
      </w:r>
    </w:p>
    <w:p w14:paraId="681996DD" w14:textId="77777777" w:rsidR="00027FBF" w:rsidRPr="00A83C94" w:rsidRDefault="00027FBF" w:rsidP="00027FBF">
      <w:pPr>
        <w:spacing w:before="40" w:after="120" w:line="276" w:lineRule="auto"/>
        <w:ind w:left="709" w:firstLine="0"/>
        <w:contextualSpacing w:val="0"/>
        <w:jc w:val="left"/>
        <w:rPr>
          <w:rFonts w:eastAsia="Calibri" w:cs="Sylfaen"/>
          <w:b w:val="0"/>
          <w:szCs w:val="22"/>
          <w:lang w:val="hy-AM" w:eastAsia="en-US"/>
        </w:rPr>
      </w:pPr>
    </w:p>
    <w:p w14:paraId="38BD8C27" w14:textId="77777777" w:rsidR="00027FBF" w:rsidRPr="00A83C94" w:rsidRDefault="00027FBF" w:rsidP="00027FBF">
      <w:pPr>
        <w:numPr>
          <w:ilvl w:val="0"/>
          <w:numId w:val="54"/>
        </w:numPr>
        <w:spacing w:before="0" w:line="276" w:lineRule="auto"/>
        <w:ind w:left="426"/>
        <w:contextualSpacing w:val="0"/>
        <w:rPr>
          <w:rFonts w:eastAsia="Calibri" w:cs="Sylfaen"/>
          <w:bCs/>
          <w:szCs w:val="22"/>
          <w:lang w:val="hy-AM" w:eastAsia="en-US"/>
        </w:rPr>
      </w:pPr>
      <w:r w:rsidRPr="00A83C94">
        <w:rPr>
          <w:rFonts w:eastAsia="Calibri" w:cs="Sylfaen"/>
          <w:bCs/>
          <w:szCs w:val="22"/>
          <w:lang w:val="hy-AM" w:eastAsia="en-US"/>
        </w:rPr>
        <w:t xml:space="preserve">Կառավարության 2021-2026թթ. ծրագրից բխող թիրախներ և գործողություններ։ </w:t>
      </w:r>
      <w:r w:rsidRPr="00A83C94">
        <w:rPr>
          <w:rFonts w:eastAsia="Calibri" w:cs="Sylfaen"/>
          <w:b w:val="0"/>
          <w:bCs/>
          <w:szCs w:val="22"/>
          <w:lang w:val="hy-AM" w:eastAsia="en-US"/>
        </w:rPr>
        <w:t>ՀՀ կառավարության ծրագրում նպատակարդված թիրախներին համահունչ 2022թ</w:t>
      </w:r>
      <w:r w:rsidRPr="00A83C94">
        <w:rPr>
          <w:rFonts w:ascii="Cambria Math" w:eastAsia="Calibri" w:hAnsi="Cambria Math" w:cs="Cambria Math"/>
          <w:b w:val="0"/>
          <w:bCs/>
          <w:szCs w:val="22"/>
          <w:lang w:val="hy-AM" w:eastAsia="en-US"/>
        </w:rPr>
        <w:t>․</w:t>
      </w:r>
      <w:r w:rsidRPr="00A83C94">
        <w:rPr>
          <w:rFonts w:eastAsia="Calibri"/>
          <w:b w:val="0"/>
          <w:bCs/>
          <w:szCs w:val="22"/>
          <w:lang w:val="hy-AM" w:eastAsia="en-US"/>
        </w:rPr>
        <w:t xml:space="preserve"> </w:t>
      </w:r>
      <w:r w:rsidRPr="00A83C94">
        <w:rPr>
          <w:rFonts w:eastAsia="Calibri" w:cs="Sylfaen"/>
          <w:b w:val="0"/>
          <w:bCs/>
          <w:szCs w:val="22"/>
          <w:lang w:val="hy-AM" w:eastAsia="en-US"/>
        </w:rPr>
        <w:t>տնտեսական աճի կանխատեսումների հիմքում դրվել է հետևյալ ենթադրությունները</w:t>
      </w:r>
      <w:r w:rsidRPr="00A83C94">
        <w:rPr>
          <w:rFonts w:ascii="Cambria Math" w:eastAsia="Calibri" w:hAnsi="Cambria Math" w:cs="Cambria Math"/>
          <w:b w:val="0"/>
          <w:bCs/>
          <w:szCs w:val="22"/>
          <w:lang w:val="hy-AM" w:eastAsia="en-US"/>
        </w:rPr>
        <w:t>․</w:t>
      </w:r>
    </w:p>
    <w:p w14:paraId="5AB69546" w14:textId="77777777" w:rsidR="00027FBF" w:rsidRPr="00A83C94" w:rsidRDefault="00027FBF" w:rsidP="00027FBF">
      <w:pPr>
        <w:pStyle w:val="ListParagraph"/>
        <w:numPr>
          <w:ilvl w:val="0"/>
          <w:numId w:val="57"/>
        </w:numPr>
        <w:spacing w:before="0" w:line="276" w:lineRule="auto"/>
        <w:contextualSpacing w:val="0"/>
        <w:rPr>
          <w:rFonts w:eastAsia="Calibri" w:cs="Sylfaen"/>
          <w:b w:val="0"/>
          <w:szCs w:val="22"/>
          <w:lang w:val="hy-AM" w:eastAsia="en-US"/>
        </w:rPr>
      </w:pPr>
      <w:r w:rsidRPr="00A83C94">
        <w:rPr>
          <w:rFonts w:eastAsia="Calibri" w:cs="Sylfaen"/>
          <w:b w:val="0"/>
          <w:szCs w:val="22"/>
          <w:lang w:val="hy-AM" w:eastAsia="en-US"/>
        </w:rPr>
        <w:t xml:space="preserve">Գործարար միջավայրի բարելավման արդյունքում մասնավոր ներդրումների, այդ թվում օտարերկրյա ուղղակի ներդրումների մակարդակի բարձրացում, </w:t>
      </w:r>
    </w:p>
    <w:p w14:paraId="298987DB" w14:textId="77777777" w:rsidR="00027FBF" w:rsidRPr="00A83C94" w:rsidRDefault="00027FBF" w:rsidP="00027FBF">
      <w:pPr>
        <w:pStyle w:val="ListParagraph"/>
        <w:numPr>
          <w:ilvl w:val="0"/>
          <w:numId w:val="57"/>
        </w:numPr>
        <w:spacing w:before="0" w:line="276" w:lineRule="auto"/>
        <w:contextualSpacing w:val="0"/>
        <w:rPr>
          <w:rFonts w:eastAsia="Calibri" w:cs="Sylfaen"/>
          <w:b w:val="0"/>
          <w:szCs w:val="22"/>
          <w:lang w:val="hy-AM" w:eastAsia="en-US"/>
        </w:rPr>
      </w:pPr>
      <w:r w:rsidRPr="00A83C94">
        <w:rPr>
          <w:rFonts w:eastAsia="Calibri" w:cs="Sylfaen"/>
          <w:b w:val="0"/>
          <w:szCs w:val="22"/>
          <w:lang w:val="hy-AM" w:eastAsia="en-US"/>
        </w:rPr>
        <w:t>Ենթակառուցվածքներում, տնտեսության արտադրողական ոլորտներում մեծածավալ պետական կապիտալ ներդրումների թիրախավորված իրականացում,</w:t>
      </w:r>
    </w:p>
    <w:p w14:paraId="1C2DA5D7" w14:textId="77777777" w:rsidR="00027FBF" w:rsidRPr="00A83C94" w:rsidRDefault="00027FBF" w:rsidP="00027FBF">
      <w:pPr>
        <w:pStyle w:val="ListParagraph"/>
        <w:numPr>
          <w:ilvl w:val="0"/>
          <w:numId w:val="57"/>
        </w:numPr>
        <w:spacing w:before="0" w:line="276" w:lineRule="auto"/>
        <w:contextualSpacing w:val="0"/>
        <w:rPr>
          <w:rFonts w:eastAsia="Calibri" w:cs="Sylfaen"/>
          <w:b w:val="0"/>
          <w:szCs w:val="22"/>
          <w:lang w:val="hy-AM" w:eastAsia="en-US"/>
        </w:rPr>
      </w:pPr>
      <w:r w:rsidRPr="00A83C94">
        <w:rPr>
          <w:rFonts w:eastAsia="Calibri" w:cs="Sylfaen"/>
          <w:b w:val="0"/>
          <w:szCs w:val="22"/>
          <w:lang w:val="hy-AM" w:eastAsia="en-US"/>
        </w:rPr>
        <w:t>Տնտեսության արտահանելի հատվածի և արտահանման խթանմանն ուղղված քաղաքականության արդյունքում արտահանման ծավալների մեծացում,</w:t>
      </w:r>
    </w:p>
    <w:p w14:paraId="1E3FF54F" w14:textId="77777777" w:rsidR="00027FBF" w:rsidRPr="00A83C94" w:rsidRDefault="00027FBF" w:rsidP="00027FBF">
      <w:pPr>
        <w:pStyle w:val="ListParagraph"/>
        <w:numPr>
          <w:ilvl w:val="0"/>
          <w:numId w:val="57"/>
        </w:numPr>
        <w:spacing w:before="0" w:line="276" w:lineRule="auto"/>
        <w:contextualSpacing w:val="0"/>
        <w:rPr>
          <w:rFonts w:eastAsia="Calibri" w:cs="Sylfaen"/>
          <w:b w:val="0"/>
          <w:szCs w:val="22"/>
          <w:lang w:val="hy-AM" w:eastAsia="en-US"/>
        </w:rPr>
      </w:pPr>
      <w:r w:rsidRPr="00A83C94">
        <w:rPr>
          <w:rFonts w:eastAsia="Calibri" w:cs="Sylfaen"/>
          <w:b w:val="0"/>
          <w:szCs w:val="22"/>
          <w:lang w:val="hy-AM" w:eastAsia="en-US"/>
        </w:rPr>
        <w:t>Բարձր տեխնոլոգիական առաջընթացի ապահովմանն ուղղված քաղաքականության իրականացման արդյունքում մրցակցության և արտադրողականության բարձրացում։</w:t>
      </w:r>
    </w:p>
    <w:p w14:paraId="16B2A720" w14:textId="77777777" w:rsidR="00027FBF" w:rsidRPr="00A83C94" w:rsidRDefault="00027FBF" w:rsidP="00027FBF">
      <w:pPr>
        <w:pStyle w:val="ListParagraph"/>
        <w:spacing w:before="0" w:line="276" w:lineRule="auto"/>
        <w:ind w:left="1200" w:firstLine="0"/>
        <w:contextualSpacing w:val="0"/>
        <w:rPr>
          <w:rFonts w:eastAsia="Calibri" w:cs="Sylfaen"/>
          <w:b w:val="0"/>
          <w:szCs w:val="22"/>
          <w:lang w:val="hy-AM" w:eastAsia="en-US"/>
        </w:rPr>
      </w:pPr>
    </w:p>
    <w:p w14:paraId="5EC23EC8" w14:textId="77777777" w:rsidR="00027FBF" w:rsidRPr="00A83C94" w:rsidRDefault="00027FBF" w:rsidP="00027FBF">
      <w:pPr>
        <w:numPr>
          <w:ilvl w:val="0"/>
          <w:numId w:val="54"/>
        </w:numPr>
        <w:spacing w:before="0" w:line="276" w:lineRule="auto"/>
        <w:ind w:left="426"/>
        <w:contextualSpacing w:val="0"/>
        <w:rPr>
          <w:rFonts w:eastAsia="Calibri" w:cs="Sylfaen"/>
          <w:bCs/>
          <w:szCs w:val="22"/>
          <w:lang w:val="hy-AM" w:eastAsia="en-US"/>
        </w:rPr>
      </w:pPr>
      <w:r w:rsidRPr="00A83C94">
        <w:rPr>
          <w:rFonts w:eastAsia="Calibri" w:cs="Sylfaen"/>
          <w:bCs/>
          <w:szCs w:val="22"/>
          <w:lang w:val="hy-AM" w:eastAsia="en-US"/>
        </w:rPr>
        <w:t xml:space="preserve">Տնտեսության ներուժ և պաբերաշրջաններ: </w:t>
      </w:r>
      <w:r w:rsidRPr="00A83C94">
        <w:rPr>
          <w:rFonts w:eastAsia="Calibri" w:cs="Sylfaen"/>
          <w:b w:val="0"/>
          <w:szCs w:val="22"/>
          <w:lang w:val="hy-AM" w:eastAsia="en-US"/>
        </w:rPr>
        <w:t>2020թ.  համավարակի և Արցախյան պատերազմի հետևանքով առաջացած  տնտեսական անկման պայմաններում ՀՀ տնտեսությունը կրել է ոչ միայն ցիկլային բացասական զարգացումներ, այլ նաև նվազել է տնտեսության ներուժը և ներուժային աճը, պայմանավորված ինչպես արտադրողականության անկմամբ, այնպես էլ արտադրական գործոնների՝ աշխատուժի և կապիտալի, ներուժային մակարդակների նվազմամբ։  2022 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 xml:space="preserve"> պետական կապիտալ ծախսերի մակարդակի թիրախային բարձրացման, ներդրումային միջավայրի բարելավման և արտահանման առաջանցիկ աճի պայմաններում ներուժային աճն աստիճանաբար կվերականգնվի։ Իսկ ներքին պահանջարկի վերականգնման արդյունքում տնտեսությունում կփակվի ՀՆԱ բացասական ճեղքը:</w:t>
      </w:r>
    </w:p>
    <w:p w14:paraId="5CEF556C" w14:textId="77777777" w:rsidR="00027FBF" w:rsidRPr="00A83C94" w:rsidRDefault="00027FBF" w:rsidP="00027FBF">
      <w:pPr>
        <w:spacing w:before="0" w:line="276" w:lineRule="auto"/>
        <w:ind w:left="426" w:firstLine="0"/>
        <w:rPr>
          <w:rFonts w:eastAsia="Calibri" w:cs="Sylfaen"/>
          <w:bCs/>
          <w:szCs w:val="22"/>
          <w:lang w:val="hy-AM" w:eastAsia="en-US"/>
        </w:rPr>
      </w:pPr>
    </w:p>
    <w:p w14:paraId="64ACF71C" w14:textId="77777777" w:rsidR="00027FBF" w:rsidRPr="00A83C94" w:rsidRDefault="00027FBF" w:rsidP="00027FBF">
      <w:pPr>
        <w:numPr>
          <w:ilvl w:val="0"/>
          <w:numId w:val="54"/>
        </w:numPr>
        <w:spacing w:before="0" w:line="276" w:lineRule="auto"/>
        <w:ind w:left="426"/>
        <w:contextualSpacing w:val="0"/>
        <w:jc w:val="left"/>
        <w:rPr>
          <w:rFonts w:eastAsia="Calibri" w:cs="Sylfaen"/>
          <w:bCs/>
          <w:szCs w:val="22"/>
          <w:lang w:val="hy-AM" w:eastAsia="en-US"/>
        </w:rPr>
      </w:pPr>
      <w:r w:rsidRPr="00A83C94">
        <w:rPr>
          <w:rFonts w:eastAsia="Calibri" w:cs="Sylfaen"/>
          <w:bCs/>
          <w:szCs w:val="22"/>
          <w:lang w:val="hy-AM" w:eastAsia="en-US"/>
        </w:rPr>
        <w:t>Հարկաբյուջետային քաղաքականություն</w:t>
      </w:r>
      <w:r w:rsidRPr="00A83C94">
        <w:rPr>
          <w:rFonts w:eastAsia="Calibri" w:cs="Sylfaen"/>
          <w:bCs/>
          <w:szCs w:val="22"/>
          <w:lang w:val="en-US" w:eastAsia="en-US"/>
        </w:rPr>
        <w:t>.</w:t>
      </w:r>
    </w:p>
    <w:p w14:paraId="5A90D612" w14:textId="77777777" w:rsidR="00027FBF" w:rsidRPr="00A83C94" w:rsidRDefault="00027FBF" w:rsidP="00027FBF">
      <w:pPr>
        <w:spacing w:before="0" w:line="276" w:lineRule="auto"/>
        <w:ind w:firstLine="0"/>
        <w:contextualSpacing w:val="0"/>
        <w:jc w:val="left"/>
        <w:rPr>
          <w:rFonts w:eastAsia="Calibri" w:cs="Sylfaen"/>
          <w:bCs/>
          <w:szCs w:val="22"/>
          <w:lang w:val="hy-AM" w:eastAsia="en-US"/>
        </w:rPr>
      </w:pPr>
    </w:p>
    <w:p w14:paraId="017155C5" w14:textId="77777777" w:rsidR="00027FBF" w:rsidRPr="00A83C94" w:rsidRDefault="00027FBF" w:rsidP="00027FBF">
      <w:pPr>
        <w:numPr>
          <w:ilvl w:val="0"/>
          <w:numId w:val="53"/>
        </w:numPr>
        <w:spacing w:before="40" w:after="120" w:line="276" w:lineRule="auto"/>
        <w:ind w:left="1134" w:hanging="283"/>
        <w:contextualSpacing w:val="0"/>
        <w:rPr>
          <w:rFonts w:eastAsia="Calibri" w:cs="Sylfaen"/>
          <w:b w:val="0"/>
          <w:szCs w:val="22"/>
          <w:lang w:val="hy-AM" w:eastAsia="en-US"/>
        </w:rPr>
      </w:pPr>
      <w:r w:rsidRPr="00A83C94">
        <w:rPr>
          <w:rFonts w:eastAsia="Calibri" w:cs="Sylfaen"/>
          <w:b w:val="0"/>
          <w:szCs w:val="22"/>
          <w:lang w:val="hy-AM" w:eastAsia="en-US"/>
        </w:rPr>
        <w:t>2021թ. կշարունակվեն կառավարության հակաճգնաժամային միջոցառումները՝ ուղղված COVID-19 համավարակի և Արցախյան պատերազմի հետևանքների մեղմանը: Միաժամանակ, նպատակ ունենալով ապահովել հարկաբյուջետային կայունությունը և աջակցել տնտեսական վերականգնմանը` հարկաբյուջետային քաղաքականությունը 2021թ. կլինի զսպող, այնուհետև, 2022 թվականին հարկաբյուջետային քաղաքականության ազդեցությունն ամբողջական պահանջարկի վրա կլինի չեզոք:</w:t>
      </w:r>
    </w:p>
    <w:p w14:paraId="73F42940" w14:textId="77777777" w:rsidR="00027FBF" w:rsidRPr="00A83C94" w:rsidRDefault="00027FBF" w:rsidP="00027FBF">
      <w:pPr>
        <w:numPr>
          <w:ilvl w:val="0"/>
          <w:numId w:val="53"/>
        </w:numPr>
        <w:spacing w:before="40" w:after="120" w:line="276" w:lineRule="auto"/>
        <w:ind w:left="1134" w:hanging="283"/>
        <w:contextualSpacing w:val="0"/>
        <w:rPr>
          <w:rFonts w:eastAsia="Calibri" w:cs="Sylfaen"/>
          <w:b w:val="0"/>
          <w:szCs w:val="22"/>
          <w:lang w:val="hy-AM" w:eastAsia="en-US"/>
        </w:rPr>
      </w:pPr>
      <w:r w:rsidRPr="00A83C94">
        <w:rPr>
          <w:rFonts w:eastAsia="Calibri" w:cs="Sylfaen"/>
          <w:b w:val="0"/>
          <w:szCs w:val="22"/>
          <w:lang w:val="hy-AM" w:eastAsia="en-US"/>
        </w:rPr>
        <w:lastRenderedPageBreak/>
        <w:t>2022թ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-ին ՀՀ Կառավարությունը թիրախավորում է պարտքի կայունության պահպանման պայմաններում նպաստել բարձր տնտեսական աճի ապահովմանը, միաժամանակ վերադարձ կատարելով ՀՀ օրենսդրությամբ բնականոն իրավիճակների համար սահմանված ծախսային կանոնների, այդ թվում՝ պետական ֆինանսների «ոսկե կանոնների» և ընթացիկ առաջնային ծախսերի աճի տեմպի՝ երկարաժամկետ տնտեսական աճի միջին տեմպով սահմանափակման կանոնի ամբողջական պահպանմանը՝:</w:t>
      </w:r>
    </w:p>
    <w:p w14:paraId="78DF6F6A" w14:textId="77777777" w:rsidR="00027FBF" w:rsidRPr="00A83C94" w:rsidRDefault="00027FBF" w:rsidP="00027FBF">
      <w:pPr>
        <w:numPr>
          <w:ilvl w:val="0"/>
          <w:numId w:val="54"/>
        </w:numPr>
        <w:spacing w:before="0" w:line="276" w:lineRule="auto"/>
        <w:contextualSpacing w:val="0"/>
        <w:jc w:val="left"/>
        <w:rPr>
          <w:rFonts w:eastAsia="Calibri" w:cs="Sylfaen"/>
          <w:bCs/>
          <w:szCs w:val="22"/>
          <w:lang w:val="hy-AM" w:eastAsia="en-US"/>
        </w:rPr>
      </w:pPr>
      <w:r w:rsidRPr="00A83C94">
        <w:rPr>
          <w:rFonts w:eastAsia="Calibri" w:cs="Sylfaen"/>
          <w:bCs/>
          <w:szCs w:val="22"/>
          <w:lang w:eastAsia="en-US"/>
        </w:rPr>
        <w:t>Գնաճ և դ</w:t>
      </w:r>
      <w:r w:rsidRPr="00A83C94">
        <w:rPr>
          <w:rFonts w:eastAsia="Calibri" w:cs="Sylfaen"/>
          <w:bCs/>
          <w:szCs w:val="22"/>
          <w:lang w:val="hy-AM" w:eastAsia="en-US"/>
        </w:rPr>
        <w:t>րամավարկային քաղաքականություն</w:t>
      </w:r>
      <w:r w:rsidRPr="00A83C94">
        <w:rPr>
          <w:rFonts w:eastAsia="Calibri" w:cs="Sylfaen"/>
          <w:bCs/>
          <w:szCs w:val="22"/>
          <w:lang w:eastAsia="en-US"/>
        </w:rPr>
        <w:t>.</w:t>
      </w:r>
      <w:r w:rsidRPr="00A83C94">
        <w:rPr>
          <w:b w:val="0"/>
          <w:sz w:val="24"/>
          <w:lang w:val="hy-AM" w:eastAsia="en-US"/>
        </w:rPr>
        <w:t xml:space="preserve"> </w:t>
      </w:r>
    </w:p>
    <w:p w14:paraId="2EC221EE" w14:textId="77777777" w:rsidR="00027FBF" w:rsidRPr="00A83C94" w:rsidRDefault="00027FBF" w:rsidP="00027FBF">
      <w:pPr>
        <w:numPr>
          <w:ilvl w:val="1"/>
          <w:numId w:val="56"/>
        </w:numPr>
        <w:spacing w:before="0" w:line="276" w:lineRule="auto"/>
        <w:ind w:left="1134" w:hanging="283"/>
        <w:contextualSpacing w:val="0"/>
        <w:rPr>
          <w:rFonts w:eastAsia="Calibri" w:cs="Sylfaen"/>
          <w:b w:val="0"/>
          <w:bCs/>
          <w:szCs w:val="22"/>
          <w:lang w:val="hy-AM" w:eastAsia="en-US"/>
        </w:rPr>
      </w:pPr>
      <w:r w:rsidRPr="00A83C94">
        <w:rPr>
          <w:rFonts w:eastAsia="Calibri" w:cs="Sylfaen"/>
          <w:bCs/>
          <w:szCs w:val="22"/>
          <w:lang w:val="hy-AM" w:eastAsia="en-US"/>
        </w:rPr>
        <w:tab/>
      </w:r>
      <w:r w:rsidRPr="00A83C94">
        <w:rPr>
          <w:rFonts w:eastAsia="Calibri" w:cs="Sylfaen"/>
          <w:b w:val="0"/>
          <w:bCs/>
          <w:szCs w:val="22"/>
          <w:lang w:val="hy-AM" w:eastAsia="en-US"/>
        </w:rPr>
        <w:t>2020թ</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 դեկտմեբերից արձանագրված գնաճի արագացումը կշարունավի  նաև 2021թ-ին պայմանավորված՝ միջազգային պարենային ապրանքների գների աճով, փոխարժեքի արժեզրկմամբ, Արցախյան պատերազմի բացասական հետևանքներով, մաքսատուրքերի և ակցիզային հարկերի բարձրացմամբ, ինչպես նաև էլեկտրաէներգիայի սակագների փոփոխության հետևանքներով:</w:t>
      </w:r>
    </w:p>
    <w:p w14:paraId="689C7B01" w14:textId="77777777" w:rsidR="00027FBF" w:rsidRPr="00A83C94" w:rsidRDefault="00027FBF" w:rsidP="00027FBF">
      <w:pPr>
        <w:numPr>
          <w:ilvl w:val="1"/>
          <w:numId w:val="56"/>
        </w:numPr>
        <w:spacing w:before="0" w:line="276" w:lineRule="auto"/>
        <w:ind w:left="1134" w:hanging="283"/>
        <w:contextualSpacing w:val="0"/>
        <w:rPr>
          <w:rFonts w:eastAsia="Calibri" w:cs="Sylfaen"/>
          <w:b w:val="0"/>
          <w:bCs/>
          <w:szCs w:val="22"/>
          <w:lang w:val="hy-AM" w:eastAsia="en-US"/>
        </w:rPr>
      </w:pPr>
      <w:r w:rsidRPr="00A83C94">
        <w:rPr>
          <w:rFonts w:eastAsia="Calibri" w:cs="Sylfaen"/>
          <w:b w:val="0"/>
          <w:bCs/>
          <w:szCs w:val="22"/>
          <w:lang w:val="hy-AM" w:eastAsia="en-US"/>
        </w:rPr>
        <w:t>2021թ. դրամավարկային քաղաքականությունըմիտված կլինի գնաճային սպասումների արագացման ռիսկերի չեզոքացմանը՝ միևնույն ժամանակ ապահովելով հնարավորին նպաստավոր պայմաններ ամբողջական պահանջարկի վերականգնման համար, իսկ 2022թ.-ին ԿԲ քաղաքականությունը ուղղված է լինելու գնաճի կայունացմանը թիրախի շուրջ:</w:t>
      </w:r>
    </w:p>
    <w:p w14:paraId="5627C382" w14:textId="77777777" w:rsidR="00027FBF" w:rsidRPr="00A83C94" w:rsidRDefault="00027FBF" w:rsidP="00027FBF">
      <w:pPr>
        <w:keepNext/>
        <w:keepLines/>
        <w:spacing w:before="0" w:line="276" w:lineRule="auto"/>
        <w:outlineLvl w:val="2"/>
        <w:rPr>
          <w:rFonts w:eastAsia="GHEA Grapalat" w:cs="GHEA Grapalat"/>
          <w:b w:val="0"/>
          <w:color w:val="000000"/>
          <w:szCs w:val="22"/>
          <w:lang w:val="hy-AM"/>
        </w:rPr>
      </w:pPr>
      <w:r w:rsidRPr="00A83C94">
        <w:rPr>
          <w:rFonts w:eastAsia="Calibri" w:cs="Sylfaen"/>
          <w:b w:val="0"/>
          <w:bCs/>
          <w:color w:val="C00000"/>
          <w:szCs w:val="22"/>
          <w:lang w:val="hy-AM"/>
        </w:rPr>
        <w:br w:type="page"/>
      </w:r>
    </w:p>
    <w:p w14:paraId="4E842C84" w14:textId="77777777" w:rsidR="00027FBF" w:rsidRPr="00A83C94" w:rsidRDefault="00027FBF" w:rsidP="00027FBF">
      <w:pPr>
        <w:spacing w:before="0" w:line="240" w:lineRule="auto"/>
        <w:ind w:firstLine="0"/>
        <w:contextualSpacing w:val="0"/>
        <w:jc w:val="left"/>
        <w:rPr>
          <w:rFonts w:eastAsia="GHEA Grapalat" w:cs="GHEA Grapalat"/>
          <w:b w:val="0"/>
          <w:color w:val="000000"/>
          <w:szCs w:val="22"/>
          <w:lang w:val="hy-AM"/>
        </w:rPr>
      </w:pPr>
    </w:p>
    <w:p w14:paraId="3FAC9912" w14:textId="77777777" w:rsidR="00027FBF" w:rsidRPr="00A83C94" w:rsidRDefault="00027FBF" w:rsidP="00027FBF">
      <w:pPr>
        <w:keepNext/>
        <w:keepLines/>
        <w:spacing w:before="240" w:after="60" w:line="276" w:lineRule="auto"/>
        <w:ind w:firstLine="0"/>
        <w:outlineLvl w:val="2"/>
        <w:rPr>
          <w:bCs/>
          <w:sz w:val="24"/>
          <w:lang w:val="hy-AM" w:eastAsia="en-US"/>
        </w:rPr>
      </w:pPr>
      <w:bookmarkStart w:id="38" w:name="_Toc46154348"/>
      <w:bookmarkStart w:id="39" w:name="_Toc51360534"/>
      <w:bookmarkStart w:id="40" w:name="_Toc51947417"/>
      <w:bookmarkStart w:id="41" w:name="_Toc52452090"/>
      <w:bookmarkStart w:id="42" w:name="_Toc57559417"/>
      <w:bookmarkStart w:id="43" w:name="_Toc83663898"/>
      <w:bookmarkStart w:id="44" w:name="_Toc83972834"/>
      <w:bookmarkStart w:id="45" w:name="_Toc89428289"/>
      <w:r w:rsidRPr="00A83C94">
        <w:rPr>
          <w:bCs/>
          <w:sz w:val="24"/>
          <w:lang w:val="hy-AM" w:eastAsia="en-US"/>
        </w:rPr>
        <w:t>1.5. ՄԱԿՐՈՏՆՏԵՍԱԿԱՆ ԿԱՆԽԱՏԵՍՈՒՄՆԵՐԻ ՌԻՍԿԵՐԸ</w:t>
      </w:r>
      <w:bookmarkEnd w:id="38"/>
      <w:bookmarkEnd w:id="39"/>
      <w:bookmarkEnd w:id="40"/>
      <w:bookmarkEnd w:id="41"/>
      <w:bookmarkEnd w:id="42"/>
      <w:bookmarkEnd w:id="43"/>
      <w:bookmarkEnd w:id="44"/>
      <w:bookmarkEnd w:id="45"/>
    </w:p>
    <w:p w14:paraId="5B792E90" w14:textId="77777777" w:rsidR="00027FBF" w:rsidRPr="00A83C94" w:rsidRDefault="00027FBF" w:rsidP="00027FBF">
      <w:pPr>
        <w:spacing w:before="0" w:after="120" w:line="276" w:lineRule="auto"/>
        <w:ind w:right="540" w:firstLine="360"/>
        <w:contextualSpacing w:val="0"/>
        <w:rPr>
          <w:rFonts w:eastAsia="Calibri"/>
          <w:b w:val="0"/>
          <w:szCs w:val="22"/>
          <w:lang w:val="hy-AM" w:eastAsia="en-US"/>
        </w:rPr>
      </w:pPr>
      <w:r w:rsidRPr="00A83C94">
        <w:rPr>
          <w:rFonts w:eastAsia="Calibri"/>
          <w:b w:val="0"/>
          <w:szCs w:val="22"/>
          <w:lang w:val="es-ES" w:eastAsia="en-US"/>
        </w:rPr>
        <w:t>Կանխատեսման առկա ռիսկերը պայմանավորվում են ինչպես արտաքին, այնպես էլ ներքին տնտեսական գործոններով, որոնք կարող են հանգեցնել ինչպես տնտեսական աճի տեմպերի ավելացմանը, այնպես էլ նվազմանը՝ ներկայացված կենտրոնական</w:t>
      </w:r>
      <w:r w:rsidRPr="00A83C94">
        <w:rPr>
          <w:rFonts w:eastAsia="Calibri"/>
          <w:b w:val="0"/>
          <w:szCs w:val="22"/>
          <w:lang w:val="hy-AM" w:eastAsia="en-US"/>
        </w:rPr>
        <w:t xml:space="preserve"> </w:t>
      </w:r>
      <w:r w:rsidRPr="00A83C94">
        <w:rPr>
          <w:rFonts w:eastAsia="Calibri"/>
          <w:b w:val="0"/>
          <w:szCs w:val="22"/>
          <w:lang w:val="es-ES" w:eastAsia="en-US"/>
        </w:rPr>
        <w:t>կանխատեսումների համեմատ:</w:t>
      </w:r>
      <w:r w:rsidRPr="00A83C94">
        <w:rPr>
          <w:rFonts w:eastAsia="Calibri"/>
          <w:b w:val="0"/>
          <w:szCs w:val="22"/>
          <w:lang w:val="hy-AM" w:eastAsia="en-US"/>
        </w:rPr>
        <w:t xml:space="preserve"> Ռիսկերի տեղի ունենալու դեպքում շեղումներ կարձանագրվեն սույն փաստաթղթի </w:t>
      </w:r>
      <w:r w:rsidRPr="00A83C94">
        <w:rPr>
          <w:rFonts w:eastAsia="Calibri"/>
          <w:b w:val="0"/>
          <w:szCs w:val="22"/>
          <w:lang w:val="es-ES" w:eastAsia="en-US"/>
        </w:rPr>
        <w:t>1.4</w:t>
      </w:r>
      <w:r w:rsidRPr="00A83C94">
        <w:rPr>
          <w:rFonts w:eastAsia="Calibri"/>
          <w:b w:val="0"/>
          <w:szCs w:val="22"/>
          <w:lang w:val="hy-AM" w:eastAsia="en-US"/>
        </w:rPr>
        <w:t xml:space="preserve"> բաժնում ներկայացված ենթադրություններից՝ հանգեցնելով մակրոտնտեսական կանխատեսումներից շեղումների և դրա հետևանքով էլ հարկաբյուջետային շրջանակի ցուցանիշների շեղման այս ՄԺԾԾ շրջանակից։</w:t>
      </w:r>
    </w:p>
    <w:p w14:paraId="52FC4126" w14:textId="77777777" w:rsidR="00027FBF" w:rsidRPr="00A83C94" w:rsidRDefault="00027FBF" w:rsidP="00027FBF">
      <w:pPr>
        <w:spacing w:before="0" w:after="120" w:line="276" w:lineRule="auto"/>
        <w:ind w:right="540" w:firstLine="360"/>
        <w:contextualSpacing w:val="0"/>
        <w:rPr>
          <w:rFonts w:eastAsia="Calibri"/>
          <w:b w:val="0"/>
          <w:szCs w:val="22"/>
          <w:lang w:val="hy-AM" w:eastAsia="en-US"/>
        </w:rPr>
      </w:pPr>
      <w:r w:rsidRPr="00A83C94">
        <w:rPr>
          <w:rFonts w:cs="Times Armenian"/>
          <w:b w:val="0"/>
          <w:bCs/>
          <w:szCs w:val="22"/>
          <w:lang w:val="hy-AM" w:eastAsia="en-US"/>
        </w:rPr>
        <w:t>Հաշվի առնելով արտաքին տնտեսական միջավայրի՝ Համավարակի հետագա զարգացումներով պայմանավորված որոշակի անորոշությունները,  պետական կապիտալ ներդրումների իրականացման և տնտեսության կլանման հնարավորությունների սահմանափակումները, ինչպես նաև ՀՀ կառավարության գործարար միջավայրի բարելավմանն ու արտահանման խթանմանն ուղղված քաղաքականությունների ազդեցությունների սպասվածից ավելի ուշ և/կամ ավելի թույլ դրսևորումները բյուջեի շրջանակում 2022թ</w:t>
      </w:r>
      <w:r w:rsidRPr="00A83C94">
        <w:rPr>
          <w:rFonts w:ascii="Cambria Math" w:hAnsi="Cambria Math" w:cs="Cambria Math"/>
          <w:b w:val="0"/>
          <w:bCs/>
          <w:szCs w:val="22"/>
          <w:lang w:val="hy-AM" w:eastAsia="en-US"/>
        </w:rPr>
        <w:t>․</w:t>
      </w:r>
      <w:r w:rsidRPr="00A83C94">
        <w:rPr>
          <w:rFonts w:cs="Times Armenian"/>
          <w:b w:val="0"/>
          <w:bCs/>
          <w:szCs w:val="22"/>
          <w:lang w:val="hy-AM" w:eastAsia="en-US"/>
        </w:rPr>
        <w:t xml:space="preserve"> ՀՀ տնտեսական աճի կանխատեսումների ռիսկերը գնահատվում են դեպի ներքև։</w:t>
      </w:r>
    </w:p>
    <w:p w14:paraId="325C2BCB" w14:textId="77777777" w:rsidR="00027FBF" w:rsidRPr="00A83C94" w:rsidRDefault="00027FBF" w:rsidP="00027FBF">
      <w:pPr>
        <w:spacing w:before="0" w:after="120" w:line="480" w:lineRule="auto"/>
        <w:ind w:firstLine="0"/>
        <w:contextualSpacing w:val="0"/>
        <w:jc w:val="left"/>
        <w:rPr>
          <w:sz w:val="24"/>
          <w:lang w:val="hy-AM" w:eastAsia="en-US"/>
        </w:rPr>
      </w:pPr>
      <w:r w:rsidRPr="00A83C94">
        <w:rPr>
          <w:sz w:val="24"/>
          <w:lang w:val="hy-AM" w:eastAsia="en-US"/>
        </w:rPr>
        <w:t>1.5.1. ՀՀ տնտեսական աճի դեպի ներքև ուղղությամբ ռիսկեր</w:t>
      </w:r>
    </w:p>
    <w:p w14:paraId="1508CE2F" w14:textId="77777777" w:rsidR="00027FBF" w:rsidRPr="00A83C94" w:rsidRDefault="00027FBF" w:rsidP="00027FBF">
      <w:pPr>
        <w:spacing w:before="40" w:after="120" w:line="276" w:lineRule="auto"/>
        <w:ind w:right="540" w:firstLine="0"/>
        <w:rPr>
          <w:rFonts w:eastAsia="Calibri" w:cs="Sylfaen"/>
          <w:bCs/>
          <w:szCs w:val="22"/>
          <w:lang w:val="hy-AM" w:eastAsia="en-US"/>
        </w:rPr>
      </w:pPr>
      <w:r w:rsidRPr="00A83C94">
        <w:rPr>
          <w:rFonts w:eastAsia="Calibri" w:cs="Sylfaen"/>
          <w:bCs/>
          <w:szCs w:val="22"/>
          <w:lang w:val="hy-AM" w:eastAsia="en-US"/>
        </w:rPr>
        <w:t xml:space="preserve">Արտաքին միջավայրից բխող դեպի ներքև ռիսկերը պայմանվորված են՝ </w:t>
      </w:r>
    </w:p>
    <w:p w14:paraId="0DDAA6D6"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 xml:space="preserve">Համաշխարհային տնտեսության, մասնավորապես ՀՀ գործընկեր երկրների տնտեսությունների սպասվածից ավելի դանդաղ վերականգմամբ,  </w:t>
      </w:r>
    </w:p>
    <w:p w14:paraId="183F1757"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Համավարակի դեմ պատվաստանյութերի տարածման սպասվածից ավելի դանդաղ  ընթացքով, պատվաստումներ կատարելու նկատմամբ բնակչության թույլ պատրաստակամությամբ, երկրների սահմանների բացման և փոխադրումների սահմանափակումների վերացման սպասվածից ավելի դանդաղ ընթացքով, ինչպես նաև համավարակի դեմ պատվաստումների սպասվածից վատ արդյունքներով:</w:t>
      </w:r>
    </w:p>
    <w:p w14:paraId="476F35E7" w14:textId="77777777" w:rsidR="00027FBF" w:rsidRPr="00A83C94" w:rsidRDefault="00027FBF" w:rsidP="00027FBF">
      <w:pPr>
        <w:spacing w:before="40" w:after="120" w:line="276" w:lineRule="auto"/>
        <w:ind w:left="1080" w:right="540" w:firstLine="0"/>
        <w:rPr>
          <w:rFonts w:eastAsia="Calibri" w:cs="Sylfaen"/>
          <w:b w:val="0"/>
          <w:bCs/>
          <w:szCs w:val="22"/>
          <w:lang w:val="hy-AM" w:eastAsia="en-US"/>
        </w:rPr>
      </w:pPr>
    </w:p>
    <w:p w14:paraId="1073BBD5" w14:textId="77777777" w:rsidR="00027FBF" w:rsidRPr="00A83C94" w:rsidRDefault="00027FBF" w:rsidP="00027FBF">
      <w:pPr>
        <w:spacing w:before="40" w:after="120" w:line="276" w:lineRule="auto"/>
        <w:ind w:right="540" w:firstLine="0"/>
        <w:rPr>
          <w:rFonts w:eastAsia="Calibri" w:cs="Sylfaen"/>
          <w:bCs/>
          <w:szCs w:val="22"/>
          <w:lang w:val="hy-AM" w:eastAsia="en-US"/>
        </w:rPr>
      </w:pPr>
      <w:r w:rsidRPr="00A83C94">
        <w:rPr>
          <w:rFonts w:eastAsia="Calibri" w:cs="Sylfaen"/>
          <w:bCs/>
          <w:szCs w:val="22"/>
          <w:lang w:val="hy-AM" w:eastAsia="en-US"/>
        </w:rPr>
        <w:t>Ներքին միջավայրից բխող դեպի ներքև ռիսկերը պայմանավորված են՝</w:t>
      </w:r>
    </w:p>
    <w:p w14:paraId="42F996D9"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szCs w:val="22"/>
          <w:lang w:val="hy-AM" w:eastAsia="en-US"/>
        </w:rPr>
        <w:t>ՀՀ-ում</w:t>
      </w:r>
      <w:r w:rsidRPr="00A83C94">
        <w:rPr>
          <w:rFonts w:eastAsia="Calibri" w:cs="Sylfaen"/>
          <w:b w:val="0"/>
          <w:i/>
          <w:szCs w:val="22"/>
          <w:lang w:val="hy-AM" w:eastAsia="en-US"/>
        </w:rPr>
        <w:t xml:space="preserve"> </w:t>
      </w:r>
      <w:r w:rsidRPr="00A83C94">
        <w:rPr>
          <w:rFonts w:eastAsia="Calibri" w:cs="Sylfaen"/>
          <w:b w:val="0"/>
          <w:szCs w:val="22"/>
          <w:lang w:val="hy-AM" w:eastAsia="en-US"/>
        </w:rPr>
        <w:t xml:space="preserve">կորոնավիրուսի համավարակի տարածման անորոշություններով,  այդ թվում բնակչության պատվաստումների ավելի ցածր ցուցանիշով, ինչպես նաև </w:t>
      </w:r>
      <w:r w:rsidRPr="00A83C94">
        <w:rPr>
          <w:rFonts w:eastAsia="Calibri" w:cs="Sylfaen"/>
          <w:b w:val="0"/>
          <w:bCs/>
          <w:szCs w:val="22"/>
          <w:lang w:val="hy-AM" w:eastAsia="en-US"/>
        </w:rPr>
        <w:t>նոր</w:t>
      </w:r>
      <w:r w:rsidRPr="00A83C94">
        <w:rPr>
          <w:rFonts w:ascii="Calibri" w:eastAsia="Calibri" w:hAnsi="Calibri" w:cs="Calibri"/>
          <w:b w:val="0"/>
          <w:bCs/>
          <w:szCs w:val="22"/>
          <w:lang w:val="hy-AM" w:eastAsia="en-US"/>
        </w:rPr>
        <w:t> </w:t>
      </w:r>
      <w:r w:rsidRPr="00A83C94">
        <w:rPr>
          <w:rFonts w:eastAsia="Calibri" w:cs="Sylfaen"/>
          <w:b w:val="0"/>
          <w:bCs/>
          <w:szCs w:val="22"/>
          <w:lang w:val="hy-AM" w:eastAsia="en-US"/>
        </w:rPr>
        <w:t xml:space="preserve">շտամերի տարածման հետևանքով հետագա տնտեսական կորուստներով, </w:t>
      </w:r>
    </w:p>
    <w:p w14:paraId="7C1CCCB5"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 xml:space="preserve">ՀՀ կառավարության աջակցության փաթեթների ազդեցությունների ավելի դանդաղ դրսևորումներով, </w:t>
      </w:r>
    </w:p>
    <w:p w14:paraId="77E63FB3"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cs="Times Armenian"/>
          <w:b w:val="0"/>
          <w:bCs/>
          <w:szCs w:val="22"/>
          <w:lang w:val="hy-AM" w:eastAsia="en-US"/>
        </w:rPr>
        <w:t>Պետական կապիտալ ներդրումների իրականացման և տնտեսության կլանման հնարավորությունների սահմանափակումներով,</w:t>
      </w:r>
    </w:p>
    <w:p w14:paraId="5726B149"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cs="Times Armenian"/>
          <w:b w:val="0"/>
          <w:bCs/>
          <w:szCs w:val="22"/>
          <w:lang w:val="hy-AM" w:eastAsia="en-US"/>
        </w:rPr>
        <w:lastRenderedPageBreak/>
        <w:t xml:space="preserve"> ՀՀ կառավարության գործարար միջավայրի բարելավմանն ու արտահանման խթանմանն ուղղված քաղաքականությունների ազդեցությունների սպասվածից ավելի ուշ և/կամ ավելի թույլ դրսևորումներով,</w:t>
      </w:r>
    </w:p>
    <w:p w14:paraId="026C0FB8" w14:textId="77777777" w:rsidR="00027FBF" w:rsidRPr="00A83C94" w:rsidRDefault="00027FBF" w:rsidP="00027FBF">
      <w:pPr>
        <w:spacing w:before="40" w:after="120" w:line="276" w:lineRule="auto"/>
        <w:ind w:left="1080" w:right="540" w:firstLine="0"/>
        <w:contextualSpacing w:val="0"/>
        <w:rPr>
          <w:rFonts w:eastAsia="Calibri" w:cs="Sylfaen"/>
          <w:b w:val="0"/>
          <w:bCs/>
          <w:szCs w:val="22"/>
          <w:lang w:val="hy-AM" w:eastAsia="en-US"/>
        </w:rPr>
      </w:pPr>
    </w:p>
    <w:p w14:paraId="06A3C34A"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ՀՀ կառավարության այլ կառուցվածքային բարեփոխումների ակնկալվող արդյունքների սպասվածից ավելի ուշ արտահայտմամբ:</w:t>
      </w:r>
    </w:p>
    <w:p w14:paraId="53879F43" w14:textId="77777777" w:rsidR="00027FBF" w:rsidRPr="00A83C94" w:rsidRDefault="00027FBF" w:rsidP="00027FBF">
      <w:pPr>
        <w:spacing w:before="0" w:after="120" w:line="480" w:lineRule="auto"/>
        <w:ind w:firstLine="0"/>
        <w:contextualSpacing w:val="0"/>
        <w:jc w:val="left"/>
        <w:rPr>
          <w:sz w:val="24"/>
          <w:lang w:val="hy-AM" w:eastAsia="en-US"/>
        </w:rPr>
      </w:pPr>
      <w:r w:rsidRPr="00A83C94">
        <w:rPr>
          <w:sz w:val="24"/>
          <w:lang w:val="hy-AM" w:eastAsia="en-US"/>
        </w:rPr>
        <w:t xml:space="preserve">1.5.2. Տնտեսական աճի դեպի վերև ուղղությամբ ռիսկեր </w:t>
      </w:r>
    </w:p>
    <w:p w14:paraId="14F5B2B6" w14:textId="77777777" w:rsidR="00027FBF" w:rsidRPr="00A83C94" w:rsidRDefault="00027FBF" w:rsidP="00027FBF">
      <w:pPr>
        <w:spacing w:before="40" w:after="120" w:line="276" w:lineRule="auto"/>
        <w:ind w:right="540" w:firstLine="0"/>
        <w:rPr>
          <w:rFonts w:eastAsia="Calibri" w:cs="Sylfaen"/>
          <w:bCs/>
          <w:szCs w:val="22"/>
          <w:lang w:val="hy-AM" w:eastAsia="en-US"/>
        </w:rPr>
      </w:pPr>
      <w:r w:rsidRPr="00A83C94">
        <w:rPr>
          <w:rFonts w:eastAsia="Calibri" w:cs="Sylfaen"/>
          <w:b w:val="0"/>
          <w:bCs/>
          <w:szCs w:val="22"/>
          <w:lang w:val="hy-AM" w:eastAsia="en-US"/>
        </w:rPr>
        <w:t xml:space="preserve">     </w:t>
      </w:r>
      <w:r w:rsidRPr="00A83C94">
        <w:rPr>
          <w:rFonts w:eastAsia="Calibri" w:cs="Sylfaen"/>
          <w:bCs/>
          <w:szCs w:val="22"/>
          <w:lang w:val="hy-AM" w:eastAsia="en-US"/>
        </w:rPr>
        <w:t xml:space="preserve">Արտաքին գործոններից բխող դեպի վերև ռիսկերը պայմանավորված են՝ </w:t>
      </w:r>
    </w:p>
    <w:p w14:paraId="30D5B175"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 xml:space="preserve"> ՀՀ գործընկեր երկրների, մասնավորապես՝ Ռուսաստանի, Եվրոգոտու, ԱՄՆ-ի և Չինաստանի արտաքին պահանջարկի վերականգման, ինչպես նաև հանքահումքային ապրանքների, մասնավորապես՝ պղնձի միջազգային գների սպասվածից ավելի դրական զարգացումներով: </w:t>
      </w:r>
    </w:p>
    <w:p w14:paraId="110597F8"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Աշխարհի մասշտաբով, պատվաստանյութերի առավել ընդգրկուն և մասսայական կիրառման արդյունքում երկրների միջև սահմանափակումների նախատեսվածից արագ վերացման պայմաններում համաշխարհային տուրիզմի սպասվածից ավելի շուտ վերականգմամբ։</w:t>
      </w:r>
    </w:p>
    <w:p w14:paraId="1EA3BCFE"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 xml:space="preserve">ԱՄՆ-ից դեպի Հայաստան դրամական փոխանցումների բարձր մակարդակի պահպանմամբ։ </w:t>
      </w:r>
    </w:p>
    <w:p w14:paraId="0A962316"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ԵՄ աջակցության շրջանակներում 2022թ</w:t>
      </w:r>
      <w:r w:rsidRPr="00A83C94">
        <w:rPr>
          <w:rFonts w:ascii="Cambria Math" w:eastAsia="Calibri" w:hAnsi="Cambria Math" w:cs="Cambria Math"/>
          <w:b w:val="0"/>
          <w:bCs/>
          <w:szCs w:val="22"/>
          <w:lang w:val="hy-AM" w:eastAsia="en-US"/>
        </w:rPr>
        <w:t>․</w:t>
      </w:r>
      <w:r w:rsidRPr="00A83C94">
        <w:rPr>
          <w:rFonts w:eastAsia="Calibri"/>
          <w:b w:val="0"/>
          <w:bCs/>
          <w:szCs w:val="22"/>
          <w:lang w:val="hy-AM" w:eastAsia="en-US"/>
        </w:rPr>
        <w:t xml:space="preserve"> նախատեսվող ներդրումների սպասվածից ավել իրականացմամբ։</w:t>
      </w:r>
    </w:p>
    <w:p w14:paraId="3CCCA90E" w14:textId="77777777" w:rsidR="00027FBF" w:rsidRPr="00A83C94" w:rsidRDefault="00027FBF" w:rsidP="00027FBF">
      <w:pPr>
        <w:spacing w:before="40" w:after="120" w:line="276" w:lineRule="auto"/>
        <w:ind w:right="540" w:firstLine="0"/>
        <w:rPr>
          <w:rFonts w:eastAsia="Calibri" w:cs="Sylfaen"/>
          <w:bCs/>
          <w:szCs w:val="22"/>
          <w:lang w:val="hy-AM" w:eastAsia="en-US"/>
        </w:rPr>
      </w:pPr>
      <w:r w:rsidRPr="00A83C94">
        <w:rPr>
          <w:rFonts w:eastAsia="Calibri" w:cs="Sylfaen"/>
          <w:bCs/>
          <w:szCs w:val="22"/>
          <w:lang w:val="hy-AM" w:eastAsia="en-US"/>
        </w:rPr>
        <w:t xml:space="preserve">Ներքին միջավայրից բխող դեպի վերև ռիսկերը պայմանավորված են` </w:t>
      </w:r>
    </w:p>
    <w:p w14:paraId="127E626B" w14:textId="77777777" w:rsidR="00027FBF" w:rsidRPr="00A83C94" w:rsidRDefault="00027FBF" w:rsidP="00027FBF">
      <w:pPr>
        <w:numPr>
          <w:ilvl w:val="0"/>
          <w:numId w:val="58"/>
        </w:numPr>
        <w:spacing w:before="40" w:after="120" w:line="276" w:lineRule="auto"/>
        <w:ind w:right="540"/>
        <w:contextualSpacing w:val="0"/>
        <w:jc w:val="left"/>
        <w:rPr>
          <w:rFonts w:eastAsia="Calibri" w:cs="Sylfaen"/>
          <w:b w:val="0"/>
          <w:szCs w:val="22"/>
          <w:lang w:val="hy-AM" w:eastAsia="en-US"/>
        </w:rPr>
      </w:pPr>
      <w:r w:rsidRPr="00A83C94">
        <w:rPr>
          <w:rFonts w:eastAsia="Calibri" w:cs="Sylfaen"/>
          <w:b w:val="0"/>
          <w:bCs/>
          <w:szCs w:val="22"/>
          <w:lang w:val="hy-AM" w:eastAsia="en-US"/>
        </w:rPr>
        <w:t>ՀՀ կառավարության Տնտեսական արձագանքման ծրագրով</w:t>
      </w:r>
      <w:r w:rsidRPr="00A83C94">
        <w:rPr>
          <w:rFonts w:eastAsia="Calibri" w:cs="Sylfaen"/>
          <w:b w:val="0"/>
          <w:bCs/>
          <w:szCs w:val="22"/>
          <w:vertAlign w:val="superscript"/>
          <w:lang w:val="hy-AM" w:eastAsia="en-US"/>
        </w:rPr>
        <w:footnoteReference w:id="14"/>
      </w:r>
      <w:r w:rsidRPr="00A83C94">
        <w:rPr>
          <w:rFonts w:eastAsia="Calibri" w:cs="Sylfaen"/>
          <w:b w:val="0"/>
          <w:bCs/>
          <w:szCs w:val="22"/>
          <w:lang w:val="hy-AM" w:eastAsia="en-US"/>
        </w:rPr>
        <w:t xml:space="preserve"> նախատեսված խոշոր մասնավոր ներդրումային ծրագրերի իրականացմամբ,</w:t>
      </w:r>
    </w:p>
    <w:p w14:paraId="15925EAB" w14:textId="77777777" w:rsidR="00027FBF" w:rsidRPr="00A83C94" w:rsidRDefault="00027FBF" w:rsidP="00027FBF">
      <w:pPr>
        <w:numPr>
          <w:ilvl w:val="0"/>
          <w:numId w:val="58"/>
        </w:numPr>
        <w:spacing w:before="40" w:after="120" w:line="276" w:lineRule="auto"/>
        <w:ind w:right="540"/>
        <w:contextualSpacing w:val="0"/>
        <w:jc w:val="left"/>
        <w:rPr>
          <w:rFonts w:eastAsia="Calibri" w:cs="Sylfaen"/>
          <w:b w:val="0"/>
          <w:szCs w:val="22"/>
          <w:lang w:val="hy-AM" w:eastAsia="en-US"/>
        </w:rPr>
      </w:pPr>
      <w:r w:rsidRPr="00A83C94">
        <w:rPr>
          <w:rFonts w:eastAsia="Calibri" w:cs="Sylfaen"/>
          <w:b w:val="0"/>
          <w:szCs w:val="22"/>
          <w:lang w:val="hy-AM" w:eastAsia="en-US"/>
        </w:rPr>
        <w:t>ՀՀ կառավարության  ծրագրում նպատակադրված թիրախների ավելի շուտ ապահովմամբ և արդյունավետ իրականացմամբ։</w:t>
      </w:r>
    </w:p>
    <w:p w14:paraId="2B4677A6" w14:textId="77777777" w:rsidR="00027FBF" w:rsidRPr="00A83C94" w:rsidRDefault="00027FBF" w:rsidP="00027FBF">
      <w:pPr>
        <w:numPr>
          <w:ilvl w:val="0"/>
          <w:numId w:val="58"/>
        </w:numPr>
        <w:spacing w:before="40" w:after="120" w:line="276" w:lineRule="auto"/>
        <w:ind w:right="540"/>
        <w:contextualSpacing w:val="0"/>
        <w:jc w:val="left"/>
        <w:rPr>
          <w:rFonts w:eastAsia="Calibri" w:cs="Sylfaen"/>
          <w:b w:val="0"/>
          <w:szCs w:val="22"/>
          <w:lang w:val="hy-AM" w:eastAsia="en-US"/>
        </w:rPr>
      </w:pPr>
      <w:r w:rsidRPr="00A83C94">
        <w:rPr>
          <w:rFonts w:eastAsia="Calibri" w:cs="Sylfaen"/>
          <w:b w:val="0"/>
          <w:bCs/>
          <w:szCs w:val="22"/>
          <w:lang w:val="hy-AM" w:eastAsia="en-US"/>
        </w:rPr>
        <w:t>Մասնավոր ներդրումների խթանմանն ուղղված ծրագրի (ANIF) իրականացման՝ տնտեսական ակտիվության վրա հնարավոր լրացուցիչ դրական ազդեցությամբ,</w:t>
      </w:r>
    </w:p>
    <w:p w14:paraId="4968F79E" w14:textId="77777777" w:rsidR="00027FBF" w:rsidRPr="00A83C94" w:rsidRDefault="00027FBF" w:rsidP="00027FBF">
      <w:pPr>
        <w:numPr>
          <w:ilvl w:val="0"/>
          <w:numId w:val="58"/>
        </w:numPr>
        <w:spacing w:before="40" w:after="120" w:line="276" w:lineRule="auto"/>
        <w:ind w:right="540"/>
        <w:contextualSpacing w:val="0"/>
        <w:jc w:val="left"/>
        <w:rPr>
          <w:rFonts w:eastAsia="Calibri" w:cs="Sylfaen"/>
          <w:b w:val="0"/>
          <w:szCs w:val="22"/>
          <w:lang w:val="hy-AM" w:eastAsia="en-US"/>
        </w:rPr>
      </w:pPr>
      <w:r w:rsidRPr="00A83C94">
        <w:rPr>
          <w:rFonts w:eastAsia="Calibri" w:cs="Sylfaen"/>
          <w:b w:val="0"/>
          <w:bCs/>
          <w:szCs w:val="22"/>
          <w:lang w:val="hy-AM" w:eastAsia="en-US"/>
        </w:rPr>
        <w:t>Ամուլսարի շահագործումից բխող տնտեսական ակտիվությամբ:</w:t>
      </w:r>
    </w:p>
    <w:p w14:paraId="5AF039D8" w14:textId="77777777" w:rsidR="00027FBF" w:rsidRPr="00A83C94" w:rsidRDefault="00027FBF" w:rsidP="00027FBF">
      <w:pPr>
        <w:spacing w:before="60" w:after="60" w:line="276" w:lineRule="auto"/>
        <w:ind w:right="115" w:firstLine="432"/>
        <w:contextualSpacing w:val="0"/>
        <w:rPr>
          <w:rFonts w:eastAsia="Calibri" w:cs="Sylfaen"/>
          <w:b w:val="0"/>
          <w:bCs/>
          <w:szCs w:val="22"/>
          <w:lang w:val="hy-AM" w:eastAsia="en-US"/>
        </w:rPr>
      </w:pPr>
      <w:r w:rsidRPr="00A83C94">
        <w:rPr>
          <w:rFonts w:eastAsia="Calibri" w:cs="Sylfaen"/>
          <w:b w:val="0"/>
          <w:bCs/>
          <w:szCs w:val="22"/>
          <w:lang w:val="hy-AM" w:eastAsia="en-US"/>
        </w:rPr>
        <w:t>Տնտեսական աճի ռիսկերը ներկայացված են ներքոնշյալ Գծապատկեր 1.32-ում և Աղյուսակ 1.4-ում:</w:t>
      </w:r>
    </w:p>
    <w:p w14:paraId="4CE7FE51" w14:textId="77777777" w:rsidR="00027FBF" w:rsidRPr="00A83C94" w:rsidRDefault="00027FBF" w:rsidP="00027FBF">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A83C94">
        <w:rPr>
          <w:rFonts w:eastAsia="Calibri" w:cs="Sylfaen"/>
          <w:bCs/>
          <w:i/>
          <w:iCs/>
          <w:color w:val="000000"/>
          <w:sz w:val="20"/>
          <w:szCs w:val="20"/>
          <w:lang w:val="hy-AM" w:eastAsia="en-US"/>
        </w:rPr>
        <w:lastRenderedPageBreak/>
        <w:t xml:space="preserve">Գծապատկեր 1.32. </w:t>
      </w:r>
      <w:r w:rsidRPr="00A83C94">
        <w:rPr>
          <w:rFonts w:eastAsia="Calibri" w:cs="Sylfaen"/>
          <w:b w:val="0"/>
          <w:bCs/>
          <w:i/>
          <w:iCs/>
          <w:color w:val="000000"/>
          <w:sz w:val="20"/>
          <w:szCs w:val="20"/>
          <w:lang w:val="hy-AM" w:eastAsia="en-US"/>
        </w:rPr>
        <w:t>Իրական ՀՆԱ աճի կանխատեսման հավանականությունների բաշխումը (Fan Chart)</w:t>
      </w:r>
    </w:p>
    <w:p w14:paraId="7B144403" w14:textId="77777777" w:rsidR="00027FBF" w:rsidRPr="00A83C94" w:rsidRDefault="00027FBF" w:rsidP="00027FBF">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A83C94">
        <w:rPr>
          <w:noProof/>
          <w:lang w:val="en-US" w:eastAsia="en-US"/>
        </w:rPr>
        <w:drawing>
          <wp:inline distT="0" distB="0" distL="0" distR="0" wp14:anchorId="3E92CDF1" wp14:editId="20F37B8E">
            <wp:extent cx="6111240" cy="2773680"/>
            <wp:effectExtent l="0" t="0" r="3810" b="7620"/>
            <wp:docPr id="10" name="Chart 10">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3821815" w14:textId="77777777" w:rsidR="00027FBF" w:rsidRPr="00A83C94" w:rsidRDefault="00027FBF" w:rsidP="00027FBF">
      <w:pPr>
        <w:tabs>
          <w:tab w:val="left" w:pos="0"/>
          <w:tab w:val="num" w:pos="720"/>
        </w:tabs>
        <w:spacing w:before="0" w:line="276" w:lineRule="auto"/>
        <w:ind w:firstLine="0"/>
        <w:rPr>
          <w:rFonts w:eastAsia="Calibri"/>
          <w:b w:val="0"/>
          <w:i/>
          <w:sz w:val="16"/>
          <w:szCs w:val="16"/>
          <w:lang w:val="hy-AM"/>
        </w:rPr>
      </w:pPr>
      <w:r w:rsidRPr="00A83C94">
        <w:rPr>
          <w:rFonts w:eastAsia="Calibri"/>
          <w:b w:val="0"/>
          <w:i/>
          <w:sz w:val="16"/>
          <w:szCs w:val="16"/>
          <w:lang w:val="hy-AM"/>
        </w:rPr>
        <w:t>Աղբյուրը՝ ՀՀ ՖՆ գնահատումներ և կանխատեսումներ</w:t>
      </w:r>
    </w:p>
    <w:p w14:paraId="40E2B42C" w14:textId="77777777" w:rsidR="00027FBF" w:rsidRPr="00A83C94" w:rsidRDefault="00027FBF" w:rsidP="00027FBF">
      <w:pPr>
        <w:spacing w:before="0" w:line="240" w:lineRule="auto"/>
        <w:ind w:right="111" w:firstLine="0"/>
        <w:contextualSpacing w:val="0"/>
        <w:jc w:val="left"/>
        <w:rPr>
          <w:rFonts w:eastAsia="Calibri"/>
          <w:b w:val="0"/>
          <w:sz w:val="18"/>
          <w:szCs w:val="18"/>
          <w:lang w:val="hy-AM" w:eastAsia="en-US"/>
        </w:rPr>
      </w:pPr>
    </w:p>
    <w:p w14:paraId="5426CDF4" w14:textId="77777777" w:rsidR="00027FBF" w:rsidRPr="00A83C94" w:rsidRDefault="00027FBF" w:rsidP="00027FBF">
      <w:pPr>
        <w:ind w:right="111" w:firstLine="0"/>
        <w:rPr>
          <w:sz w:val="20"/>
          <w:szCs w:val="20"/>
          <w:lang w:val="hy-AM"/>
        </w:rPr>
      </w:pPr>
      <w:r w:rsidRPr="00A83C94">
        <w:rPr>
          <w:rFonts w:eastAsia="Calibri" w:cs="Sylfaen"/>
          <w:bCs/>
          <w:i/>
          <w:iCs/>
          <w:color w:val="000000"/>
          <w:sz w:val="20"/>
          <w:szCs w:val="20"/>
          <w:lang w:val="hy-AM" w:eastAsia="en-US"/>
        </w:rPr>
        <w:t>Աղյուսակ</w:t>
      </w:r>
      <w:r w:rsidRPr="00A83C94">
        <w:rPr>
          <w:rFonts w:eastAsia="Calibri"/>
          <w:bCs/>
          <w:i/>
          <w:iCs/>
          <w:color w:val="000000"/>
          <w:sz w:val="20"/>
          <w:szCs w:val="20"/>
          <w:lang w:val="hy-AM" w:eastAsia="en-US"/>
        </w:rPr>
        <w:t xml:space="preserve"> 1.4. </w:t>
      </w:r>
      <w:r w:rsidRPr="00A83C94">
        <w:rPr>
          <w:rFonts w:eastAsia="Calibri" w:cs="Sylfaen"/>
          <w:b w:val="0"/>
          <w:bCs/>
          <w:i/>
          <w:iCs/>
          <w:color w:val="000000"/>
          <w:sz w:val="20"/>
          <w:szCs w:val="20"/>
          <w:lang w:val="hy-AM" w:eastAsia="en-US"/>
        </w:rPr>
        <w:t>Իրական</w:t>
      </w:r>
      <w:r w:rsidRPr="00A83C94">
        <w:rPr>
          <w:rFonts w:eastAsia="Calibri"/>
          <w:b w:val="0"/>
          <w:bCs/>
          <w:i/>
          <w:iCs/>
          <w:color w:val="000000"/>
          <w:sz w:val="20"/>
          <w:szCs w:val="20"/>
          <w:lang w:val="hy-AM" w:eastAsia="en-US"/>
        </w:rPr>
        <w:t xml:space="preserve"> </w:t>
      </w:r>
      <w:r w:rsidRPr="00A83C94">
        <w:rPr>
          <w:rFonts w:eastAsia="Calibri" w:cs="Sylfaen"/>
          <w:b w:val="0"/>
          <w:bCs/>
          <w:i/>
          <w:iCs/>
          <w:color w:val="000000"/>
          <w:sz w:val="20"/>
          <w:szCs w:val="20"/>
          <w:lang w:val="hy-AM" w:eastAsia="en-US"/>
        </w:rPr>
        <w:t>ՀՆԱ-ի աճի կանխատեսման</w:t>
      </w:r>
      <w:r w:rsidRPr="00A83C94">
        <w:rPr>
          <w:rFonts w:eastAsia="Calibri"/>
          <w:b w:val="0"/>
          <w:bCs/>
          <w:i/>
          <w:iCs/>
          <w:color w:val="000000"/>
          <w:sz w:val="20"/>
          <w:szCs w:val="20"/>
          <w:lang w:val="hy-AM" w:eastAsia="en-US"/>
        </w:rPr>
        <w:t xml:space="preserve"> </w:t>
      </w:r>
      <w:r w:rsidRPr="00A83C94">
        <w:rPr>
          <w:rFonts w:eastAsia="Calibri" w:cs="Sylfaen"/>
          <w:b w:val="0"/>
          <w:bCs/>
          <w:i/>
          <w:iCs/>
          <w:color w:val="000000"/>
          <w:sz w:val="20"/>
          <w:szCs w:val="20"/>
          <w:lang w:val="hy-AM" w:eastAsia="en-US"/>
        </w:rPr>
        <w:t>հավանականությունների</w:t>
      </w:r>
      <w:r w:rsidRPr="00A83C94">
        <w:rPr>
          <w:rFonts w:eastAsia="Calibri"/>
          <w:b w:val="0"/>
          <w:bCs/>
          <w:i/>
          <w:iCs/>
          <w:color w:val="000000"/>
          <w:sz w:val="20"/>
          <w:szCs w:val="20"/>
          <w:lang w:val="hy-AM" w:eastAsia="en-US"/>
        </w:rPr>
        <w:t xml:space="preserve"> </w:t>
      </w:r>
      <w:r w:rsidRPr="00A83C94">
        <w:rPr>
          <w:rFonts w:eastAsia="Calibri" w:cs="Sylfaen"/>
          <w:b w:val="0"/>
          <w:bCs/>
          <w:i/>
          <w:iCs/>
          <w:color w:val="000000"/>
          <w:sz w:val="20"/>
          <w:szCs w:val="20"/>
          <w:lang w:val="hy-AM" w:eastAsia="en-US"/>
        </w:rPr>
        <w:t>բաշխումը, (կուտակային</w:t>
      </w:r>
      <w:r w:rsidRPr="00A83C94">
        <w:rPr>
          <w:rFonts w:cs="Sylfaen"/>
          <w:b w:val="0"/>
          <w:sz w:val="20"/>
          <w:szCs w:val="20"/>
          <w:u w:val="single"/>
          <w:lang w:val="es-ES" w:eastAsia="en-US"/>
        </w:rPr>
        <w:t>)</w:t>
      </w:r>
      <w:bookmarkStart w:id="46" w:name="_Hlk56530504"/>
      <w:r w:rsidRPr="00A83C94">
        <w:rPr>
          <w:rFonts w:eastAsia="Calibri"/>
          <w:sz w:val="20"/>
          <w:szCs w:val="20"/>
          <w:vertAlign w:val="superscript"/>
          <w:lang w:val="hy-AM"/>
        </w:rPr>
        <w:footnoteReference w:id="15"/>
      </w:r>
    </w:p>
    <w:tbl>
      <w:tblPr>
        <w:tblW w:w="8433" w:type="dxa"/>
        <w:tblInd w:w="67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1474"/>
        <w:gridCol w:w="1440"/>
        <w:gridCol w:w="1530"/>
        <w:gridCol w:w="1710"/>
      </w:tblGrid>
      <w:tr w:rsidR="00027FBF" w:rsidRPr="006B7E7B" w14:paraId="18985B6F" w14:textId="77777777" w:rsidTr="00027FBF">
        <w:trPr>
          <w:trHeight w:val="459"/>
        </w:trPr>
        <w:tc>
          <w:tcPr>
            <w:tcW w:w="2279" w:type="dxa"/>
            <w:vMerge w:val="restart"/>
            <w:shd w:val="clear" w:color="auto" w:fill="auto"/>
            <w:vAlign w:val="center"/>
            <w:hideMark/>
          </w:tcPr>
          <w:p w14:paraId="6FB7FEE7" w14:textId="77777777" w:rsidR="00027FBF" w:rsidRPr="00A83C94" w:rsidRDefault="00027FBF" w:rsidP="00027FBF">
            <w:pPr>
              <w:tabs>
                <w:tab w:val="center" w:pos="4677"/>
                <w:tab w:val="right" w:pos="9355"/>
              </w:tabs>
              <w:spacing w:before="0" w:line="240" w:lineRule="auto"/>
              <w:ind w:right="111" w:firstLine="152"/>
              <w:jc w:val="center"/>
              <w:rPr>
                <w:rFonts w:eastAsia="Calibri" w:cs="Calibri"/>
                <w:color w:val="000000"/>
                <w:sz w:val="18"/>
                <w:szCs w:val="18"/>
                <w:lang w:val="hy-AM"/>
              </w:rPr>
            </w:pPr>
            <w:bookmarkStart w:id="47" w:name="_Hlk56530454"/>
            <w:bookmarkEnd w:id="46"/>
            <w:r w:rsidRPr="00A83C94">
              <w:rPr>
                <w:rFonts w:eastAsia="Calibri" w:cs="Sylfaen"/>
                <w:color w:val="000000"/>
                <w:sz w:val="18"/>
                <w:szCs w:val="18"/>
              </w:rPr>
              <w:t>Տնտեսական</w:t>
            </w:r>
            <w:r w:rsidRPr="00A83C94">
              <w:rPr>
                <w:rFonts w:eastAsia="Calibri" w:cs="Calibri"/>
                <w:color w:val="000000"/>
                <w:sz w:val="18"/>
                <w:szCs w:val="18"/>
              </w:rPr>
              <w:t xml:space="preserve"> </w:t>
            </w:r>
            <w:r w:rsidRPr="00A83C94">
              <w:rPr>
                <w:rFonts w:eastAsia="Calibri" w:cs="Sylfaen"/>
                <w:color w:val="000000"/>
                <w:sz w:val="18"/>
                <w:szCs w:val="18"/>
              </w:rPr>
              <w:t>աճի</w:t>
            </w:r>
            <w:r w:rsidRPr="00A83C94">
              <w:rPr>
                <w:rFonts w:eastAsia="Calibri" w:cs="Calibri"/>
                <w:color w:val="000000"/>
                <w:sz w:val="18"/>
                <w:szCs w:val="18"/>
              </w:rPr>
              <w:t xml:space="preserve"> </w:t>
            </w:r>
            <w:r w:rsidRPr="00A83C94">
              <w:rPr>
                <w:rFonts w:eastAsia="Calibri" w:cs="Sylfaen"/>
                <w:color w:val="000000"/>
                <w:sz w:val="18"/>
                <w:szCs w:val="18"/>
              </w:rPr>
              <w:t>միջակայքը</w:t>
            </w:r>
            <w:r w:rsidRPr="00A83C94">
              <w:rPr>
                <w:rFonts w:eastAsia="Calibri" w:cs="Calibri"/>
                <w:color w:val="000000"/>
                <w:sz w:val="18"/>
                <w:szCs w:val="18"/>
                <w:lang w:val="hy-AM"/>
              </w:rPr>
              <w:t xml:space="preserve">, </w:t>
            </w:r>
            <w:r w:rsidRPr="00A83C94">
              <w:rPr>
                <w:rFonts w:eastAsia="Calibri" w:cs="Calibri"/>
                <w:color w:val="000000"/>
                <w:sz w:val="18"/>
                <w:szCs w:val="18"/>
              </w:rPr>
              <w:t>%</w:t>
            </w:r>
          </w:p>
        </w:tc>
        <w:tc>
          <w:tcPr>
            <w:tcW w:w="6154" w:type="dxa"/>
            <w:gridSpan w:val="4"/>
            <w:shd w:val="clear" w:color="auto" w:fill="auto"/>
            <w:vAlign w:val="center"/>
            <w:hideMark/>
          </w:tcPr>
          <w:p w14:paraId="00BAC807" w14:textId="77777777" w:rsidR="00027FBF" w:rsidRPr="00A83C94" w:rsidRDefault="00027FBF" w:rsidP="00027FBF">
            <w:pPr>
              <w:tabs>
                <w:tab w:val="center" w:pos="4677"/>
                <w:tab w:val="right" w:pos="9355"/>
              </w:tabs>
              <w:spacing w:before="0" w:line="240" w:lineRule="auto"/>
              <w:ind w:right="111" w:firstLine="0"/>
              <w:jc w:val="center"/>
              <w:rPr>
                <w:rFonts w:eastAsia="Calibri" w:cs="Calibri"/>
                <w:color w:val="000000"/>
                <w:sz w:val="18"/>
                <w:szCs w:val="18"/>
                <w:lang w:val="hy-AM"/>
              </w:rPr>
            </w:pPr>
            <w:r w:rsidRPr="00A83C94">
              <w:rPr>
                <w:rFonts w:eastAsia="Calibri" w:cs="Sylfaen"/>
                <w:color w:val="000000"/>
                <w:sz w:val="18"/>
                <w:szCs w:val="18"/>
                <w:lang w:val="hy-AM"/>
              </w:rPr>
              <w:t>Տնտեսական</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աճի</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տվյալ</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միջակայքում</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ձևավորվելու</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հավանականությունը</w:t>
            </w:r>
            <w:r w:rsidRPr="00A83C94">
              <w:rPr>
                <w:rFonts w:eastAsia="Calibri" w:cs="Calibri"/>
                <w:color w:val="000000"/>
                <w:sz w:val="18"/>
                <w:szCs w:val="18"/>
                <w:lang w:val="hy-AM"/>
              </w:rPr>
              <w:t>, %</w:t>
            </w:r>
          </w:p>
        </w:tc>
      </w:tr>
      <w:tr w:rsidR="00027FBF" w:rsidRPr="00A83C94" w14:paraId="235E8614" w14:textId="77777777" w:rsidTr="00027FBF">
        <w:trPr>
          <w:trHeight w:val="930"/>
        </w:trPr>
        <w:tc>
          <w:tcPr>
            <w:tcW w:w="2279" w:type="dxa"/>
            <w:vMerge/>
            <w:vAlign w:val="center"/>
            <w:hideMark/>
          </w:tcPr>
          <w:p w14:paraId="27F86F38" w14:textId="77777777" w:rsidR="00027FBF" w:rsidRPr="00A83C94" w:rsidRDefault="00027FBF" w:rsidP="00027FBF">
            <w:pPr>
              <w:spacing w:before="0" w:line="240" w:lineRule="auto"/>
              <w:ind w:right="111" w:firstLine="0"/>
              <w:jc w:val="left"/>
              <w:rPr>
                <w:rFonts w:eastAsia="Calibri" w:cs="Calibri"/>
                <w:color w:val="000000"/>
                <w:sz w:val="18"/>
                <w:szCs w:val="18"/>
                <w:lang w:val="hy-AM"/>
              </w:rPr>
            </w:pPr>
          </w:p>
        </w:tc>
        <w:tc>
          <w:tcPr>
            <w:tcW w:w="1474" w:type="dxa"/>
            <w:shd w:val="clear" w:color="auto" w:fill="auto"/>
            <w:noWrap/>
            <w:vAlign w:val="center"/>
            <w:hideMark/>
          </w:tcPr>
          <w:p w14:paraId="00CF77AD" w14:textId="77777777" w:rsidR="00027FBF" w:rsidRPr="00A83C94" w:rsidRDefault="00027FBF" w:rsidP="00027FBF">
            <w:pPr>
              <w:ind w:right="111" w:firstLine="106"/>
              <w:jc w:val="center"/>
              <w:rPr>
                <w:rFonts w:eastAsia="Calibri" w:cs="Calibri"/>
                <w:color w:val="000000"/>
                <w:sz w:val="20"/>
                <w:szCs w:val="20"/>
                <w:lang w:val="hy-AM"/>
              </w:rPr>
            </w:pPr>
            <w:r w:rsidRPr="00A83C94">
              <w:rPr>
                <w:color w:val="000000"/>
                <w:sz w:val="20"/>
                <w:szCs w:val="20"/>
              </w:rPr>
              <w:t>202</w:t>
            </w:r>
            <w:r w:rsidRPr="00A83C94">
              <w:rPr>
                <w:color w:val="000000"/>
                <w:sz w:val="20"/>
                <w:szCs w:val="20"/>
                <w:lang w:val="hy-AM"/>
              </w:rPr>
              <w:t>2</w:t>
            </w:r>
            <w:r w:rsidRPr="00A83C94">
              <w:rPr>
                <w:color w:val="000000"/>
                <w:sz w:val="20"/>
                <w:szCs w:val="20"/>
              </w:rPr>
              <w:t xml:space="preserve"> I </w:t>
            </w:r>
            <w:r w:rsidRPr="00A83C94">
              <w:rPr>
                <w:rFonts w:cs="Sylfaen"/>
                <w:color w:val="000000"/>
                <w:sz w:val="20"/>
                <w:szCs w:val="20"/>
              </w:rPr>
              <w:t>եռ</w:t>
            </w:r>
            <w:r w:rsidRPr="00A83C94">
              <w:rPr>
                <w:color w:val="000000"/>
                <w:sz w:val="20"/>
                <w:szCs w:val="20"/>
              </w:rPr>
              <w:t>.</w:t>
            </w:r>
          </w:p>
        </w:tc>
        <w:tc>
          <w:tcPr>
            <w:tcW w:w="1440" w:type="dxa"/>
            <w:shd w:val="clear" w:color="auto" w:fill="auto"/>
            <w:vAlign w:val="center"/>
            <w:hideMark/>
          </w:tcPr>
          <w:p w14:paraId="322EC5C8" w14:textId="77777777" w:rsidR="00027FBF" w:rsidRPr="00A83C94" w:rsidRDefault="00027FBF" w:rsidP="00027FBF">
            <w:pPr>
              <w:ind w:right="111" w:firstLine="106"/>
              <w:jc w:val="center"/>
              <w:rPr>
                <w:rFonts w:eastAsia="Calibri" w:cs="Calibri"/>
                <w:color w:val="000000"/>
                <w:sz w:val="20"/>
                <w:szCs w:val="20"/>
                <w:lang w:val="hy-AM"/>
              </w:rPr>
            </w:pPr>
            <w:r w:rsidRPr="00A83C94">
              <w:rPr>
                <w:color w:val="000000"/>
                <w:sz w:val="20"/>
                <w:szCs w:val="20"/>
              </w:rPr>
              <w:t>202</w:t>
            </w:r>
            <w:r w:rsidRPr="00A83C94">
              <w:rPr>
                <w:color w:val="000000"/>
                <w:sz w:val="20"/>
                <w:szCs w:val="20"/>
                <w:lang w:val="hy-AM"/>
              </w:rPr>
              <w:t>2</w:t>
            </w:r>
            <w:r w:rsidRPr="00A83C94">
              <w:rPr>
                <w:color w:val="000000"/>
                <w:sz w:val="20"/>
                <w:szCs w:val="20"/>
              </w:rPr>
              <w:t xml:space="preserve"> II </w:t>
            </w:r>
            <w:r w:rsidRPr="00A83C94">
              <w:rPr>
                <w:rFonts w:cs="Sylfaen"/>
                <w:color w:val="000000"/>
                <w:sz w:val="20"/>
                <w:szCs w:val="20"/>
              </w:rPr>
              <w:t>եռ</w:t>
            </w:r>
            <w:r w:rsidRPr="00A83C94">
              <w:rPr>
                <w:color w:val="000000"/>
                <w:sz w:val="20"/>
                <w:szCs w:val="20"/>
              </w:rPr>
              <w:t>.</w:t>
            </w:r>
          </w:p>
        </w:tc>
        <w:tc>
          <w:tcPr>
            <w:tcW w:w="1530" w:type="dxa"/>
            <w:shd w:val="clear" w:color="auto" w:fill="auto"/>
            <w:noWrap/>
            <w:vAlign w:val="center"/>
            <w:hideMark/>
          </w:tcPr>
          <w:p w14:paraId="47666602" w14:textId="77777777" w:rsidR="00027FBF" w:rsidRPr="00A83C94" w:rsidRDefault="00027FBF" w:rsidP="00027FBF">
            <w:pPr>
              <w:ind w:right="111" w:firstLine="106"/>
              <w:jc w:val="center"/>
              <w:rPr>
                <w:rFonts w:eastAsia="Calibri" w:cs="Calibri"/>
                <w:color w:val="000000"/>
                <w:sz w:val="20"/>
                <w:szCs w:val="20"/>
                <w:lang w:val="hy-AM"/>
              </w:rPr>
            </w:pPr>
            <w:r w:rsidRPr="00A83C94">
              <w:rPr>
                <w:color w:val="000000"/>
                <w:sz w:val="20"/>
                <w:szCs w:val="20"/>
              </w:rPr>
              <w:t>202</w:t>
            </w:r>
            <w:r w:rsidRPr="00A83C94">
              <w:rPr>
                <w:color w:val="000000"/>
                <w:sz w:val="20"/>
                <w:szCs w:val="20"/>
                <w:lang w:val="hy-AM"/>
              </w:rPr>
              <w:t>2</w:t>
            </w:r>
            <w:r w:rsidRPr="00A83C94">
              <w:rPr>
                <w:color w:val="000000"/>
                <w:sz w:val="20"/>
                <w:szCs w:val="20"/>
              </w:rPr>
              <w:t xml:space="preserve"> III </w:t>
            </w:r>
            <w:r w:rsidRPr="00A83C94">
              <w:rPr>
                <w:rFonts w:cs="Sylfaen"/>
                <w:color w:val="000000"/>
                <w:sz w:val="20"/>
                <w:szCs w:val="20"/>
              </w:rPr>
              <w:t>եռ</w:t>
            </w:r>
            <w:r w:rsidRPr="00A83C94">
              <w:rPr>
                <w:color w:val="000000"/>
                <w:sz w:val="20"/>
                <w:szCs w:val="20"/>
              </w:rPr>
              <w:t>.</w:t>
            </w:r>
          </w:p>
        </w:tc>
        <w:tc>
          <w:tcPr>
            <w:tcW w:w="1710" w:type="dxa"/>
            <w:shd w:val="clear" w:color="auto" w:fill="auto"/>
            <w:vAlign w:val="center"/>
            <w:hideMark/>
          </w:tcPr>
          <w:p w14:paraId="3E6427FA" w14:textId="77777777" w:rsidR="00027FBF" w:rsidRPr="00A83C94" w:rsidRDefault="00027FBF" w:rsidP="00027FBF">
            <w:pPr>
              <w:ind w:right="111" w:firstLine="106"/>
              <w:jc w:val="center"/>
              <w:rPr>
                <w:rFonts w:eastAsia="Calibri" w:cs="Calibri"/>
                <w:color w:val="000000"/>
                <w:sz w:val="20"/>
                <w:szCs w:val="20"/>
                <w:lang w:val="hy-AM"/>
              </w:rPr>
            </w:pPr>
            <w:r w:rsidRPr="00A83C94">
              <w:rPr>
                <w:color w:val="000000"/>
                <w:sz w:val="20"/>
                <w:szCs w:val="20"/>
              </w:rPr>
              <w:t>202</w:t>
            </w:r>
            <w:r w:rsidRPr="00A83C94">
              <w:rPr>
                <w:color w:val="000000"/>
                <w:sz w:val="20"/>
                <w:szCs w:val="20"/>
                <w:lang w:val="hy-AM"/>
              </w:rPr>
              <w:t>2</w:t>
            </w:r>
            <w:r w:rsidRPr="00A83C94">
              <w:rPr>
                <w:color w:val="000000"/>
                <w:sz w:val="20"/>
                <w:szCs w:val="20"/>
              </w:rPr>
              <w:t xml:space="preserve"> IV </w:t>
            </w:r>
            <w:r w:rsidRPr="00A83C94">
              <w:rPr>
                <w:rFonts w:cs="Sylfaen"/>
                <w:color w:val="000000"/>
                <w:sz w:val="20"/>
                <w:szCs w:val="20"/>
              </w:rPr>
              <w:t>եռ</w:t>
            </w:r>
            <w:r w:rsidRPr="00A83C94">
              <w:rPr>
                <w:color w:val="000000"/>
                <w:sz w:val="20"/>
                <w:szCs w:val="20"/>
              </w:rPr>
              <w:t>.</w:t>
            </w:r>
          </w:p>
        </w:tc>
      </w:tr>
      <w:tr w:rsidR="00027FBF" w:rsidRPr="00A83C94" w14:paraId="239D80F6" w14:textId="77777777" w:rsidTr="00027FBF">
        <w:trPr>
          <w:trHeight w:val="257"/>
        </w:trPr>
        <w:tc>
          <w:tcPr>
            <w:tcW w:w="2279" w:type="dxa"/>
            <w:shd w:val="clear" w:color="auto" w:fill="auto"/>
            <w:noWrap/>
            <w:vAlign w:val="bottom"/>
            <w:hideMark/>
          </w:tcPr>
          <w:p w14:paraId="7C4A6216" w14:textId="77777777" w:rsidR="00027FBF" w:rsidRPr="00A83C94" w:rsidRDefault="00027FBF" w:rsidP="00027FBF">
            <w:pPr>
              <w:ind w:right="111" w:hanging="45"/>
              <w:jc w:val="center"/>
              <w:rPr>
                <w:b w:val="0"/>
                <w:bCs/>
                <w:color w:val="000000"/>
                <w:lang w:val="en-US"/>
              </w:rPr>
            </w:pPr>
            <w:r w:rsidRPr="00A83C94">
              <w:rPr>
                <w:b w:val="0"/>
                <w:bCs/>
                <w:color w:val="000000"/>
                <w:lang w:val="en-US"/>
              </w:rPr>
              <w:t>1-3</w:t>
            </w:r>
          </w:p>
        </w:tc>
        <w:tc>
          <w:tcPr>
            <w:tcW w:w="1474" w:type="dxa"/>
            <w:shd w:val="clear" w:color="auto" w:fill="auto"/>
            <w:noWrap/>
            <w:hideMark/>
          </w:tcPr>
          <w:p w14:paraId="4CA1E85E" w14:textId="77777777" w:rsidR="00027FBF" w:rsidRPr="00A83C94" w:rsidRDefault="00027FBF" w:rsidP="00027FBF">
            <w:pPr>
              <w:ind w:right="111"/>
              <w:jc w:val="center"/>
              <w:rPr>
                <w:b w:val="0"/>
                <w:color w:val="000000"/>
              </w:rPr>
            </w:pPr>
            <w:r w:rsidRPr="00A83C94">
              <w:rPr>
                <w:b w:val="0"/>
              </w:rPr>
              <w:t>11.9</w:t>
            </w:r>
          </w:p>
        </w:tc>
        <w:tc>
          <w:tcPr>
            <w:tcW w:w="1440" w:type="dxa"/>
            <w:shd w:val="clear" w:color="auto" w:fill="auto"/>
            <w:noWrap/>
            <w:hideMark/>
          </w:tcPr>
          <w:p w14:paraId="7A5C3A15" w14:textId="77777777" w:rsidR="00027FBF" w:rsidRPr="00A83C94" w:rsidRDefault="00027FBF" w:rsidP="00027FBF">
            <w:pPr>
              <w:ind w:right="111"/>
              <w:jc w:val="center"/>
              <w:rPr>
                <w:b w:val="0"/>
                <w:bCs/>
                <w:color w:val="000000"/>
              </w:rPr>
            </w:pPr>
            <w:r w:rsidRPr="00A83C94">
              <w:rPr>
                <w:b w:val="0"/>
              </w:rPr>
              <w:t>12.8</w:t>
            </w:r>
          </w:p>
        </w:tc>
        <w:tc>
          <w:tcPr>
            <w:tcW w:w="1530" w:type="dxa"/>
            <w:shd w:val="clear" w:color="auto" w:fill="auto"/>
            <w:noWrap/>
            <w:hideMark/>
          </w:tcPr>
          <w:p w14:paraId="3F2D32F6" w14:textId="77777777" w:rsidR="00027FBF" w:rsidRPr="00A83C94" w:rsidRDefault="00027FBF" w:rsidP="00027FBF">
            <w:pPr>
              <w:ind w:right="111"/>
              <w:jc w:val="center"/>
              <w:rPr>
                <w:b w:val="0"/>
                <w:bCs/>
                <w:color w:val="000000"/>
              </w:rPr>
            </w:pPr>
            <w:r w:rsidRPr="00A83C94">
              <w:rPr>
                <w:b w:val="0"/>
              </w:rPr>
              <w:t>13.1</w:t>
            </w:r>
          </w:p>
        </w:tc>
        <w:tc>
          <w:tcPr>
            <w:tcW w:w="1710" w:type="dxa"/>
            <w:shd w:val="clear" w:color="auto" w:fill="auto"/>
            <w:noWrap/>
            <w:hideMark/>
          </w:tcPr>
          <w:p w14:paraId="4408E09B" w14:textId="77777777" w:rsidR="00027FBF" w:rsidRPr="00A83C94" w:rsidRDefault="00027FBF" w:rsidP="00027FBF">
            <w:pPr>
              <w:ind w:right="111"/>
              <w:jc w:val="center"/>
              <w:rPr>
                <w:b w:val="0"/>
                <w:bCs/>
                <w:color w:val="000000"/>
              </w:rPr>
            </w:pPr>
            <w:r w:rsidRPr="00A83C94">
              <w:rPr>
                <w:b w:val="0"/>
              </w:rPr>
              <w:t>13.6</w:t>
            </w:r>
          </w:p>
        </w:tc>
      </w:tr>
      <w:tr w:rsidR="00027FBF" w:rsidRPr="00A83C94" w14:paraId="6B2C9A5E" w14:textId="77777777" w:rsidTr="00027FBF">
        <w:trPr>
          <w:trHeight w:val="275"/>
        </w:trPr>
        <w:tc>
          <w:tcPr>
            <w:tcW w:w="2279" w:type="dxa"/>
            <w:shd w:val="clear" w:color="auto" w:fill="auto"/>
            <w:noWrap/>
            <w:vAlign w:val="bottom"/>
            <w:hideMark/>
          </w:tcPr>
          <w:p w14:paraId="6C69315C" w14:textId="77777777" w:rsidR="00027FBF" w:rsidRPr="00A83C94" w:rsidRDefault="00027FBF" w:rsidP="00027FBF">
            <w:pPr>
              <w:ind w:right="111" w:hanging="45"/>
              <w:jc w:val="center"/>
              <w:rPr>
                <w:b w:val="0"/>
                <w:bCs/>
                <w:color w:val="000000"/>
                <w:lang w:val="en-US"/>
              </w:rPr>
            </w:pPr>
            <w:r w:rsidRPr="00A83C94">
              <w:rPr>
                <w:b w:val="0"/>
                <w:bCs/>
                <w:color w:val="000000"/>
                <w:lang w:val="en-US"/>
              </w:rPr>
              <w:t>3-5</w:t>
            </w:r>
          </w:p>
        </w:tc>
        <w:tc>
          <w:tcPr>
            <w:tcW w:w="1474" w:type="dxa"/>
            <w:shd w:val="clear" w:color="auto" w:fill="auto"/>
            <w:noWrap/>
            <w:hideMark/>
          </w:tcPr>
          <w:p w14:paraId="1A978804" w14:textId="77777777" w:rsidR="00027FBF" w:rsidRPr="00A83C94" w:rsidRDefault="00027FBF" w:rsidP="00027FBF">
            <w:pPr>
              <w:ind w:right="111"/>
              <w:jc w:val="center"/>
              <w:rPr>
                <w:b w:val="0"/>
                <w:bCs/>
                <w:color w:val="000000"/>
              </w:rPr>
            </w:pPr>
            <w:r w:rsidRPr="00A83C94">
              <w:rPr>
                <w:b w:val="0"/>
              </w:rPr>
              <w:t>21.4</w:t>
            </w:r>
          </w:p>
        </w:tc>
        <w:tc>
          <w:tcPr>
            <w:tcW w:w="1440" w:type="dxa"/>
            <w:shd w:val="clear" w:color="auto" w:fill="auto"/>
            <w:noWrap/>
            <w:hideMark/>
          </w:tcPr>
          <w:p w14:paraId="4249C304" w14:textId="77777777" w:rsidR="00027FBF" w:rsidRPr="00A83C94" w:rsidRDefault="00027FBF" w:rsidP="00027FBF">
            <w:pPr>
              <w:ind w:right="111"/>
              <w:jc w:val="center"/>
              <w:rPr>
                <w:b w:val="0"/>
                <w:color w:val="000000"/>
              </w:rPr>
            </w:pPr>
            <w:r w:rsidRPr="00A83C94">
              <w:rPr>
                <w:b w:val="0"/>
              </w:rPr>
              <w:t>21.0</w:t>
            </w:r>
          </w:p>
        </w:tc>
        <w:tc>
          <w:tcPr>
            <w:tcW w:w="1530" w:type="dxa"/>
            <w:shd w:val="clear" w:color="auto" w:fill="auto"/>
            <w:noWrap/>
            <w:hideMark/>
          </w:tcPr>
          <w:p w14:paraId="22CB47D2" w14:textId="77777777" w:rsidR="00027FBF" w:rsidRPr="00A83C94" w:rsidRDefault="00027FBF" w:rsidP="00027FBF">
            <w:pPr>
              <w:ind w:right="111"/>
              <w:jc w:val="center"/>
              <w:rPr>
                <w:b w:val="0"/>
                <w:bCs/>
                <w:color w:val="000000"/>
              </w:rPr>
            </w:pPr>
            <w:r w:rsidRPr="00A83C94">
              <w:rPr>
                <w:b w:val="0"/>
              </w:rPr>
              <w:t>20.8</w:t>
            </w:r>
          </w:p>
        </w:tc>
        <w:tc>
          <w:tcPr>
            <w:tcW w:w="1710" w:type="dxa"/>
            <w:shd w:val="clear" w:color="auto" w:fill="auto"/>
            <w:noWrap/>
            <w:hideMark/>
          </w:tcPr>
          <w:p w14:paraId="6B8F152F" w14:textId="77777777" w:rsidR="00027FBF" w:rsidRPr="00A83C94" w:rsidRDefault="00027FBF" w:rsidP="00027FBF">
            <w:pPr>
              <w:ind w:right="111"/>
              <w:jc w:val="center"/>
              <w:rPr>
                <w:b w:val="0"/>
                <w:bCs/>
                <w:color w:val="000000"/>
              </w:rPr>
            </w:pPr>
            <w:r w:rsidRPr="00A83C94">
              <w:rPr>
                <w:b w:val="0"/>
              </w:rPr>
              <w:t>20.5</w:t>
            </w:r>
          </w:p>
        </w:tc>
      </w:tr>
      <w:tr w:rsidR="00027FBF" w:rsidRPr="00A83C94" w14:paraId="7EDAD169" w14:textId="77777777" w:rsidTr="00027FBF">
        <w:trPr>
          <w:trHeight w:val="279"/>
        </w:trPr>
        <w:tc>
          <w:tcPr>
            <w:tcW w:w="2279" w:type="dxa"/>
            <w:shd w:val="clear" w:color="auto" w:fill="auto"/>
            <w:noWrap/>
            <w:vAlign w:val="bottom"/>
            <w:hideMark/>
          </w:tcPr>
          <w:p w14:paraId="292AF060" w14:textId="77777777" w:rsidR="00027FBF" w:rsidRPr="00A83C94" w:rsidRDefault="00027FBF" w:rsidP="00027FBF">
            <w:pPr>
              <w:ind w:right="111" w:hanging="45"/>
              <w:jc w:val="center"/>
              <w:rPr>
                <w:b w:val="0"/>
                <w:bCs/>
                <w:color w:val="000000"/>
                <w:lang w:val="en-US"/>
              </w:rPr>
            </w:pPr>
            <w:r w:rsidRPr="00A83C94">
              <w:rPr>
                <w:b w:val="0"/>
                <w:bCs/>
                <w:color w:val="000000"/>
                <w:lang w:val="en-US"/>
              </w:rPr>
              <w:t>5-7</w:t>
            </w:r>
          </w:p>
        </w:tc>
        <w:tc>
          <w:tcPr>
            <w:tcW w:w="1474" w:type="dxa"/>
            <w:shd w:val="clear" w:color="auto" w:fill="auto"/>
            <w:noWrap/>
            <w:hideMark/>
          </w:tcPr>
          <w:p w14:paraId="6F545FD3" w14:textId="77777777" w:rsidR="00027FBF" w:rsidRPr="00A83C94" w:rsidRDefault="00027FBF" w:rsidP="00027FBF">
            <w:pPr>
              <w:ind w:right="111"/>
              <w:jc w:val="center"/>
              <w:rPr>
                <w:bCs/>
                <w:color w:val="000000"/>
              </w:rPr>
            </w:pPr>
            <w:r w:rsidRPr="00A83C94">
              <w:t>28.6</w:t>
            </w:r>
          </w:p>
        </w:tc>
        <w:tc>
          <w:tcPr>
            <w:tcW w:w="1440" w:type="dxa"/>
            <w:shd w:val="clear" w:color="auto" w:fill="auto"/>
            <w:noWrap/>
            <w:hideMark/>
          </w:tcPr>
          <w:p w14:paraId="12ED1066" w14:textId="77777777" w:rsidR="00027FBF" w:rsidRPr="00A83C94" w:rsidRDefault="00027FBF" w:rsidP="00027FBF">
            <w:pPr>
              <w:ind w:right="111"/>
              <w:jc w:val="center"/>
              <w:rPr>
                <w:bCs/>
                <w:color w:val="000000"/>
              </w:rPr>
            </w:pPr>
            <w:r w:rsidRPr="00A83C94">
              <w:t>27.0</w:t>
            </w:r>
          </w:p>
        </w:tc>
        <w:tc>
          <w:tcPr>
            <w:tcW w:w="1530" w:type="dxa"/>
            <w:shd w:val="clear" w:color="auto" w:fill="auto"/>
            <w:noWrap/>
            <w:hideMark/>
          </w:tcPr>
          <w:p w14:paraId="2B9ADE84" w14:textId="77777777" w:rsidR="00027FBF" w:rsidRPr="00A83C94" w:rsidRDefault="00027FBF" w:rsidP="00027FBF">
            <w:pPr>
              <w:ind w:right="111"/>
              <w:jc w:val="center"/>
              <w:rPr>
                <w:color w:val="000000"/>
              </w:rPr>
            </w:pPr>
            <w:r w:rsidRPr="00A83C94">
              <w:t>26.2</w:t>
            </w:r>
          </w:p>
        </w:tc>
        <w:tc>
          <w:tcPr>
            <w:tcW w:w="1710" w:type="dxa"/>
            <w:shd w:val="clear" w:color="auto" w:fill="auto"/>
            <w:noWrap/>
            <w:hideMark/>
          </w:tcPr>
          <w:p w14:paraId="6F57300A" w14:textId="77777777" w:rsidR="00027FBF" w:rsidRPr="00A83C94" w:rsidRDefault="00027FBF" w:rsidP="00027FBF">
            <w:pPr>
              <w:ind w:right="111"/>
              <w:jc w:val="center"/>
              <w:rPr>
                <w:color w:val="000000"/>
              </w:rPr>
            </w:pPr>
            <w:r w:rsidRPr="00A83C94">
              <w:t>25.2</w:t>
            </w:r>
          </w:p>
        </w:tc>
      </w:tr>
      <w:tr w:rsidR="00027FBF" w:rsidRPr="00A83C94" w14:paraId="305EAFB6" w14:textId="77777777" w:rsidTr="00027FBF">
        <w:trPr>
          <w:trHeight w:val="283"/>
        </w:trPr>
        <w:tc>
          <w:tcPr>
            <w:tcW w:w="2279" w:type="dxa"/>
            <w:shd w:val="clear" w:color="auto" w:fill="auto"/>
            <w:noWrap/>
            <w:vAlign w:val="bottom"/>
            <w:hideMark/>
          </w:tcPr>
          <w:p w14:paraId="2BA0AAFF" w14:textId="77777777" w:rsidR="00027FBF" w:rsidRPr="00A83C94" w:rsidRDefault="00027FBF" w:rsidP="00027FBF">
            <w:pPr>
              <w:ind w:right="111" w:hanging="45"/>
              <w:jc w:val="center"/>
              <w:rPr>
                <w:b w:val="0"/>
                <w:bCs/>
                <w:color w:val="000000"/>
                <w:lang w:val="en-US"/>
              </w:rPr>
            </w:pPr>
            <w:r w:rsidRPr="00A83C94">
              <w:rPr>
                <w:b w:val="0"/>
                <w:bCs/>
                <w:color w:val="000000"/>
                <w:lang w:val="en-US"/>
              </w:rPr>
              <w:t>7-9</w:t>
            </w:r>
          </w:p>
        </w:tc>
        <w:tc>
          <w:tcPr>
            <w:tcW w:w="1474" w:type="dxa"/>
            <w:shd w:val="clear" w:color="auto" w:fill="auto"/>
            <w:noWrap/>
            <w:hideMark/>
          </w:tcPr>
          <w:p w14:paraId="4DCCCA3C" w14:textId="77777777" w:rsidR="00027FBF" w:rsidRPr="00A83C94" w:rsidRDefault="00027FBF" w:rsidP="00027FBF">
            <w:pPr>
              <w:ind w:right="111"/>
              <w:jc w:val="center"/>
              <w:rPr>
                <w:b w:val="0"/>
                <w:bCs/>
                <w:color w:val="000000"/>
              </w:rPr>
            </w:pPr>
            <w:r w:rsidRPr="00A83C94">
              <w:rPr>
                <w:b w:val="0"/>
              </w:rPr>
              <w:t>24.1</w:t>
            </w:r>
          </w:p>
        </w:tc>
        <w:tc>
          <w:tcPr>
            <w:tcW w:w="1440" w:type="dxa"/>
            <w:shd w:val="clear" w:color="auto" w:fill="auto"/>
            <w:noWrap/>
            <w:hideMark/>
          </w:tcPr>
          <w:p w14:paraId="44773238" w14:textId="77777777" w:rsidR="00027FBF" w:rsidRPr="00A83C94" w:rsidRDefault="00027FBF" w:rsidP="00027FBF">
            <w:pPr>
              <w:ind w:right="111"/>
              <w:jc w:val="center"/>
              <w:rPr>
                <w:b w:val="0"/>
                <w:bCs/>
                <w:color w:val="000000"/>
              </w:rPr>
            </w:pPr>
            <w:r w:rsidRPr="00A83C94">
              <w:rPr>
                <w:b w:val="0"/>
              </w:rPr>
              <w:t>22.8</w:t>
            </w:r>
          </w:p>
        </w:tc>
        <w:tc>
          <w:tcPr>
            <w:tcW w:w="1530" w:type="dxa"/>
            <w:shd w:val="clear" w:color="auto" w:fill="auto"/>
            <w:noWrap/>
            <w:hideMark/>
          </w:tcPr>
          <w:p w14:paraId="2BCE60B1" w14:textId="77777777" w:rsidR="00027FBF" w:rsidRPr="00A83C94" w:rsidRDefault="00027FBF" w:rsidP="00027FBF">
            <w:pPr>
              <w:ind w:right="111"/>
              <w:jc w:val="center"/>
              <w:rPr>
                <w:b w:val="0"/>
                <w:bCs/>
                <w:color w:val="000000"/>
              </w:rPr>
            </w:pPr>
            <w:r w:rsidRPr="00A83C94">
              <w:rPr>
                <w:b w:val="0"/>
              </w:rPr>
              <w:t>22.3</w:t>
            </w:r>
          </w:p>
        </w:tc>
        <w:tc>
          <w:tcPr>
            <w:tcW w:w="1710" w:type="dxa"/>
            <w:shd w:val="clear" w:color="auto" w:fill="auto"/>
            <w:noWrap/>
            <w:hideMark/>
          </w:tcPr>
          <w:p w14:paraId="276031AE" w14:textId="77777777" w:rsidR="00027FBF" w:rsidRPr="00A83C94" w:rsidRDefault="00027FBF" w:rsidP="00027FBF">
            <w:pPr>
              <w:ind w:right="111"/>
              <w:jc w:val="center"/>
              <w:rPr>
                <w:b w:val="0"/>
                <w:bCs/>
                <w:color w:val="000000"/>
              </w:rPr>
            </w:pPr>
            <w:r w:rsidRPr="00A83C94">
              <w:rPr>
                <w:b w:val="0"/>
              </w:rPr>
              <w:t>21.3</w:t>
            </w:r>
          </w:p>
        </w:tc>
      </w:tr>
      <w:bookmarkEnd w:id="47"/>
    </w:tbl>
    <w:p w14:paraId="3B87A83E" w14:textId="77777777" w:rsidR="00027FBF" w:rsidRPr="00A83C94" w:rsidRDefault="00027FBF" w:rsidP="00027FBF">
      <w:pPr>
        <w:ind w:right="115" w:firstLine="562"/>
        <w:contextualSpacing w:val="0"/>
        <w:rPr>
          <w:rFonts w:eastAsia="Calibri" w:cs="Sylfaen"/>
          <w:b w:val="0"/>
          <w:sz w:val="2"/>
          <w:szCs w:val="2"/>
          <w:lang w:val="hy-AM" w:eastAsia="en-US"/>
        </w:rPr>
      </w:pPr>
    </w:p>
    <w:p w14:paraId="5E4E252B" w14:textId="77777777" w:rsidR="00027FBF" w:rsidRPr="00A83C94" w:rsidRDefault="00027FBF" w:rsidP="00027FBF">
      <w:pPr>
        <w:spacing w:before="0" w:line="276" w:lineRule="auto"/>
        <w:ind w:right="111"/>
        <w:contextualSpacing w:val="0"/>
        <w:rPr>
          <w:rFonts w:eastAsia="Calibri" w:cs="Sylfaen"/>
          <w:b w:val="0"/>
          <w:szCs w:val="22"/>
          <w:lang w:val="hy-AM" w:eastAsia="en-US"/>
        </w:rPr>
      </w:pPr>
      <w:r w:rsidRPr="00A83C94">
        <w:rPr>
          <w:rFonts w:eastAsia="Calibri" w:cs="Sylfaen"/>
          <w:b w:val="0"/>
          <w:szCs w:val="22"/>
          <w:lang w:val="hy-AM" w:eastAsia="en-US"/>
        </w:rPr>
        <w:t>Ինչպես</w:t>
      </w:r>
      <w:r w:rsidRPr="00A83C94">
        <w:rPr>
          <w:rFonts w:eastAsia="Calibri" w:cs="Sylfaen"/>
          <w:b w:val="0"/>
          <w:szCs w:val="22"/>
          <w:lang w:val="it-IT" w:eastAsia="en-US"/>
        </w:rPr>
        <w:t xml:space="preserve"> </w:t>
      </w:r>
      <w:r w:rsidRPr="00A83C94">
        <w:rPr>
          <w:rFonts w:eastAsia="Calibri" w:cs="Sylfaen"/>
          <w:b w:val="0"/>
          <w:szCs w:val="22"/>
          <w:lang w:val="hy-AM" w:eastAsia="en-US"/>
        </w:rPr>
        <w:t>երևում</w:t>
      </w:r>
      <w:r w:rsidRPr="00A83C94">
        <w:rPr>
          <w:rFonts w:eastAsia="Calibri" w:cs="Sylfaen"/>
          <w:b w:val="0"/>
          <w:szCs w:val="22"/>
          <w:lang w:val="it-IT" w:eastAsia="en-US"/>
        </w:rPr>
        <w:t xml:space="preserve"> </w:t>
      </w:r>
      <w:r w:rsidRPr="00A83C94">
        <w:rPr>
          <w:rFonts w:eastAsia="Calibri" w:cs="Sylfaen"/>
          <w:b w:val="0"/>
          <w:szCs w:val="22"/>
          <w:lang w:val="hy-AM" w:eastAsia="en-US"/>
        </w:rPr>
        <w:t>է</w:t>
      </w:r>
      <w:r w:rsidRPr="00A83C94">
        <w:rPr>
          <w:rFonts w:eastAsia="Calibri" w:cs="Sylfaen"/>
          <w:b w:val="0"/>
          <w:szCs w:val="22"/>
          <w:lang w:val="it-IT" w:eastAsia="en-US"/>
        </w:rPr>
        <w:t xml:space="preserve"> </w:t>
      </w:r>
      <w:r w:rsidRPr="00A83C94">
        <w:rPr>
          <w:rFonts w:eastAsia="Calibri" w:cs="Sylfaen"/>
          <w:b w:val="0"/>
          <w:szCs w:val="22"/>
          <w:lang w:val="hy-AM" w:eastAsia="en-US"/>
        </w:rPr>
        <w:t>Գծապատկեր</w:t>
      </w:r>
      <w:r w:rsidRPr="00A83C94">
        <w:rPr>
          <w:rFonts w:eastAsia="Calibri" w:cs="Sylfaen"/>
          <w:b w:val="0"/>
          <w:szCs w:val="22"/>
          <w:lang w:val="it-IT" w:eastAsia="en-US"/>
        </w:rPr>
        <w:t xml:space="preserve"> </w:t>
      </w:r>
      <w:r w:rsidRPr="00A83C94">
        <w:rPr>
          <w:rFonts w:eastAsia="Calibri" w:cs="Sylfaen"/>
          <w:b w:val="0"/>
          <w:szCs w:val="22"/>
          <w:lang w:val="hy-AM" w:eastAsia="en-US"/>
        </w:rPr>
        <w:t>1.32-ից, 2022թ.</w:t>
      </w:r>
      <w:r w:rsidRPr="00A83C94" w:rsidDel="00301E27">
        <w:rPr>
          <w:rFonts w:eastAsia="Calibri" w:cs="Sylfaen"/>
          <w:b w:val="0"/>
          <w:szCs w:val="22"/>
          <w:lang w:val="hy-AM" w:eastAsia="en-US"/>
        </w:rPr>
        <w:t xml:space="preserve"> </w:t>
      </w:r>
      <w:r w:rsidRPr="00A83C94">
        <w:rPr>
          <w:rFonts w:eastAsia="Calibri" w:cs="Sylfaen"/>
          <w:b w:val="0"/>
          <w:szCs w:val="22"/>
          <w:lang w:val="hy-AM" w:eastAsia="en-US"/>
        </w:rPr>
        <w:t xml:space="preserve">տնտեսական աճի ձևավորման ամենաբարձր հավանականությունը գտնվում է 5-7% միջակայքում (Աղյուսակ 1.4-ում այն հոծ նշումով է), իսկ իրական ՀՆԱ-ի տարեկան աճի կենտրոնական կանխատեսումներից շեղման ռիսկերը ուղղված են դեպի ներքև: </w:t>
      </w:r>
    </w:p>
    <w:p w14:paraId="76F4C9DF" w14:textId="77777777" w:rsidR="00027FBF" w:rsidRPr="00A83C94" w:rsidRDefault="00027FBF" w:rsidP="00027FBF">
      <w:pPr>
        <w:spacing w:before="0" w:after="160" w:line="259" w:lineRule="auto"/>
        <w:ind w:right="111" w:firstLine="0"/>
        <w:contextualSpacing w:val="0"/>
        <w:jc w:val="left"/>
        <w:rPr>
          <w:rFonts w:ascii="Times New Roman" w:hAnsi="Times New Roman"/>
          <w:b w:val="0"/>
          <w:sz w:val="24"/>
          <w:lang w:val="hy-AM" w:eastAsia="en-US"/>
        </w:rPr>
      </w:pPr>
      <w:r w:rsidRPr="00A83C94">
        <w:rPr>
          <w:rFonts w:ascii="Times New Roman" w:hAnsi="Times New Roman"/>
          <w:b w:val="0"/>
          <w:sz w:val="24"/>
          <w:lang w:val="hy-AM" w:eastAsia="en-US"/>
        </w:rPr>
        <w:br w:type="page"/>
      </w:r>
    </w:p>
    <w:p w14:paraId="27F15564" w14:textId="77777777" w:rsidR="00027FBF" w:rsidRPr="00A83C94" w:rsidRDefault="00027FBF" w:rsidP="00027FBF">
      <w:pPr>
        <w:spacing w:before="0" w:after="160" w:line="259" w:lineRule="auto"/>
        <w:ind w:right="111" w:firstLine="0"/>
        <w:contextualSpacing w:val="0"/>
        <w:jc w:val="left"/>
        <w:rPr>
          <w:rFonts w:ascii="Times New Roman" w:hAnsi="Times New Roman"/>
          <w:b w:val="0"/>
          <w:sz w:val="24"/>
          <w:lang w:val="hy-AM" w:eastAsia="en-US"/>
        </w:rPr>
      </w:pPr>
    </w:p>
    <w:tbl>
      <w:tblPr>
        <w:tblStyle w:val="TableGrid1213"/>
        <w:tblW w:w="10931"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1"/>
      </w:tblGrid>
      <w:tr w:rsidR="00027FBF" w:rsidRPr="00A83C94" w14:paraId="4CD3C80B" w14:textId="77777777" w:rsidTr="00027FBF">
        <w:trPr>
          <w:trHeight w:val="9147"/>
        </w:trPr>
        <w:tc>
          <w:tcPr>
            <w:tcW w:w="10931" w:type="dxa"/>
          </w:tcPr>
          <w:p w14:paraId="7065AE06" w14:textId="77777777" w:rsidR="00027FBF" w:rsidRPr="00A83C94" w:rsidRDefault="00027FBF" w:rsidP="00027FBF">
            <w:pPr>
              <w:keepNext/>
              <w:keepLines/>
              <w:spacing w:before="0" w:after="0" w:line="276" w:lineRule="auto"/>
              <w:outlineLvl w:val="2"/>
              <w:rPr>
                <w:b w:val="0"/>
                <w:bCs/>
                <w:sz w:val="28"/>
                <w:szCs w:val="28"/>
                <w:lang w:val="hy-AM"/>
              </w:rPr>
            </w:pPr>
            <w:r w:rsidRPr="00A83C94">
              <w:rPr>
                <w:rFonts w:eastAsia="GHEA Grapalat" w:cs="GHEA Grapalat"/>
                <w:lang w:val="hy-AM"/>
              </w:rPr>
              <w:br w:type="page"/>
            </w:r>
            <w:bookmarkStart w:id="48" w:name="_Toc51360535"/>
            <w:bookmarkStart w:id="49" w:name="_Toc51947418"/>
            <w:bookmarkStart w:id="50" w:name="_Toc57559418"/>
            <w:bookmarkStart w:id="51" w:name="_Toc83663899"/>
            <w:bookmarkStart w:id="52" w:name="_Toc83972835"/>
            <w:bookmarkStart w:id="53" w:name="_Toc89428290"/>
            <w:r w:rsidRPr="00A83C94">
              <w:rPr>
                <w:bCs/>
                <w:sz w:val="24"/>
                <w:lang w:val="hy-AM"/>
              </w:rPr>
              <w:t>1.6. ՀԱՄԵՄԱՏՈՒԹՅՈՒՆ ՆԱԽՈՐԴ ԿԱՆԽԱՏԵՍՈՒՄՆԵՐԻ ՀԵՏ</w:t>
            </w:r>
            <w:bookmarkEnd w:id="48"/>
            <w:bookmarkEnd w:id="49"/>
            <w:bookmarkEnd w:id="50"/>
            <w:bookmarkEnd w:id="51"/>
            <w:bookmarkEnd w:id="52"/>
            <w:bookmarkEnd w:id="53"/>
          </w:p>
          <w:p w14:paraId="07D20E13" w14:textId="77777777" w:rsidR="00027FBF" w:rsidRPr="00A83C94" w:rsidRDefault="00027FBF" w:rsidP="00027FBF">
            <w:pPr>
              <w:keepNext/>
              <w:keepLines/>
              <w:tabs>
                <w:tab w:val="left" w:pos="10227"/>
              </w:tabs>
              <w:spacing w:line="276" w:lineRule="auto"/>
              <w:ind w:left="541" w:right="111" w:firstLine="26"/>
              <w:rPr>
                <w:rFonts w:eastAsia="Calibri" w:cs="Sylfaen"/>
                <w:bCs/>
                <w:i/>
                <w:iCs/>
                <w:color w:val="000000"/>
                <w:sz w:val="20"/>
                <w:szCs w:val="20"/>
                <w:lang w:val="hy-AM"/>
              </w:rPr>
            </w:pPr>
            <w:r w:rsidRPr="00A83C94">
              <w:rPr>
                <w:rFonts w:eastAsia="Calibri" w:cs="Sylfaen"/>
                <w:bCs/>
                <w:i/>
                <w:iCs/>
                <w:color w:val="000000"/>
                <w:lang w:val="hy-AM"/>
              </w:rPr>
              <w:t xml:space="preserve">Աղյուսակ 1.5. </w:t>
            </w:r>
            <w:r w:rsidRPr="00A83C94">
              <w:rPr>
                <w:rFonts w:eastAsia="Calibri" w:cs="Sylfaen"/>
                <w:bCs/>
                <w:i/>
                <w:iCs/>
                <w:color w:val="000000"/>
                <w:sz w:val="20"/>
                <w:szCs w:val="20"/>
                <w:lang w:val="hy-AM"/>
              </w:rPr>
              <w:t>ՀՆԱ-ի կանխատեսումները</w:t>
            </w:r>
            <w:r w:rsidRPr="00A83C94">
              <w:rPr>
                <w:rFonts w:eastAsia="Calibri"/>
                <w:bCs/>
                <w:i/>
                <w:iCs/>
                <w:color w:val="000000"/>
                <w:sz w:val="20"/>
                <w:szCs w:val="20"/>
                <w:lang w:val="hy-AM"/>
              </w:rPr>
              <w:t xml:space="preserve"> </w:t>
            </w:r>
            <w:r w:rsidRPr="00A83C94">
              <w:rPr>
                <w:rFonts w:eastAsia="Calibri" w:cs="Sylfaen"/>
                <w:bCs/>
                <w:i/>
                <w:iCs/>
                <w:color w:val="000000"/>
                <w:sz w:val="20"/>
                <w:szCs w:val="20"/>
                <w:lang w:val="hy-AM"/>
              </w:rPr>
              <w:t xml:space="preserve">2022-2024 թթ. ՄԺԾԾ-ով  և 2021թ. և 2022թ. </w:t>
            </w:r>
          </w:p>
          <w:p w14:paraId="2072A5FA" w14:textId="77777777" w:rsidR="00027FBF" w:rsidRPr="00A83C94" w:rsidRDefault="00027FBF" w:rsidP="00027FBF">
            <w:pPr>
              <w:keepNext/>
              <w:keepLines/>
              <w:tabs>
                <w:tab w:val="left" w:pos="10227"/>
              </w:tabs>
              <w:spacing w:line="276" w:lineRule="auto"/>
              <w:ind w:left="541" w:right="111" w:firstLine="26"/>
              <w:rPr>
                <w:rFonts w:eastAsia="Calibri" w:cs="Sylfaen"/>
                <w:b w:val="0"/>
                <w:bCs/>
                <w:i/>
                <w:iCs/>
                <w:color w:val="4F81BD"/>
                <w:lang w:val="hy-AM"/>
              </w:rPr>
            </w:pPr>
            <w:r w:rsidRPr="00A83C94">
              <w:rPr>
                <w:rFonts w:eastAsia="Calibri" w:cs="Sylfaen"/>
                <w:bCs/>
                <w:i/>
                <w:iCs/>
                <w:color w:val="000000"/>
                <w:sz w:val="20"/>
                <w:szCs w:val="20"/>
                <w:lang w:val="hy-AM"/>
              </w:rPr>
              <w:t>պետական բյուջեներով</w:t>
            </w:r>
          </w:p>
          <w:tbl>
            <w:tblPr>
              <w:tblW w:w="9242" w:type="dxa"/>
              <w:tblInd w:w="50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052"/>
              <w:gridCol w:w="2324"/>
              <w:gridCol w:w="1527"/>
              <w:gridCol w:w="1890"/>
              <w:gridCol w:w="1449"/>
            </w:tblGrid>
            <w:tr w:rsidR="00027FBF" w:rsidRPr="00A83C94" w14:paraId="373CBB22" w14:textId="77777777" w:rsidTr="00027FBF">
              <w:trPr>
                <w:trHeight w:val="303"/>
              </w:trPr>
              <w:tc>
                <w:tcPr>
                  <w:tcW w:w="2052" w:type="dxa"/>
                  <w:vMerge w:val="restart"/>
                  <w:shd w:val="clear" w:color="auto" w:fill="9CC2E5"/>
                  <w:noWrap/>
                  <w:vAlign w:val="center"/>
                  <w:hideMark/>
                </w:tcPr>
                <w:p w14:paraId="69562EB3"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Ցուցանիշներ</w:t>
                  </w:r>
                </w:p>
              </w:tc>
              <w:tc>
                <w:tcPr>
                  <w:tcW w:w="2324" w:type="dxa"/>
                  <w:vMerge w:val="restart"/>
                  <w:shd w:val="clear" w:color="auto" w:fill="9CC2E5"/>
                  <w:vAlign w:val="center"/>
                  <w:hideMark/>
                </w:tcPr>
                <w:p w14:paraId="2A4A82CA"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Ծրագիր</w:t>
                  </w:r>
                </w:p>
              </w:tc>
              <w:tc>
                <w:tcPr>
                  <w:tcW w:w="1527" w:type="dxa"/>
                  <w:shd w:val="clear" w:color="auto" w:fill="9CC2E5"/>
                  <w:vAlign w:val="center"/>
                </w:tcPr>
                <w:p w14:paraId="0788393B"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2020</w:t>
                  </w:r>
                </w:p>
              </w:tc>
              <w:tc>
                <w:tcPr>
                  <w:tcW w:w="1890" w:type="dxa"/>
                  <w:shd w:val="clear" w:color="auto" w:fill="9CC2E5"/>
                  <w:vAlign w:val="center"/>
                  <w:hideMark/>
                </w:tcPr>
                <w:p w14:paraId="1008489B"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2021</w:t>
                  </w:r>
                </w:p>
              </w:tc>
              <w:tc>
                <w:tcPr>
                  <w:tcW w:w="1449" w:type="dxa"/>
                  <w:shd w:val="clear" w:color="auto" w:fill="9CC2E5"/>
                  <w:vAlign w:val="center"/>
                  <w:hideMark/>
                </w:tcPr>
                <w:p w14:paraId="28D61051"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2022</w:t>
                  </w:r>
                </w:p>
              </w:tc>
            </w:tr>
            <w:tr w:rsidR="00027FBF" w:rsidRPr="00A83C94" w14:paraId="7240AE81" w14:textId="77777777" w:rsidTr="00027FBF">
              <w:trPr>
                <w:trHeight w:val="303"/>
              </w:trPr>
              <w:tc>
                <w:tcPr>
                  <w:tcW w:w="2052" w:type="dxa"/>
                  <w:vMerge/>
                  <w:vAlign w:val="center"/>
                  <w:hideMark/>
                </w:tcPr>
                <w:p w14:paraId="2FE3DAAC" w14:textId="77777777" w:rsidR="00027FBF" w:rsidRPr="00A83C94" w:rsidRDefault="00027FBF" w:rsidP="00027FBF">
                  <w:pPr>
                    <w:spacing w:before="0"/>
                    <w:jc w:val="center"/>
                    <w:rPr>
                      <w:rFonts w:cs="Calibri"/>
                      <w:b w:val="0"/>
                      <w:bCs/>
                      <w:color w:val="000000"/>
                      <w:sz w:val="18"/>
                      <w:szCs w:val="18"/>
                      <w:lang w:val="hy-AM"/>
                    </w:rPr>
                  </w:pPr>
                </w:p>
              </w:tc>
              <w:tc>
                <w:tcPr>
                  <w:tcW w:w="2324" w:type="dxa"/>
                  <w:vMerge/>
                  <w:vAlign w:val="center"/>
                  <w:hideMark/>
                </w:tcPr>
                <w:p w14:paraId="5348D1B9" w14:textId="77777777" w:rsidR="00027FBF" w:rsidRPr="00A83C94" w:rsidRDefault="00027FBF" w:rsidP="00027FBF">
                  <w:pPr>
                    <w:spacing w:before="0"/>
                    <w:jc w:val="center"/>
                    <w:rPr>
                      <w:rFonts w:cs="Calibri"/>
                      <w:b w:val="0"/>
                      <w:bCs/>
                      <w:color w:val="000000"/>
                      <w:sz w:val="18"/>
                      <w:szCs w:val="18"/>
                      <w:lang w:val="hy-AM"/>
                    </w:rPr>
                  </w:pPr>
                </w:p>
              </w:tc>
              <w:tc>
                <w:tcPr>
                  <w:tcW w:w="1527" w:type="dxa"/>
                  <w:shd w:val="clear" w:color="auto" w:fill="9CC2E5"/>
                  <w:vAlign w:val="center"/>
                </w:tcPr>
                <w:p w14:paraId="2BA28CDC" w14:textId="77777777" w:rsidR="00027FBF" w:rsidRPr="00A83C94" w:rsidRDefault="00027FBF" w:rsidP="00027FBF">
                  <w:pPr>
                    <w:spacing w:before="0"/>
                    <w:ind w:firstLine="0"/>
                    <w:jc w:val="center"/>
                    <w:rPr>
                      <w:rFonts w:cs="Calibri"/>
                      <w:i/>
                      <w:iCs/>
                      <w:color w:val="000000"/>
                      <w:sz w:val="18"/>
                      <w:szCs w:val="18"/>
                      <w:lang w:val="hy-AM"/>
                    </w:rPr>
                  </w:pPr>
                  <w:r w:rsidRPr="00A83C94">
                    <w:rPr>
                      <w:rFonts w:cs="Calibri"/>
                      <w:i/>
                      <w:iCs/>
                      <w:color w:val="000000"/>
                      <w:sz w:val="18"/>
                      <w:szCs w:val="18"/>
                      <w:lang w:val="hy-AM"/>
                    </w:rPr>
                    <w:t>փաստ*/կանխ.</w:t>
                  </w:r>
                </w:p>
              </w:tc>
              <w:tc>
                <w:tcPr>
                  <w:tcW w:w="1890" w:type="dxa"/>
                  <w:shd w:val="clear" w:color="auto" w:fill="9CC2E5"/>
                  <w:vAlign w:val="center"/>
                  <w:hideMark/>
                </w:tcPr>
                <w:p w14:paraId="1602A7EB" w14:textId="77777777" w:rsidR="00027FBF" w:rsidRPr="00A83C94" w:rsidRDefault="00027FBF" w:rsidP="00027FBF">
                  <w:pPr>
                    <w:spacing w:before="0"/>
                    <w:ind w:firstLine="0"/>
                    <w:jc w:val="center"/>
                    <w:rPr>
                      <w:rFonts w:cs="Calibri"/>
                      <w:i/>
                      <w:iCs/>
                      <w:color w:val="000000"/>
                      <w:sz w:val="18"/>
                      <w:szCs w:val="18"/>
                      <w:lang w:val="hy-AM"/>
                    </w:rPr>
                  </w:pPr>
                  <w:r w:rsidRPr="00A83C94">
                    <w:rPr>
                      <w:rFonts w:cs="Calibri"/>
                      <w:i/>
                      <w:iCs/>
                      <w:color w:val="000000"/>
                      <w:sz w:val="18"/>
                      <w:szCs w:val="18"/>
                      <w:lang w:val="hy-AM"/>
                    </w:rPr>
                    <w:t>կանխ.</w:t>
                  </w:r>
                </w:p>
              </w:tc>
              <w:tc>
                <w:tcPr>
                  <w:tcW w:w="1449" w:type="dxa"/>
                  <w:shd w:val="clear" w:color="auto" w:fill="9CC2E5"/>
                  <w:vAlign w:val="center"/>
                  <w:hideMark/>
                </w:tcPr>
                <w:p w14:paraId="7EF0AD98" w14:textId="77777777" w:rsidR="00027FBF" w:rsidRPr="00A83C94" w:rsidRDefault="00027FBF" w:rsidP="00027FBF">
                  <w:pPr>
                    <w:spacing w:before="0"/>
                    <w:ind w:firstLine="0"/>
                    <w:jc w:val="center"/>
                    <w:rPr>
                      <w:rFonts w:cs="Calibri"/>
                      <w:i/>
                      <w:iCs/>
                      <w:color w:val="000000"/>
                      <w:sz w:val="18"/>
                      <w:szCs w:val="18"/>
                      <w:lang w:val="hy-AM"/>
                    </w:rPr>
                  </w:pPr>
                  <w:r w:rsidRPr="00A83C94">
                    <w:rPr>
                      <w:rFonts w:cs="Calibri"/>
                      <w:i/>
                      <w:iCs/>
                      <w:color w:val="000000"/>
                      <w:sz w:val="18"/>
                      <w:szCs w:val="18"/>
                      <w:lang w:val="hy-AM"/>
                    </w:rPr>
                    <w:t>կանխ.</w:t>
                  </w:r>
                </w:p>
              </w:tc>
            </w:tr>
            <w:tr w:rsidR="00027FBF" w:rsidRPr="00A83C94" w14:paraId="70DAAA1A" w14:textId="77777777" w:rsidTr="00027FBF">
              <w:trPr>
                <w:trHeight w:val="303"/>
              </w:trPr>
              <w:tc>
                <w:tcPr>
                  <w:tcW w:w="2052" w:type="dxa"/>
                  <w:vMerge w:val="restart"/>
                  <w:shd w:val="clear" w:color="auto" w:fill="auto"/>
                  <w:vAlign w:val="center"/>
                </w:tcPr>
                <w:p w14:paraId="367388AB" w14:textId="77777777" w:rsidR="00027FBF" w:rsidRPr="00A83C94" w:rsidRDefault="00027FBF" w:rsidP="00027FBF">
                  <w:pPr>
                    <w:spacing w:before="0" w:line="276" w:lineRule="auto"/>
                    <w:ind w:firstLine="0"/>
                    <w:rPr>
                      <w:rFonts w:cs="Calibri"/>
                      <w:bCs/>
                      <w:color w:val="000000"/>
                      <w:sz w:val="18"/>
                      <w:szCs w:val="18"/>
                      <w:lang w:val="hy-AM"/>
                    </w:rPr>
                  </w:pPr>
                  <w:r w:rsidRPr="00A83C94">
                    <w:rPr>
                      <w:rFonts w:cs="Calibri"/>
                      <w:bCs/>
                      <w:color w:val="000000"/>
                      <w:sz w:val="18"/>
                      <w:szCs w:val="18"/>
                      <w:lang w:val="hy-AM"/>
                    </w:rPr>
                    <w:t>Անվանական ՀՆԱ, մլրդ դրամ</w:t>
                  </w:r>
                </w:p>
              </w:tc>
              <w:tc>
                <w:tcPr>
                  <w:tcW w:w="2324" w:type="dxa"/>
                  <w:shd w:val="clear" w:color="auto" w:fill="auto"/>
                  <w:vAlign w:val="center"/>
                </w:tcPr>
                <w:p w14:paraId="094EE111"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 Պետական բյուջե</w:t>
                  </w:r>
                </w:p>
              </w:tc>
              <w:tc>
                <w:tcPr>
                  <w:tcW w:w="1527" w:type="dxa"/>
                  <w:vAlign w:val="center"/>
                </w:tcPr>
                <w:p w14:paraId="321CED98"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6,181.7</w:t>
                  </w:r>
                </w:p>
              </w:tc>
              <w:tc>
                <w:tcPr>
                  <w:tcW w:w="1890" w:type="dxa"/>
                  <w:shd w:val="clear" w:color="auto" w:fill="auto"/>
                  <w:noWrap/>
                  <w:vAlign w:val="center"/>
                </w:tcPr>
                <w:p w14:paraId="1AD39E56"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7,031.2</w:t>
                  </w:r>
                </w:p>
              </w:tc>
              <w:tc>
                <w:tcPr>
                  <w:tcW w:w="1449" w:type="dxa"/>
                  <w:shd w:val="clear" w:color="auto" w:fill="auto"/>
                  <w:vAlign w:val="center"/>
                </w:tcPr>
                <w:p w14:paraId="436E12F9"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7,869.4</w:t>
                  </w:r>
                </w:p>
              </w:tc>
            </w:tr>
            <w:tr w:rsidR="00027FBF" w:rsidRPr="00A83C94" w14:paraId="4963FD66" w14:textId="77777777" w:rsidTr="00027FBF">
              <w:trPr>
                <w:trHeight w:val="303"/>
              </w:trPr>
              <w:tc>
                <w:tcPr>
                  <w:tcW w:w="2052" w:type="dxa"/>
                  <w:vMerge/>
                  <w:shd w:val="clear" w:color="auto" w:fill="auto"/>
                  <w:vAlign w:val="center"/>
                  <w:hideMark/>
                </w:tcPr>
                <w:p w14:paraId="0FBCAADF" w14:textId="77777777" w:rsidR="00027FBF" w:rsidRPr="00A83C94" w:rsidRDefault="00027FBF" w:rsidP="00027FBF">
                  <w:pPr>
                    <w:spacing w:before="0" w:line="276" w:lineRule="auto"/>
                    <w:rPr>
                      <w:rFonts w:cs="Calibri"/>
                      <w:bCs/>
                      <w:color w:val="000000"/>
                      <w:sz w:val="18"/>
                      <w:szCs w:val="18"/>
                      <w:lang w:val="hy-AM"/>
                    </w:rPr>
                  </w:pPr>
                </w:p>
              </w:tc>
              <w:tc>
                <w:tcPr>
                  <w:tcW w:w="2324" w:type="dxa"/>
                  <w:shd w:val="clear" w:color="auto" w:fill="auto"/>
                  <w:vAlign w:val="center"/>
                  <w:hideMark/>
                </w:tcPr>
                <w:p w14:paraId="53F3F791"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2022-2024 ՄԺԾԾ</w:t>
                  </w:r>
                </w:p>
              </w:tc>
              <w:tc>
                <w:tcPr>
                  <w:tcW w:w="1527" w:type="dxa"/>
                </w:tcPr>
                <w:p w14:paraId="516D4540"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6,181.7</w:t>
                  </w:r>
                </w:p>
              </w:tc>
              <w:tc>
                <w:tcPr>
                  <w:tcW w:w="1890" w:type="dxa"/>
                  <w:shd w:val="clear" w:color="auto" w:fill="auto"/>
                  <w:noWrap/>
                  <w:hideMark/>
                </w:tcPr>
                <w:p w14:paraId="68067E57"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 xml:space="preserve">6,880.2 </w:t>
                  </w:r>
                </w:p>
              </w:tc>
              <w:tc>
                <w:tcPr>
                  <w:tcW w:w="1449" w:type="dxa"/>
                  <w:shd w:val="clear" w:color="auto" w:fill="auto"/>
                  <w:hideMark/>
                </w:tcPr>
                <w:p w14:paraId="5C29C47E"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 xml:space="preserve"> 7,570.8 </w:t>
                  </w:r>
                </w:p>
              </w:tc>
            </w:tr>
            <w:tr w:rsidR="00027FBF" w:rsidRPr="00A83C94" w14:paraId="18C01B26" w14:textId="77777777" w:rsidTr="00027FBF">
              <w:trPr>
                <w:trHeight w:val="303"/>
              </w:trPr>
              <w:tc>
                <w:tcPr>
                  <w:tcW w:w="2052" w:type="dxa"/>
                  <w:vMerge/>
                  <w:vAlign w:val="center"/>
                  <w:hideMark/>
                </w:tcPr>
                <w:p w14:paraId="1BFD13EA" w14:textId="77777777" w:rsidR="00027FBF" w:rsidRPr="00A83C94" w:rsidRDefault="00027FBF" w:rsidP="00027FBF">
                  <w:pPr>
                    <w:spacing w:before="0" w:line="276" w:lineRule="auto"/>
                    <w:rPr>
                      <w:rFonts w:cs="Calibri"/>
                      <w:bCs/>
                      <w:color w:val="000000"/>
                      <w:sz w:val="18"/>
                      <w:szCs w:val="18"/>
                      <w:lang w:val="hy-AM"/>
                    </w:rPr>
                  </w:pPr>
                </w:p>
              </w:tc>
              <w:tc>
                <w:tcPr>
                  <w:tcW w:w="2324" w:type="dxa"/>
                  <w:shd w:val="clear" w:color="auto" w:fill="auto"/>
                  <w:vAlign w:val="center"/>
                  <w:hideMark/>
                </w:tcPr>
                <w:p w14:paraId="56F1B406"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2021 Պետական բյուջե</w:t>
                  </w:r>
                </w:p>
              </w:tc>
              <w:tc>
                <w:tcPr>
                  <w:tcW w:w="1527" w:type="dxa"/>
                  <w:vAlign w:val="center"/>
                </w:tcPr>
                <w:p w14:paraId="119436FB"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6,075.9</w:t>
                  </w:r>
                </w:p>
              </w:tc>
              <w:tc>
                <w:tcPr>
                  <w:tcW w:w="1890" w:type="dxa"/>
                  <w:shd w:val="clear" w:color="auto" w:fill="auto"/>
                  <w:noWrap/>
                  <w:vAlign w:val="center"/>
                  <w:hideMark/>
                </w:tcPr>
                <w:p w14:paraId="7E0DE4C4"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6,395.3</w:t>
                  </w:r>
                </w:p>
              </w:tc>
              <w:tc>
                <w:tcPr>
                  <w:tcW w:w="1449" w:type="dxa"/>
                  <w:shd w:val="clear" w:color="auto" w:fill="auto"/>
                  <w:vAlign w:val="center"/>
                  <w:hideMark/>
                </w:tcPr>
                <w:p w14:paraId="760E2C22"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rFonts w:cs="Calibri"/>
                      <w:b w:val="0"/>
                      <w:color w:val="000000"/>
                      <w:sz w:val="18"/>
                      <w:szCs w:val="18"/>
                      <w:lang w:val="hy-AM"/>
                    </w:rPr>
                    <w:t>-</w:t>
                  </w:r>
                </w:p>
              </w:tc>
            </w:tr>
            <w:tr w:rsidR="00027FBF" w:rsidRPr="006B7E7B" w14:paraId="1496BA9D" w14:textId="77777777" w:rsidTr="00027FBF">
              <w:trPr>
                <w:trHeight w:val="303"/>
              </w:trPr>
              <w:tc>
                <w:tcPr>
                  <w:tcW w:w="2052" w:type="dxa"/>
                  <w:vMerge w:val="restart"/>
                  <w:shd w:val="clear" w:color="auto" w:fill="auto"/>
                  <w:vAlign w:val="center"/>
                </w:tcPr>
                <w:p w14:paraId="1CDE51F4" w14:textId="77777777" w:rsidR="00027FBF" w:rsidRPr="00A83C94" w:rsidRDefault="00027FBF" w:rsidP="00027FBF">
                  <w:pPr>
                    <w:spacing w:before="0" w:line="276" w:lineRule="auto"/>
                    <w:ind w:firstLine="0"/>
                    <w:rPr>
                      <w:rFonts w:cs="Calibri"/>
                      <w:bCs/>
                      <w:color w:val="000000"/>
                      <w:sz w:val="18"/>
                      <w:szCs w:val="18"/>
                      <w:lang w:val="hy-AM"/>
                    </w:rPr>
                  </w:pPr>
                  <w:r w:rsidRPr="00A83C94">
                    <w:rPr>
                      <w:rFonts w:cs="Calibri"/>
                      <w:bCs/>
                      <w:color w:val="000000"/>
                      <w:sz w:val="18"/>
                      <w:szCs w:val="18"/>
                      <w:lang w:val="hy-AM"/>
                    </w:rPr>
                    <w:t>Տնտեսական</w:t>
                  </w:r>
                  <w:r w:rsidRPr="00A83C94">
                    <w:rPr>
                      <w:rFonts w:cs="Calibri"/>
                      <w:bCs/>
                      <w:color w:val="000000"/>
                      <w:sz w:val="18"/>
                      <w:szCs w:val="18"/>
                    </w:rPr>
                    <w:t xml:space="preserve"> (</w:t>
                  </w:r>
                  <w:r w:rsidRPr="00A83C94">
                    <w:rPr>
                      <w:rFonts w:cs="Calibri"/>
                      <w:bCs/>
                      <w:color w:val="000000"/>
                      <w:sz w:val="18"/>
                      <w:szCs w:val="18"/>
                      <w:lang w:val="hy-AM"/>
                    </w:rPr>
                    <w:t>իրական ՀՆԱ-ի</w:t>
                  </w:r>
                  <w:r w:rsidRPr="00A83C94">
                    <w:rPr>
                      <w:rFonts w:cs="Calibri"/>
                      <w:bCs/>
                      <w:color w:val="000000"/>
                      <w:sz w:val="18"/>
                      <w:szCs w:val="18"/>
                    </w:rPr>
                    <w:t>)</w:t>
                  </w:r>
                  <w:r w:rsidRPr="00A83C94">
                    <w:rPr>
                      <w:rFonts w:cs="Calibri"/>
                      <w:bCs/>
                      <w:color w:val="000000"/>
                      <w:sz w:val="18"/>
                      <w:szCs w:val="18"/>
                      <w:lang w:val="hy-AM"/>
                    </w:rPr>
                    <w:t xml:space="preserve"> աճ, </w:t>
                  </w:r>
                  <w:r w:rsidRPr="00A83C94">
                    <w:rPr>
                      <w:rFonts w:cs="Calibri"/>
                      <w:bCs/>
                      <w:color w:val="000000"/>
                      <w:sz w:val="18"/>
                      <w:szCs w:val="18"/>
                    </w:rPr>
                    <w:t>%</w:t>
                  </w:r>
                </w:p>
              </w:tc>
              <w:tc>
                <w:tcPr>
                  <w:tcW w:w="2324" w:type="dxa"/>
                  <w:shd w:val="clear" w:color="auto" w:fill="auto"/>
                  <w:vAlign w:val="center"/>
                </w:tcPr>
                <w:p w14:paraId="17FACC9E"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 Պետական բյուջե</w:t>
                  </w:r>
                </w:p>
              </w:tc>
              <w:tc>
                <w:tcPr>
                  <w:tcW w:w="1527" w:type="dxa"/>
                  <w:vAlign w:val="center"/>
                </w:tcPr>
                <w:p w14:paraId="0B888E1C"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-7.4</w:t>
                  </w:r>
                </w:p>
              </w:tc>
              <w:tc>
                <w:tcPr>
                  <w:tcW w:w="1890" w:type="dxa"/>
                  <w:shd w:val="clear" w:color="auto" w:fill="auto"/>
                  <w:noWrap/>
                  <w:vAlign w:val="center"/>
                </w:tcPr>
                <w:p w14:paraId="10C0914E"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6.5</w:t>
                  </w:r>
                </w:p>
              </w:tc>
              <w:tc>
                <w:tcPr>
                  <w:tcW w:w="1449" w:type="dxa"/>
                  <w:shd w:val="clear" w:color="auto" w:fill="auto"/>
                  <w:vAlign w:val="center"/>
                </w:tcPr>
                <w:p w14:paraId="46931B9A"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7.0</w:t>
                  </w:r>
                </w:p>
              </w:tc>
            </w:tr>
            <w:tr w:rsidR="00027FBF" w:rsidRPr="006B7E7B" w14:paraId="77020364" w14:textId="77777777" w:rsidTr="00027FBF">
              <w:trPr>
                <w:trHeight w:val="303"/>
              </w:trPr>
              <w:tc>
                <w:tcPr>
                  <w:tcW w:w="2052" w:type="dxa"/>
                  <w:vMerge/>
                  <w:shd w:val="clear" w:color="auto" w:fill="auto"/>
                  <w:vAlign w:val="center"/>
                  <w:hideMark/>
                </w:tcPr>
                <w:p w14:paraId="7581E070" w14:textId="77777777" w:rsidR="00027FBF" w:rsidRPr="00A83C94" w:rsidRDefault="00027FBF" w:rsidP="00027FBF">
                  <w:pPr>
                    <w:spacing w:before="0" w:line="276" w:lineRule="auto"/>
                    <w:rPr>
                      <w:rFonts w:cs="Calibri"/>
                      <w:bCs/>
                      <w:color w:val="000000"/>
                      <w:sz w:val="18"/>
                      <w:szCs w:val="18"/>
                      <w:lang w:val="hy-AM"/>
                    </w:rPr>
                  </w:pPr>
                </w:p>
              </w:tc>
              <w:tc>
                <w:tcPr>
                  <w:tcW w:w="2324" w:type="dxa"/>
                  <w:shd w:val="clear" w:color="auto" w:fill="auto"/>
                  <w:vAlign w:val="center"/>
                  <w:hideMark/>
                </w:tcPr>
                <w:p w14:paraId="128C2CDD"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2022-2024 ՄԺԾԾ</w:t>
                  </w:r>
                </w:p>
              </w:tc>
              <w:tc>
                <w:tcPr>
                  <w:tcW w:w="1527" w:type="dxa"/>
                </w:tcPr>
                <w:p w14:paraId="26A1DDA6"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-7.4</w:t>
                  </w:r>
                </w:p>
              </w:tc>
              <w:tc>
                <w:tcPr>
                  <w:tcW w:w="1890" w:type="dxa"/>
                  <w:shd w:val="clear" w:color="auto" w:fill="auto"/>
                  <w:noWrap/>
                  <w:hideMark/>
                </w:tcPr>
                <w:p w14:paraId="2AC0E819"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6.0</w:t>
                  </w:r>
                </w:p>
              </w:tc>
              <w:tc>
                <w:tcPr>
                  <w:tcW w:w="1449" w:type="dxa"/>
                  <w:shd w:val="clear" w:color="auto" w:fill="auto"/>
                  <w:hideMark/>
                </w:tcPr>
                <w:p w14:paraId="4594C2CD"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5.2</w:t>
                  </w:r>
                </w:p>
              </w:tc>
            </w:tr>
            <w:tr w:rsidR="00027FBF" w:rsidRPr="006B7E7B" w14:paraId="6A92C10B" w14:textId="77777777" w:rsidTr="00027FBF">
              <w:trPr>
                <w:trHeight w:val="303"/>
              </w:trPr>
              <w:tc>
                <w:tcPr>
                  <w:tcW w:w="2052" w:type="dxa"/>
                  <w:vMerge/>
                  <w:vAlign w:val="center"/>
                  <w:hideMark/>
                </w:tcPr>
                <w:p w14:paraId="23491A20" w14:textId="77777777" w:rsidR="00027FBF" w:rsidRPr="00A83C94" w:rsidRDefault="00027FBF" w:rsidP="00027FBF">
                  <w:pPr>
                    <w:spacing w:before="0" w:line="276" w:lineRule="auto"/>
                    <w:rPr>
                      <w:rFonts w:cs="Calibri"/>
                      <w:bCs/>
                      <w:color w:val="000000"/>
                      <w:sz w:val="18"/>
                      <w:szCs w:val="18"/>
                      <w:lang w:val="hy-AM"/>
                    </w:rPr>
                  </w:pPr>
                </w:p>
              </w:tc>
              <w:tc>
                <w:tcPr>
                  <w:tcW w:w="2324" w:type="dxa"/>
                  <w:shd w:val="clear" w:color="auto" w:fill="auto"/>
                  <w:vAlign w:val="center"/>
                  <w:hideMark/>
                </w:tcPr>
                <w:p w14:paraId="467C0EC6"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2021 Պետական բյուջե</w:t>
                  </w:r>
                </w:p>
              </w:tc>
              <w:tc>
                <w:tcPr>
                  <w:tcW w:w="1527" w:type="dxa"/>
                  <w:vAlign w:val="center"/>
                </w:tcPr>
                <w:p w14:paraId="204F90E8"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-7.9</w:t>
                  </w:r>
                </w:p>
              </w:tc>
              <w:tc>
                <w:tcPr>
                  <w:tcW w:w="1890" w:type="dxa"/>
                  <w:shd w:val="clear" w:color="auto" w:fill="auto"/>
                  <w:noWrap/>
                  <w:vAlign w:val="center"/>
                  <w:hideMark/>
                </w:tcPr>
                <w:p w14:paraId="2776D8FE"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3.2</w:t>
                  </w:r>
                </w:p>
              </w:tc>
              <w:tc>
                <w:tcPr>
                  <w:tcW w:w="1449" w:type="dxa"/>
                  <w:shd w:val="clear" w:color="auto" w:fill="auto"/>
                  <w:vAlign w:val="center"/>
                  <w:hideMark/>
                </w:tcPr>
                <w:p w14:paraId="156F5168"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rFonts w:cs="Calibri"/>
                      <w:b w:val="0"/>
                      <w:color w:val="000000"/>
                      <w:sz w:val="18"/>
                      <w:szCs w:val="18"/>
                      <w:lang w:val="hy-AM"/>
                    </w:rPr>
                    <w:t>-</w:t>
                  </w:r>
                </w:p>
              </w:tc>
            </w:tr>
            <w:tr w:rsidR="00027FBF" w:rsidRPr="006B7E7B" w14:paraId="4C328B15" w14:textId="77777777" w:rsidTr="00027FBF">
              <w:trPr>
                <w:trHeight w:val="303"/>
              </w:trPr>
              <w:tc>
                <w:tcPr>
                  <w:tcW w:w="2052" w:type="dxa"/>
                  <w:vMerge w:val="restart"/>
                  <w:shd w:val="clear" w:color="auto" w:fill="auto"/>
                  <w:vAlign w:val="center"/>
                </w:tcPr>
                <w:p w14:paraId="1B04C107" w14:textId="77777777" w:rsidR="00027FBF" w:rsidRPr="00A83C94" w:rsidRDefault="00027FBF" w:rsidP="00027FBF">
                  <w:pPr>
                    <w:spacing w:before="0" w:line="276" w:lineRule="auto"/>
                    <w:ind w:firstLine="0"/>
                    <w:jc w:val="left"/>
                    <w:rPr>
                      <w:rFonts w:cs="Calibri"/>
                      <w:bCs/>
                      <w:color w:val="000000"/>
                      <w:sz w:val="18"/>
                      <w:szCs w:val="18"/>
                      <w:lang w:val="hy-AM"/>
                    </w:rPr>
                  </w:pPr>
                  <w:r w:rsidRPr="00A83C94">
                    <w:rPr>
                      <w:rFonts w:cs="Calibri"/>
                      <w:bCs/>
                      <w:color w:val="000000"/>
                      <w:sz w:val="18"/>
                      <w:szCs w:val="18"/>
                      <w:lang w:val="hy-AM"/>
                    </w:rPr>
                    <w:t>ՀՆԱ-ի դեֆլյատորի աճ, %</w:t>
                  </w:r>
                </w:p>
              </w:tc>
              <w:tc>
                <w:tcPr>
                  <w:tcW w:w="2324" w:type="dxa"/>
                  <w:shd w:val="clear" w:color="auto" w:fill="auto"/>
                  <w:vAlign w:val="center"/>
                </w:tcPr>
                <w:p w14:paraId="206DF0F4"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 Պետական բյուջե</w:t>
                  </w:r>
                </w:p>
              </w:tc>
              <w:tc>
                <w:tcPr>
                  <w:tcW w:w="1527" w:type="dxa"/>
                  <w:vAlign w:val="center"/>
                </w:tcPr>
                <w:p w14:paraId="34C17817"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2.0</w:t>
                  </w:r>
                </w:p>
              </w:tc>
              <w:tc>
                <w:tcPr>
                  <w:tcW w:w="1890" w:type="dxa"/>
                  <w:shd w:val="clear" w:color="auto" w:fill="auto"/>
                  <w:noWrap/>
                  <w:vAlign w:val="center"/>
                </w:tcPr>
                <w:p w14:paraId="7D28CDB6"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6.8</w:t>
                  </w:r>
                </w:p>
              </w:tc>
              <w:tc>
                <w:tcPr>
                  <w:tcW w:w="1449" w:type="dxa"/>
                  <w:shd w:val="clear" w:color="auto" w:fill="auto"/>
                  <w:vAlign w:val="center"/>
                </w:tcPr>
                <w:p w14:paraId="2168CAA3"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4.6</w:t>
                  </w:r>
                </w:p>
              </w:tc>
            </w:tr>
            <w:tr w:rsidR="00027FBF" w:rsidRPr="006B7E7B" w14:paraId="71FAACD4" w14:textId="77777777" w:rsidTr="00027FBF">
              <w:trPr>
                <w:trHeight w:val="303"/>
              </w:trPr>
              <w:tc>
                <w:tcPr>
                  <w:tcW w:w="2052" w:type="dxa"/>
                  <w:vMerge/>
                  <w:shd w:val="clear" w:color="auto" w:fill="auto"/>
                  <w:vAlign w:val="center"/>
                  <w:hideMark/>
                </w:tcPr>
                <w:p w14:paraId="4A0E837D" w14:textId="77777777" w:rsidR="00027FBF" w:rsidRPr="00A83C94" w:rsidRDefault="00027FBF" w:rsidP="00027FBF">
                  <w:pPr>
                    <w:spacing w:before="0" w:line="276" w:lineRule="auto"/>
                    <w:rPr>
                      <w:rFonts w:cs="Calibri"/>
                      <w:b w:val="0"/>
                      <w:bCs/>
                      <w:color w:val="000000"/>
                      <w:sz w:val="18"/>
                      <w:szCs w:val="18"/>
                      <w:lang w:val="hy-AM"/>
                    </w:rPr>
                  </w:pPr>
                </w:p>
              </w:tc>
              <w:tc>
                <w:tcPr>
                  <w:tcW w:w="2324" w:type="dxa"/>
                  <w:shd w:val="clear" w:color="auto" w:fill="auto"/>
                  <w:vAlign w:val="center"/>
                  <w:hideMark/>
                </w:tcPr>
                <w:p w14:paraId="29D72A9A"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2022-2024 ՄԺԾԾ</w:t>
                  </w:r>
                </w:p>
              </w:tc>
              <w:tc>
                <w:tcPr>
                  <w:tcW w:w="1527" w:type="dxa"/>
                </w:tcPr>
                <w:p w14:paraId="3E8A27C4"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2.0</w:t>
                  </w:r>
                </w:p>
              </w:tc>
              <w:tc>
                <w:tcPr>
                  <w:tcW w:w="1890" w:type="dxa"/>
                  <w:shd w:val="clear" w:color="auto" w:fill="auto"/>
                  <w:noWrap/>
                  <w:hideMark/>
                </w:tcPr>
                <w:p w14:paraId="55247187"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5.0</w:t>
                  </w:r>
                </w:p>
              </w:tc>
              <w:tc>
                <w:tcPr>
                  <w:tcW w:w="1449" w:type="dxa"/>
                  <w:shd w:val="clear" w:color="auto" w:fill="auto"/>
                  <w:hideMark/>
                </w:tcPr>
                <w:p w14:paraId="72243463"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4.6</w:t>
                  </w:r>
                </w:p>
              </w:tc>
            </w:tr>
            <w:tr w:rsidR="00027FBF" w:rsidRPr="006B7E7B" w14:paraId="3B82A53A" w14:textId="77777777" w:rsidTr="00027FBF">
              <w:trPr>
                <w:trHeight w:val="303"/>
              </w:trPr>
              <w:tc>
                <w:tcPr>
                  <w:tcW w:w="2052" w:type="dxa"/>
                  <w:vMerge/>
                  <w:vAlign w:val="center"/>
                  <w:hideMark/>
                </w:tcPr>
                <w:p w14:paraId="38C52C63" w14:textId="77777777" w:rsidR="00027FBF" w:rsidRPr="00A83C94" w:rsidRDefault="00027FBF" w:rsidP="00027FBF">
                  <w:pPr>
                    <w:spacing w:before="0" w:line="276" w:lineRule="auto"/>
                    <w:rPr>
                      <w:rFonts w:cs="Calibri"/>
                      <w:b w:val="0"/>
                      <w:bCs/>
                      <w:color w:val="000000"/>
                      <w:sz w:val="18"/>
                      <w:szCs w:val="18"/>
                      <w:lang w:val="hy-AM"/>
                    </w:rPr>
                  </w:pPr>
                </w:p>
              </w:tc>
              <w:tc>
                <w:tcPr>
                  <w:tcW w:w="2324" w:type="dxa"/>
                  <w:shd w:val="clear" w:color="auto" w:fill="auto"/>
                  <w:vAlign w:val="center"/>
                  <w:hideMark/>
                </w:tcPr>
                <w:p w14:paraId="7F44B70A"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2021 Պետական բյուջե</w:t>
                  </w:r>
                </w:p>
              </w:tc>
              <w:tc>
                <w:tcPr>
                  <w:tcW w:w="1527" w:type="dxa"/>
                  <w:vAlign w:val="center"/>
                </w:tcPr>
                <w:p w14:paraId="0A2EFC1D"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0.4</w:t>
                  </w:r>
                </w:p>
              </w:tc>
              <w:tc>
                <w:tcPr>
                  <w:tcW w:w="1890" w:type="dxa"/>
                  <w:shd w:val="clear" w:color="auto" w:fill="auto"/>
                  <w:noWrap/>
                  <w:vAlign w:val="center"/>
                  <w:hideMark/>
                </w:tcPr>
                <w:p w14:paraId="478A9337"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2.0</w:t>
                  </w:r>
                </w:p>
              </w:tc>
              <w:tc>
                <w:tcPr>
                  <w:tcW w:w="1449" w:type="dxa"/>
                  <w:shd w:val="clear" w:color="auto" w:fill="auto"/>
                  <w:vAlign w:val="center"/>
                  <w:hideMark/>
                </w:tcPr>
                <w:p w14:paraId="2A3E850A"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rFonts w:cs="Calibri"/>
                      <w:b w:val="0"/>
                      <w:color w:val="000000"/>
                      <w:sz w:val="18"/>
                      <w:szCs w:val="18"/>
                      <w:lang w:val="hy-AM"/>
                    </w:rPr>
                    <w:t>-</w:t>
                  </w:r>
                </w:p>
              </w:tc>
            </w:tr>
          </w:tbl>
          <w:p w14:paraId="1E097EAF" w14:textId="77777777" w:rsidR="00027FBF" w:rsidRPr="00A83C94" w:rsidRDefault="00027FBF" w:rsidP="00027FBF">
            <w:pPr>
              <w:spacing w:line="276" w:lineRule="auto"/>
              <w:ind w:right="111"/>
              <w:rPr>
                <w:rFonts w:eastAsia="Calibri"/>
                <w:b w:val="0"/>
                <w:sz w:val="18"/>
                <w:szCs w:val="18"/>
                <w:lang w:val="hy-AM"/>
              </w:rPr>
            </w:pPr>
            <w:r w:rsidRPr="00A83C94">
              <w:rPr>
                <w:rFonts w:eastAsia="Calibri"/>
                <w:b w:val="0"/>
                <w:sz w:val="18"/>
                <w:szCs w:val="18"/>
                <w:lang w:val="hy-AM"/>
              </w:rPr>
              <w:t xml:space="preserve">* </w:t>
            </w:r>
            <w:r w:rsidRPr="00A83C94">
              <w:rPr>
                <w:rFonts w:cs="Calibri"/>
                <w:b w:val="0"/>
                <w:i/>
                <w:iCs/>
                <w:color w:val="000000"/>
                <w:sz w:val="18"/>
                <w:szCs w:val="18"/>
                <w:lang w:val="hy-AM"/>
              </w:rPr>
              <w:t xml:space="preserve">2022-2024 ՄԺԾԾ և 2022 պետական բյուջեի համար 2020թ. ցուցանիշները փաստացի են </w:t>
            </w:r>
          </w:p>
          <w:p w14:paraId="6D4DC687" w14:textId="77777777" w:rsidR="00027FBF" w:rsidRPr="00A83C94" w:rsidRDefault="00027FBF" w:rsidP="00027FBF">
            <w:pPr>
              <w:tabs>
                <w:tab w:val="left" w:pos="541"/>
                <w:tab w:val="num" w:pos="720"/>
              </w:tabs>
              <w:spacing w:before="0" w:after="0" w:line="276" w:lineRule="auto"/>
              <w:ind w:firstLine="0"/>
              <w:rPr>
                <w:rFonts w:eastAsia="Calibri"/>
                <w:b w:val="0"/>
                <w:i/>
                <w:sz w:val="16"/>
                <w:szCs w:val="16"/>
                <w:lang w:val="hy-AM"/>
              </w:rPr>
            </w:pPr>
            <w:r w:rsidRPr="00A83C94">
              <w:rPr>
                <w:rFonts w:eastAsia="Calibri"/>
                <w:b w:val="0"/>
                <w:i/>
                <w:sz w:val="16"/>
                <w:szCs w:val="16"/>
                <w:lang w:val="hy-AM"/>
              </w:rPr>
              <w:t xml:space="preserve">           Աղբյուրը ՝ ՀՀ ՖՆ կանխատեսումներ</w:t>
            </w:r>
          </w:p>
          <w:p w14:paraId="5BC629C5" w14:textId="77777777" w:rsidR="00027FBF" w:rsidRPr="00A83C94" w:rsidRDefault="00027FBF" w:rsidP="00027FBF">
            <w:pPr>
              <w:spacing w:before="0" w:after="0"/>
              <w:rPr>
                <w:rFonts w:eastAsia="Calibri"/>
                <w:b w:val="0"/>
                <w:sz w:val="18"/>
                <w:szCs w:val="18"/>
                <w:lang w:val="hy-AM"/>
              </w:rPr>
            </w:pPr>
          </w:p>
          <w:p w14:paraId="5C3D46CD" w14:textId="77777777" w:rsidR="00027FBF" w:rsidRPr="00A83C94" w:rsidRDefault="00027FBF" w:rsidP="00027FBF">
            <w:pPr>
              <w:keepNext/>
              <w:keepLines/>
              <w:spacing w:before="0" w:after="0" w:line="276" w:lineRule="auto"/>
              <w:ind w:left="541" w:firstLine="26"/>
              <w:rPr>
                <w:rFonts w:eastAsia="Calibri" w:cs="Sylfaen"/>
                <w:bCs/>
                <w:i/>
                <w:iCs/>
                <w:color w:val="000000"/>
                <w:sz w:val="20"/>
                <w:szCs w:val="20"/>
                <w:lang w:val="hy-AM"/>
              </w:rPr>
            </w:pPr>
            <w:r w:rsidRPr="00A83C94">
              <w:rPr>
                <w:rFonts w:eastAsia="Calibri" w:cs="Sylfaen"/>
                <w:bCs/>
                <w:i/>
                <w:iCs/>
                <w:color w:val="000000"/>
                <w:lang w:val="hy-AM"/>
              </w:rPr>
              <w:t>Աղյուսակ</w:t>
            </w:r>
            <w:r w:rsidRPr="00A83C94">
              <w:rPr>
                <w:rFonts w:eastAsia="Calibri"/>
                <w:bCs/>
                <w:i/>
                <w:iCs/>
                <w:color w:val="000000"/>
                <w:lang w:val="hy-AM"/>
              </w:rPr>
              <w:t xml:space="preserve"> 1.6.</w:t>
            </w:r>
            <w:r w:rsidRPr="00A83C94">
              <w:rPr>
                <w:rFonts w:eastAsia="Calibri"/>
                <w:bCs/>
                <w:i/>
                <w:iCs/>
                <w:color w:val="000000"/>
                <w:sz w:val="20"/>
                <w:szCs w:val="20"/>
                <w:lang w:val="hy-AM"/>
              </w:rPr>
              <w:t xml:space="preserve"> </w:t>
            </w:r>
            <w:r w:rsidRPr="00A83C94">
              <w:rPr>
                <w:rFonts w:eastAsia="Calibri" w:cs="Sylfaen"/>
                <w:bCs/>
                <w:i/>
                <w:iCs/>
                <w:color w:val="000000"/>
                <w:sz w:val="20"/>
                <w:szCs w:val="20"/>
                <w:lang w:val="hy-AM"/>
              </w:rPr>
              <w:t xml:space="preserve">Ընթացիկ հաշվի կանխատեսումները 2022-2024թթ. ՄԺԾԾ-ով, 2021թ. և 2022թ. </w:t>
            </w:r>
          </w:p>
          <w:p w14:paraId="35D21751" w14:textId="77777777" w:rsidR="00027FBF" w:rsidRPr="00A83C94" w:rsidRDefault="00027FBF" w:rsidP="00027FBF">
            <w:pPr>
              <w:keepNext/>
              <w:keepLines/>
              <w:spacing w:before="0" w:after="0" w:line="276" w:lineRule="auto"/>
              <w:ind w:left="541" w:firstLine="26"/>
              <w:rPr>
                <w:rFonts w:eastAsia="Calibri" w:cs="Sylfaen"/>
                <w:bCs/>
                <w:i/>
                <w:iCs/>
                <w:color w:val="000000"/>
                <w:sz w:val="20"/>
                <w:szCs w:val="20"/>
                <w:lang w:val="hy-AM"/>
              </w:rPr>
            </w:pPr>
            <w:r w:rsidRPr="00A83C94">
              <w:rPr>
                <w:rFonts w:eastAsia="Calibri" w:cs="Sylfaen"/>
                <w:bCs/>
                <w:i/>
                <w:iCs/>
                <w:color w:val="000000"/>
                <w:sz w:val="20"/>
                <w:szCs w:val="20"/>
                <w:lang w:val="hy-AM"/>
              </w:rPr>
              <w:t>պետական բյուջեներով</w:t>
            </w:r>
          </w:p>
          <w:tbl>
            <w:tblPr>
              <w:tblW w:w="9360" w:type="dxa"/>
              <w:tblInd w:w="39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2374"/>
              <w:gridCol w:w="1527"/>
              <w:gridCol w:w="1685"/>
              <w:gridCol w:w="1495"/>
            </w:tblGrid>
            <w:tr w:rsidR="00027FBF" w:rsidRPr="00A83C94" w14:paraId="11087F7B" w14:textId="77777777" w:rsidTr="00027FBF">
              <w:trPr>
                <w:trHeight w:val="384"/>
              </w:trPr>
              <w:tc>
                <w:tcPr>
                  <w:tcW w:w="2279" w:type="dxa"/>
                  <w:vMerge w:val="restart"/>
                  <w:shd w:val="clear" w:color="auto" w:fill="9CC2E5"/>
                  <w:noWrap/>
                  <w:vAlign w:val="center"/>
                  <w:hideMark/>
                </w:tcPr>
                <w:p w14:paraId="57D54708" w14:textId="77777777" w:rsidR="00027FBF" w:rsidRPr="00A83C94" w:rsidRDefault="00027FBF" w:rsidP="00027FBF">
                  <w:pPr>
                    <w:spacing w:before="0"/>
                    <w:jc w:val="center"/>
                    <w:rPr>
                      <w:rFonts w:cs="Calibri"/>
                      <w:b w:val="0"/>
                      <w:bCs/>
                      <w:color w:val="000000"/>
                      <w:sz w:val="18"/>
                      <w:szCs w:val="18"/>
                      <w:lang w:val="hy-AM"/>
                    </w:rPr>
                  </w:pPr>
                  <w:r w:rsidRPr="00A83C94">
                    <w:rPr>
                      <w:rFonts w:cs="Calibri"/>
                      <w:bCs/>
                      <w:color w:val="000000"/>
                      <w:sz w:val="18"/>
                      <w:szCs w:val="18"/>
                      <w:lang w:val="hy-AM"/>
                    </w:rPr>
                    <w:t>Ցուցանիշներ</w:t>
                  </w:r>
                </w:p>
              </w:tc>
              <w:tc>
                <w:tcPr>
                  <w:tcW w:w="2374" w:type="dxa"/>
                  <w:vMerge w:val="restart"/>
                  <w:shd w:val="clear" w:color="auto" w:fill="9CC2E5"/>
                  <w:vAlign w:val="center"/>
                  <w:hideMark/>
                </w:tcPr>
                <w:p w14:paraId="2C12D81F" w14:textId="77777777" w:rsidR="00027FBF" w:rsidRPr="00A83C94" w:rsidRDefault="00027FBF" w:rsidP="00027FBF">
                  <w:pPr>
                    <w:spacing w:before="0"/>
                    <w:ind w:firstLine="0"/>
                    <w:rPr>
                      <w:rFonts w:cs="Calibri"/>
                      <w:b w:val="0"/>
                      <w:bCs/>
                      <w:color w:val="000000"/>
                      <w:sz w:val="18"/>
                      <w:szCs w:val="18"/>
                      <w:lang w:val="hy-AM"/>
                    </w:rPr>
                  </w:pPr>
                  <w:r w:rsidRPr="00A83C94">
                    <w:rPr>
                      <w:rFonts w:cs="Calibri"/>
                      <w:bCs/>
                      <w:color w:val="000000"/>
                      <w:sz w:val="18"/>
                      <w:szCs w:val="18"/>
                      <w:lang w:val="hy-AM"/>
                    </w:rPr>
                    <w:t>Ծրագիր</w:t>
                  </w:r>
                </w:p>
              </w:tc>
              <w:tc>
                <w:tcPr>
                  <w:tcW w:w="1527" w:type="dxa"/>
                  <w:shd w:val="clear" w:color="auto" w:fill="9CC2E5"/>
                  <w:vAlign w:val="center"/>
                </w:tcPr>
                <w:p w14:paraId="69F9EB69"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2020</w:t>
                  </w:r>
                </w:p>
              </w:tc>
              <w:tc>
                <w:tcPr>
                  <w:tcW w:w="1685" w:type="dxa"/>
                  <w:shd w:val="clear" w:color="auto" w:fill="9CC2E5"/>
                  <w:vAlign w:val="center"/>
                  <w:hideMark/>
                </w:tcPr>
                <w:p w14:paraId="33C9064B"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2021</w:t>
                  </w:r>
                </w:p>
              </w:tc>
              <w:tc>
                <w:tcPr>
                  <w:tcW w:w="1495" w:type="dxa"/>
                  <w:shd w:val="clear" w:color="auto" w:fill="9CC2E5"/>
                  <w:vAlign w:val="center"/>
                  <w:hideMark/>
                </w:tcPr>
                <w:p w14:paraId="42033B58"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2022</w:t>
                  </w:r>
                </w:p>
              </w:tc>
            </w:tr>
            <w:tr w:rsidR="00027FBF" w:rsidRPr="00A83C94" w14:paraId="27D73C19" w14:textId="77777777" w:rsidTr="00027FBF">
              <w:trPr>
                <w:trHeight w:val="384"/>
              </w:trPr>
              <w:tc>
                <w:tcPr>
                  <w:tcW w:w="2279" w:type="dxa"/>
                  <w:vMerge/>
                  <w:shd w:val="clear" w:color="auto" w:fill="9CC2E5"/>
                  <w:vAlign w:val="center"/>
                  <w:hideMark/>
                </w:tcPr>
                <w:p w14:paraId="0E0F435D" w14:textId="77777777" w:rsidR="00027FBF" w:rsidRPr="00A83C94" w:rsidRDefault="00027FBF" w:rsidP="00027FBF">
                  <w:pPr>
                    <w:spacing w:before="0"/>
                    <w:rPr>
                      <w:rFonts w:cs="Calibri"/>
                      <w:b w:val="0"/>
                      <w:bCs/>
                      <w:color w:val="000000"/>
                      <w:sz w:val="18"/>
                      <w:szCs w:val="18"/>
                      <w:lang w:val="hy-AM"/>
                    </w:rPr>
                  </w:pPr>
                </w:p>
              </w:tc>
              <w:tc>
                <w:tcPr>
                  <w:tcW w:w="2374" w:type="dxa"/>
                  <w:vMerge/>
                  <w:shd w:val="clear" w:color="auto" w:fill="9CC2E5"/>
                  <w:vAlign w:val="center"/>
                  <w:hideMark/>
                </w:tcPr>
                <w:p w14:paraId="7A980AAB" w14:textId="77777777" w:rsidR="00027FBF" w:rsidRPr="00A83C94" w:rsidRDefault="00027FBF" w:rsidP="00027FBF">
                  <w:pPr>
                    <w:spacing w:before="0"/>
                    <w:rPr>
                      <w:rFonts w:cs="Calibri"/>
                      <w:b w:val="0"/>
                      <w:bCs/>
                      <w:color w:val="000000"/>
                      <w:sz w:val="18"/>
                      <w:szCs w:val="18"/>
                      <w:lang w:val="hy-AM"/>
                    </w:rPr>
                  </w:pPr>
                </w:p>
              </w:tc>
              <w:tc>
                <w:tcPr>
                  <w:tcW w:w="1527" w:type="dxa"/>
                  <w:shd w:val="clear" w:color="auto" w:fill="9CC2E5"/>
                  <w:vAlign w:val="center"/>
                </w:tcPr>
                <w:p w14:paraId="35DE31B1" w14:textId="77777777" w:rsidR="00027FBF" w:rsidRPr="00A83C94" w:rsidRDefault="00027FBF" w:rsidP="00027FBF">
                  <w:pPr>
                    <w:spacing w:before="0"/>
                    <w:ind w:firstLine="0"/>
                    <w:rPr>
                      <w:rFonts w:cs="Calibri"/>
                      <w:i/>
                      <w:iCs/>
                      <w:color w:val="000000"/>
                      <w:sz w:val="18"/>
                      <w:szCs w:val="18"/>
                      <w:lang w:val="hy-AM"/>
                    </w:rPr>
                  </w:pPr>
                  <w:r w:rsidRPr="00A83C94">
                    <w:rPr>
                      <w:rFonts w:cs="Calibri"/>
                      <w:i/>
                      <w:iCs/>
                      <w:color w:val="000000"/>
                      <w:sz w:val="18"/>
                      <w:szCs w:val="18"/>
                      <w:lang w:val="hy-AM"/>
                    </w:rPr>
                    <w:t>փաստ*/կանխ.</w:t>
                  </w:r>
                </w:p>
              </w:tc>
              <w:tc>
                <w:tcPr>
                  <w:tcW w:w="1685" w:type="dxa"/>
                  <w:shd w:val="clear" w:color="auto" w:fill="9CC2E5"/>
                  <w:vAlign w:val="center"/>
                  <w:hideMark/>
                </w:tcPr>
                <w:p w14:paraId="2825189C" w14:textId="77777777" w:rsidR="00027FBF" w:rsidRPr="00A83C94" w:rsidRDefault="00027FBF" w:rsidP="00027FBF">
                  <w:pPr>
                    <w:spacing w:before="0"/>
                    <w:ind w:firstLine="0"/>
                    <w:rPr>
                      <w:rFonts w:cs="Calibri"/>
                      <w:i/>
                      <w:iCs/>
                      <w:color w:val="000000"/>
                      <w:sz w:val="18"/>
                      <w:szCs w:val="18"/>
                      <w:lang w:val="hy-AM"/>
                    </w:rPr>
                  </w:pPr>
                  <w:r w:rsidRPr="00A83C94">
                    <w:rPr>
                      <w:rFonts w:cs="Calibri"/>
                      <w:i/>
                      <w:iCs/>
                      <w:color w:val="000000"/>
                      <w:sz w:val="18"/>
                      <w:szCs w:val="18"/>
                      <w:lang w:val="hy-AM"/>
                    </w:rPr>
                    <w:t>կանխ.</w:t>
                  </w:r>
                </w:p>
              </w:tc>
              <w:tc>
                <w:tcPr>
                  <w:tcW w:w="1495" w:type="dxa"/>
                  <w:shd w:val="clear" w:color="auto" w:fill="9CC2E5"/>
                  <w:vAlign w:val="center"/>
                  <w:hideMark/>
                </w:tcPr>
                <w:p w14:paraId="322DF330" w14:textId="77777777" w:rsidR="00027FBF" w:rsidRPr="00A83C94" w:rsidRDefault="00027FBF" w:rsidP="00027FBF">
                  <w:pPr>
                    <w:spacing w:before="0"/>
                    <w:ind w:firstLine="0"/>
                    <w:rPr>
                      <w:rFonts w:cs="Calibri"/>
                      <w:i/>
                      <w:iCs/>
                      <w:color w:val="000000"/>
                      <w:sz w:val="18"/>
                      <w:szCs w:val="18"/>
                      <w:lang w:val="hy-AM"/>
                    </w:rPr>
                  </w:pPr>
                  <w:r w:rsidRPr="00A83C94">
                    <w:rPr>
                      <w:rFonts w:cs="Calibri"/>
                      <w:i/>
                      <w:iCs/>
                      <w:color w:val="000000"/>
                      <w:sz w:val="18"/>
                      <w:szCs w:val="18"/>
                      <w:lang w:val="hy-AM"/>
                    </w:rPr>
                    <w:t>կանխ.</w:t>
                  </w:r>
                </w:p>
              </w:tc>
            </w:tr>
            <w:tr w:rsidR="00027FBF" w:rsidRPr="00A83C94" w14:paraId="05989377" w14:textId="77777777" w:rsidTr="00027FBF">
              <w:trPr>
                <w:trHeight w:val="384"/>
              </w:trPr>
              <w:tc>
                <w:tcPr>
                  <w:tcW w:w="2279" w:type="dxa"/>
                  <w:vMerge w:val="restart"/>
                  <w:shd w:val="clear" w:color="auto" w:fill="auto"/>
                  <w:vAlign w:val="center"/>
                  <w:hideMark/>
                </w:tcPr>
                <w:p w14:paraId="072965C0" w14:textId="77777777" w:rsidR="00027FBF" w:rsidRPr="00A83C94" w:rsidRDefault="00027FBF" w:rsidP="00027FBF">
                  <w:pPr>
                    <w:spacing w:before="0"/>
                    <w:ind w:firstLine="0"/>
                    <w:rPr>
                      <w:rFonts w:cs="Calibri"/>
                      <w:b w:val="0"/>
                      <w:bCs/>
                      <w:color w:val="000000"/>
                      <w:sz w:val="18"/>
                      <w:szCs w:val="18"/>
                      <w:lang w:val="hy-AM"/>
                    </w:rPr>
                  </w:pPr>
                  <w:r w:rsidRPr="00A83C94">
                    <w:rPr>
                      <w:rFonts w:cs="Calibri"/>
                      <w:bCs/>
                      <w:color w:val="000000"/>
                      <w:sz w:val="18"/>
                      <w:szCs w:val="18"/>
                      <w:lang w:val="hy-AM"/>
                    </w:rPr>
                    <w:t>Ընթացիկ հաշիվ, մլն ԱՄՆ դոլար</w:t>
                  </w:r>
                </w:p>
              </w:tc>
              <w:tc>
                <w:tcPr>
                  <w:tcW w:w="2374" w:type="dxa"/>
                  <w:shd w:val="clear" w:color="auto" w:fill="auto"/>
                  <w:vAlign w:val="center"/>
                </w:tcPr>
                <w:p w14:paraId="5A3121FB" w14:textId="77777777" w:rsidR="00027FBF" w:rsidRPr="00A83C94" w:rsidRDefault="00027FBF" w:rsidP="00027FBF">
                  <w:pPr>
                    <w:spacing w:before="0"/>
                    <w:ind w:firstLine="0"/>
                    <w:jc w:val="left"/>
                    <w:rPr>
                      <w:rFonts w:cs="Calibri"/>
                      <w:b w:val="0"/>
                      <w:i/>
                      <w:iCs/>
                      <w:color w:val="000000"/>
                      <w:sz w:val="18"/>
                      <w:szCs w:val="18"/>
                    </w:rPr>
                  </w:pPr>
                  <w:r w:rsidRPr="00A83C94">
                    <w:rPr>
                      <w:rFonts w:cs="Calibri"/>
                      <w:b w:val="0"/>
                      <w:i/>
                      <w:iCs/>
                      <w:color w:val="000000"/>
                      <w:sz w:val="18"/>
                      <w:szCs w:val="18"/>
                    </w:rPr>
                    <w:t xml:space="preserve">2022 </w:t>
                  </w:r>
                  <w:r w:rsidRPr="00A83C94">
                    <w:rPr>
                      <w:rFonts w:cs="Calibri"/>
                      <w:b w:val="0"/>
                      <w:i/>
                      <w:iCs/>
                      <w:color w:val="000000"/>
                      <w:sz w:val="18"/>
                      <w:szCs w:val="18"/>
                      <w:lang w:val="hy-AM"/>
                    </w:rPr>
                    <w:t>Պետական բյուջե</w:t>
                  </w:r>
                </w:p>
              </w:tc>
              <w:tc>
                <w:tcPr>
                  <w:tcW w:w="1527" w:type="dxa"/>
                  <w:vAlign w:val="center"/>
                </w:tcPr>
                <w:p w14:paraId="29F192F8"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-478.7</w:t>
                  </w:r>
                </w:p>
              </w:tc>
              <w:tc>
                <w:tcPr>
                  <w:tcW w:w="1685" w:type="dxa"/>
                  <w:shd w:val="clear" w:color="auto" w:fill="auto"/>
                  <w:noWrap/>
                  <w:vAlign w:val="center"/>
                </w:tcPr>
                <w:p w14:paraId="33A00671" w14:textId="77777777" w:rsidR="00027FBF" w:rsidRPr="00A83C94" w:rsidRDefault="00027FBF" w:rsidP="00027FBF">
                  <w:pPr>
                    <w:spacing w:before="0"/>
                    <w:ind w:firstLine="0"/>
                    <w:jc w:val="center"/>
                    <w:rPr>
                      <w:rFonts w:cs="Calibri"/>
                      <w:b w:val="0"/>
                      <w:color w:val="000000"/>
                      <w:sz w:val="18"/>
                      <w:szCs w:val="18"/>
                      <w:lang w:val="hy-AM"/>
                    </w:rPr>
                  </w:pPr>
                  <w:r w:rsidRPr="00A83C94">
                    <w:rPr>
                      <w:rFonts w:cs="Calibri"/>
                      <w:b w:val="0"/>
                      <w:color w:val="000000"/>
                      <w:sz w:val="18"/>
                      <w:szCs w:val="18"/>
                      <w:lang w:val="hy-AM"/>
                    </w:rPr>
                    <w:t>-241.8</w:t>
                  </w:r>
                </w:p>
              </w:tc>
              <w:tc>
                <w:tcPr>
                  <w:tcW w:w="1495" w:type="dxa"/>
                  <w:shd w:val="clear" w:color="auto" w:fill="auto"/>
                  <w:vAlign w:val="center"/>
                </w:tcPr>
                <w:p w14:paraId="1D23E86E" w14:textId="77777777" w:rsidR="00027FBF" w:rsidRPr="00A83C94" w:rsidRDefault="00027FBF" w:rsidP="00027FBF">
                  <w:pPr>
                    <w:spacing w:before="0"/>
                    <w:ind w:firstLine="0"/>
                    <w:jc w:val="center"/>
                    <w:rPr>
                      <w:rFonts w:cs="Calibri"/>
                      <w:b w:val="0"/>
                      <w:color w:val="000000"/>
                      <w:sz w:val="18"/>
                      <w:szCs w:val="18"/>
                      <w:lang w:val="hy-AM"/>
                    </w:rPr>
                  </w:pPr>
                  <w:r w:rsidRPr="00A83C94">
                    <w:rPr>
                      <w:rFonts w:cs="Calibri"/>
                      <w:b w:val="0"/>
                      <w:color w:val="000000"/>
                      <w:sz w:val="18"/>
                      <w:szCs w:val="18"/>
                      <w:lang w:val="hy-AM"/>
                    </w:rPr>
                    <w:t>-455.6</w:t>
                  </w:r>
                </w:p>
              </w:tc>
            </w:tr>
            <w:tr w:rsidR="00027FBF" w:rsidRPr="00A83C94" w14:paraId="36426BF3" w14:textId="77777777" w:rsidTr="00027FBF">
              <w:trPr>
                <w:trHeight w:val="384"/>
              </w:trPr>
              <w:tc>
                <w:tcPr>
                  <w:tcW w:w="2279" w:type="dxa"/>
                  <w:vMerge/>
                  <w:vAlign w:val="center"/>
                  <w:hideMark/>
                </w:tcPr>
                <w:p w14:paraId="495DE4FE" w14:textId="77777777" w:rsidR="00027FBF" w:rsidRPr="00A83C94" w:rsidRDefault="00027FBF" w:rsidP="00027FBF">
                  <w:pPr>
                    <w:spacing w:before="0"/>
                    <w:rPr>
                      <w:rFonts w:cs="Calibri"/>
                      <w:b w:val="0"/>
                      <w:bCs/>
                      <w:color w:val="000000"/>
                      <w:sz w:val="18"/>
                      <w:szCs w:val="18"/>
                    </w:rPr>
                  </w:pPr>
                </w:p>
              </w:tc>
              <w:tc>
                <w:tcPr>
                  <w:tcW w:w="2374" w:type="dxa"/>
                  <w:shd w:val="clear" w:color="auto" w:fill="auto"/>
                  <w:vAlign w:val="center"/>
                  <w:hideMark/>
                </w:tcPr>
                <w:p w14:paraId="3226B6EC" w14:textId="77777777" w:rsidR="00027FBF" w:rsidRPr="00A83C94" w:rsidRDefault="00027FBF" w:rsidP="00027FBF">
                  <w:pPr>
                    <w:spacing w:before="0"/>
                    <w:ind w:firstLine="0"/>
                    <w:jc w:val="left"/>
                    <w:rPr>
                      <w:rFonts w:cs="Calibri"/>
                      <w:b w:val="0"/>
                      <w:i/>
                      <w:iCs/>
                      <w:color w:val="000000"/>
                      <w:sz w:val="18"/>
                      <w:szCs w:val="18"/>
                    </w:rPr>
                  </w:pPr>
                  <w:r w:rsidRPr="00A83C94">
                    <w:rPr>
                      <w:rFonts w:cs="Calibri"/>
                      <w:b w:val="0"/>
                      <w:i/>
                      <w:iCs/>
                      <w:color w:val="000000"/>
                      <w:sz w:val="18"/>
                      <w:szCs w:val="18"/>
                    </w:rPr>
                    <w:t>202</w:t>
                  </w:r>
                  <w:r w:rsidRPr="00A83C94">
                    <w:rPr>
                      <w:rFonts w:cs="Calibri"/>
                      <w:b w:val="0"/>
                      <w:i/>
                      <w:iCs/>
                      <w:color w:val="000000"/>
                      <w:sz w:val="18"/>
                      <w:szCs w:val="18"/>
                      <w:lang w:val="hy-AM"/>
                    </w:rPr>
                    <w:t>2</w:t>
                  </w:r>
                  <w:r w:rsidRPr="00A83C94">
                    <w:rPr>
                      <w:rFonts w:cs="Calibri"/>
                      <w:b w:val="0"/>
                      <w:i/>
                      <w:iCs/>
                      <w:color w:val="000000"/>
                      <w:sz w:val="18"/>
                      <w:szCs w:val="18"/>
                    </w:rPr>
                    <w:t>-202</w:t>
                  </w:r>
                  <w:r w:rsidRPr="00A83C94">
                    <w:rPr>
                      <w:rFonts w:cs="Calibri"/>
                      <w:b w:val="0"/>
                      <w:i/>
                      <w:iCs/>
                      <w:color w:val="000000"/>
                      <w:sz w:val="18"/>
                      <w:szCs w:val="18"/>
                      <w:lang w:val="hy-AM"/>
                    </w:rPr>
                    <w:t>4</w:t>
                  </w:r>
                  <w:r w:rsidRPr="00A83C94">
                    <w:rPr>
                      <w:rFonts w:cs="Calibri"/>
                      <w:b w:val="0"/>
                      <w:i/>
                      <w:iCs/>
                      <w:color w:val="000000"/>
                      <w:sz w:val="18"/>
                      <w:szCs w:val="18"/>
                    </w:rPr>
                    <w:t xml:space="preserve"> ՄԺԾԾ</w:t>
                  </w:r>
                </w:p>
              </w:tc>
              <w:tc>
                <w:tcPr>
                  <w:tcW w:w="1527" w:type="dxa"/>
                </w:tcPr>
                <w:p w14:paraId="12443CA0"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-478.7</w:t>
                  </w:r>
                </w:p>
              </w:tc>
              <w:tc>
                <w:tcPr>
                  <w:tcW w:w="1685" w:type="dxa"/>
                  <w:shd w:val="clear" w:color="auto" w:fill="auto"/>
                  <w:noWrap/>
                  <w:hideMark/>
                </w:tcPr>
                <w:p w14:paraId="5ED68523"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-281.3</w:t>
                  </w:r>
                </w:p>
              </w:tc>
              <w:tc>
                <w:tcPr>
                  <w:tcW w:w="1495" w:type="dxa"/>
                  <w:shd w:val="clear" w:color="auto" w:fill="auto"/>
                  <w:hideMark/>
                </w:tcPr>
                <w:p w14:paraId="66BE86B3"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-421.6</w:t>
                  </w:r>
                </w:p>
              </w:tc>
            </w:tr>
            <w:tr w:rsidR="00027FBF" w:rsidRPr="00A83C94" w14:paraId="1DF64B04" w14:textId="77777777" w:rsidTr="00027FBF">
              <w:trPr>
                <w:trHeight w:val="384"/>
              </w:trPr>
              <w:tc>
                <w:tcPr>
                  <w:tcW w:w="2279" w:type="dxa"/>
                  <w:vMerge/>
                  <w:vAlign w:val="center"/>
                  <w:hideMark/>
                </w:tcPr>
                <w:p w14:paraId="2D342AD6" w14:textId="77777777" w:rsidR="00027FBF" w:rsidRPr="00A83C94" w:rsidRDefault="00027FBF" w:rsidP="00027FBF">
                  <w:pPr>
                    <w:spacing w:before="0"/>
                    <w:rPr>
                      <w:rFonts w:cs="Calibri"/>
                      <w:b w:val="0"/>
                      <w:bCs/>
                      <w:color w:val="000000"/>
                      <w:sz w:val="18"/>
                      <w:szCs w:val="18"/>
                    </w:rPr>
                  </w:pPr>
                </w:p>
              </w:tc>
              <w:tc>
                <w:tcPr>
                  <w:tcW w:w="2374" w:type="dxa"/>
                  <w:shd w:val="clear" w:color="auto" w:fill="auto"/>
                  <w:vAlign w:val="center"/>
                </w:tcPr>
                <w:p w14:paraId="455C1A40" w14:textId="77777777" w:rsidR="00027FBF" w:rsidRPr="00A83C94" w:rsidRDefault="00027FBF" w:rsidP="00027FBF">
                  <w:pPr>
                    <w:spacing w:before="0"/>
                    <w:ind w:firstLine="0"/>
                    <w:jc w:val="left"/>
                    <w:rPr>
                      <w:rFonts w:cs="Calibri"/>
                      <w:b w:val="0"/>
                      <w:i/>
                      <w:iCs/>
                      <w:color w:val="000000"/>
                      <w:sz w:val="18"/>
                      <w:szCs w:val="18"/>
                    </w:rPr>
                  </w:pPr>
                  <w:r w:rsidRPr="00A83C94">
                    <w:rPr>
                      <w:rFonts w:cs="Calibri"/>
                      <w:b w:val="0"/>
                      <w:i/>
                      <w:iCs/>
                      <w:color w:val="000000"/>
                      <w:sz w:val="18"/>
                      <w:szCs w:val="18"/>
                    </w:rPr>
                    <w:t>202</w:t>
                  </w:r>
                  <w:r w:rsidRPr="00A83C94">
                    <w:rPr>
                      <w:rFonts w:cs="Calibri"/>
                      <w:b w:val="0"/>
                      <w:i/>
                      <w:iCs/>
                      <w:color w:val="000000"/>
                      <w:sz w:val="18"/>
                      <w:szCs w:val="18"/>
                      <w:lang w:val="hy-AM"/>
                    </w:rPr>
                    <w:t>1</w:t>
                  </w:r>
                  <w:r w:rsidRPr="00A83C94">
                    <w:rPr>
                      <w:rFonts w:cs="Calibri"/>
                      <w:b w:val="0"/>
                      <w:i/>
                      <w:iCs/>
                      <w:color w:val="000000"/>
                      <w:sz w:val="18"/>
                      <w:szCs w:val="18"/>
                    </w:rPr>
                    <w:t xml:space="preserve"> Պետական բյուջե</w:t>
                  </w:r>
                </w:p>
              </w:tc>
              <w:tc>
                <w:tcPr>
                  <w:tcW w:w="1527" w:type="dxa"/>
                </w:tcPr>
                <w:p w14:paraId="7967E02A"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-731.7</w:t>
                  </w:r>
                </w:p>
              </w:tc>
              <w:tc>
                <w:tcPr>
                  <w:tcW w:w="1685" w:type="dxa"/>
                  <w:shd w:val="clear" w:color="auto" w:fill="auto"/>
                  <w:noWrap/>
                </w:tcPr>
                <w:p w14:paraId="210FA013"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-772.3</w:t>
                  </w:r>
                </w:p>
              </w:tc>
              <w:tc>
                <w:tcPr>
                  <w:tcW w:w="1495" w:type="dxa"/>
                  <w:shd w:val="clear" w:color="auto" w:fill="auto"/>
                  <w:vAlign w:val="center"/>
                </w:tcPr>
                <w:p w14:paraId="6F7CB345"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w:t>
                  </w:r>
                </w:p>
              </w:tc>
            </w:tr>
            <w:tr w:rsidR="00027FBF" w:rsidRPr="00A83C94" w14:paraId="3C4AEB2D" w14:textId="77777777" w:rsidTr="00027FBF">
              <w:trPr>
                <w:trHeight w:val="384"/>
              </w:trPr>
              <w:tc>
                <w:tcPr>
                  <w:tcW w:w="2279" w:type="dxa"/>
                  <w:vMerge w:val="restart"/>
                  <w:shd w:val="clear" w:color="auto" w:fill="auto"/>
                  <w:vAlign w:val="center"/>
                  <w:hideMark/>
                </w:tcPr>
                <w:p w14:paraId="0CA89021" w14:textId="77777777" w:rsidR="00027FBF" w:rsidRPr="00A83C94" w:rsidRDefault="00027FBF" w:rsidP="00027FBF">
                  <w:pPr>
                    <w:spacing w:before="0"/>
                    <w:ind w:firstLine="0"/>
                    <w:rPr>
                      <w:rFonts w:cs="Calibri"/>
                      <w:b w:val="0"/>
                      <w:bCs/>
                      <w:color w:val="000000"/>
                      <w:sz w:val="18"/>
                      <w:szCs w:val="18"/>
                    </w:rPr>
                  </w:pPr>
                  <w:r w:rsidRPr="00A83C94">
                    <w:rPr>
                      <w:rFonts w:cs="Calibri"/>
                      <w:bCs/>
                      <w:color w:val="000000"/>
                      <w:sz w:val="18"/>
                      <w:szCs w:val="18"/>
                    </w:rPr>
                    <w:t>Ընթացիկ հաշիվ, %-ով՝ ՀՆԱ-ի նկատմամբ</w:t>
                  </w:r>
                </w:p>
              </w:tc>
              <w:tc>
                <w:tcPr>
                  <w:tcW w:w="2374" w:type="dxa"/>
                  <w:shd w:val="clear" w:color="auto" w:fill="auto"/>
                  <w:vAlign w:val="center"/>
                </w:tcPr>
                <w:p w14:paraId="39ADF3E4" w14:textId="77777777" w:rsidR="00027FBF" w:rsidRPr="00A83C94" w:rsidRDefault="00027FBF" w:rsidP="00027FBF">
                  <w:pPr>
                    <w:spacing w:before="0"/>
                    <w:ind w:firstLine="0"/>
                    <w:jc w:val="left"/>
                    <w:rPr>
                      <w:rFonts w:cs="Calibri"/>
                      <w:b w:val="0"/>
                      <w:i/>
                      <w:iCs/>
                      <w:color w:val="000000"/>
                      <w:sz w:val="18"/>
                      <w:szCs w:val="18"/>
                    </w:rPr>
                  </w:pPr>
                  <w:r w:rsidRPr="00A83C94">
                    <w:rPr>
                      <w:rFonts w:cs="Calibri"/>
                      <w:b w:val="0"/>
                      <w:i/>
                      <w:iCs/>
                      <w:color w:val="000000"/>
                      <w:sz w:val="18"/>
                      <w:szCs w:val="18"/>
                      <w:lang w:val="hy-AM"/>
                    </w:rPr>
                    <w:t>2022 պետկան բյուջե</w:t>
                  </w:r>
                </w:p>
              </w:tc>
              <w:tc>
                <w:tcPr>
                  <w:tcW w:w="1527" w:type="dxa"/>
                  <w:vAlign w:val="center"/>
                </w:tcPr>
                <w:p w14:paraId="61724A9E"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-3.8</w:t>
                  </w:r>
                </w:p>
              </w:tc>
              <w:tc>
                <w:tcPr>
                  <w:tcW w:w="1685" w:type="dxa"/>
                  <w:shd w:val="clear" w:color="auto" w:fill="auto"/>
                  <w:noWrap/>
                  <w:vAlign w:val="center"/>
                </w:tcPr>
                <w:p w14:paraId="78A5729A"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-1.7</w:t>
                  </w:r>
                </w:p>
              </w:tc>
              <w:tc>
                <w:tcPr>
                  <w:tcW w:w="1495" w:type="dxa"/>
                  <w:shd w:val="clear" w:color="auto" w:fill="auto"/>
                  <w:vAlign w:val="center"/>
                </w:tcPr>
                <w:p w14:paraId="7E2A6AAA"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-3.0</w:t>
                  </w:r>
                </w:p>
              </w:tc>
            </w:tr>
            <w:tr w:rsidR="00027FBF" w:rsidRPr="00A83C94" w14:paraId="00E9A395" w14:textId="77777777" w:rsidTr="00027FBF">
              <w:trPr>
                <w:trHeight w:val="384"/>
              </w:trPr>
              <w:tc>
                <w:tcPr>
                  <w:tcW w:w="2279" w:type="dxa"/>
                  <w:vMerge/>
                  <w:vAlign w:val="center"/>
                  <w:hideMark/>
                </w:tcPr>
                <w:p w14:paraId="212CFB16" w14:textId="77777777" w:rsidR="00027FBF" w:rsidRPr="00A83C94" w:rsidRDefault="00027FBF" w:rsidP="00027FBF">
                  <w:pPr>
                    <w:spacing w:before="0"/>
                    <w:rPr>
                      <w:rFonts w:cs="Calibri"/>
                      <w:b w:val="0"/>
                      <w:bCs/>
                      <w:color w:val="000000"/>
                      <w:sz w:val="18"/>
                      <w:szCs w:val="18"/>
                    </w:rPr>
                  </w:pPr>
                </w:p>
              </w:tc>
              <w:tc>
                <w:tcPr>
                  <w:tcW w:w="2374" w:type="dxa"/>
                  <w:shd w:val="clear" w:color="auto" w:fill="auto"/>
                  <w:vAlign w:val="center"/>
                  <w:hideMark/>
                </w:tcPr>
                <w:p w14:paraId="55A93762" w14:textId="77777777" w:rsidR="00027FBF" w:rsidRPr="00A83C94" w:rsidRDefault="00027FBF" w:rsidP="00027FBF">
                  <w:pPr>
                    <w:spacing w:before="0"/>
                    <w:ind w:firstLine="0"/>
                    <w:jc w:val="left"/>
                    <w:rPr>
                      <w:rFonts w:cs="Calibri"/>
                      <w:b w:val="0"/>
                      <w:i/>
                      <w:iCs/>
                      <w:color w:val="000000"/>
                      <w:sz w:val="18"/>
                      <w:szCs w:val="18"/>
                    </w:rPr>
                  </w:pPr>
                  <w:r w:rsidRPr="00A83C94">
                    <w:rPr>
                      <w:rFonts w:cs="Calibri"/>
                      <w:b w:val="0"/>
                      <w:i/>
                      <w:iCs/>
                      <w:color w:val="000000"/>
                      <w:sz w:val="18"/>
                      <w:szCs w:val="18"/>
                    </w:rPr>
                    <w:t>202</w:t>
                  </w:r>
                  <w:r w:rsidRPr="00A83C94">
                    <w:rPr>
                      <w:rFonts w:cs="Calibri"/>
                      <w:b w:val="0"/>
                      <w:i/>
                      <w:iCs/>
                      <w:color w:val="000000"/>
                      <w:sz w:val="18"/>
                      <w:szCs w:val="18"/>
                      <w:lang w:val="hy-AM"/>
                    </w:rPr>
                    <w:t>2</w:t>
                  </w:r>
                  <w:r w:rsidRPr="00A83C94">
                    <w:rPr>
                      <w:rFonts w:cs="Calibri"/>
                      <w:b w:val="0"/>
                      <w:i/>
                      <w:iCs/>
                      <w:color w:val="000000"/>
                      <w:sz w:val="18"/>
                      <w:szCs w:val="18"/>
                    </w:rPr>
                    <w:t>-202</w:t>
                  </w:r>
                  <w:r w:rsidRPr="00A83C94">
                    <w:rPr>
                      <w:rFonts w:cs="Calibri"/>
                      <w:b w:val="0"/>
                      <w:i/>
                      <w:iCs/>
                      <w:color w:val="000000"/>
                      <w:sz w:val="18"/>
                      <w:szCs w:val="18"/>
                      <w:lang w:val="hy-AM"/>
                    </w:rPr>
                    <w:t>4</w:t>
                  </w:r>
                  <w:r w:rsidRPr="00A83C94">
                    <w:rPr>
                      <w:rFonts w:cs="Calibri"/>
                      <w:b w:val="0"/>
                      <w:i/>
                      <w:iCs/>
                      <w:color w:val="000000"/>
                      <w:sz w:val="18"/>
                      <w:szCs w:val="18"/>
                    </w:rPr>
                    <w:t xml:space="preserve"> ՄԺԾԾ</w:t>
                  </w:r>
                </w:p>
              </w:tc>
              <w:tc>
                <w:tcPr>
                  <w:tcW w:w="1527" w:type="dxa"/>
                  <w:vAlign w:val="center"/>
                </w:tcPr>
                <w:p w14:paraId="57BE93E0"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-3.8</w:t>
                  </w:r>
                </w:p>
              </w:tc>
              <w:tc>
                <w:tcPr>
                  <w:tcW w:w="1685" w:type="dxa"/>
                  <w:shd w:val="clear" w:color="auto" w:fill="auto"/>
                  <w:noWrap/>
                  <w:vAlign w:val="center"/>
                  <w:hideMark/>
                </w:tcPr>
                <w:p w14:paraId="453BDA15"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-2.1</w:t>
                  </w:r>
                </w:p>
              </w:tc>
              <w:tc>
                <w:tcPr>
                  <w:tcW w:w="1495" w:type="dxa"/>
                  <w:shd w:val="clear" w:color="auto" w:fill="auto"/>
                  <w:vAlign w:val="center"/>
                  <w:hideMark/>
                </w:tcPr>
                <w:p w14:paraId="242A2C13"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-2.9</w:t>
                  </w:r>
                </w:p>
              </w:tc>
            </w:tr>
            <w:tr w:rsidR="00027FBF" w:rsidRPr="00A83C94" w14:paraId="0DF0379F" w14:textId="77777777" w:rsidTr="00027FBF">
              <w:trPr>
                <w:trHeight w:val="384"/>
              </w:trPr>
              <w:tc>
                <w:tcPr>
                  <w:tcW w:w="2279" w:type="dxa"/>
                  <w:vMerge/>
                  <w:vAlign w:val="center"/>
                  <w:hideMark/>
                </w:tcPr>
                <w:p w14:paraId="1E3533F8" w14:textId="77777777" w:rsidR="00027FBF" w:rsidRPr="00A83C94" w:rsidRDefault="00027FBF" w:rsidP="00027FBF">
                  <w:pPr>
                    <w:spacing w:before="0"/>
                    <w:rPr>
                      <w:rFonts w:cs="Calibri"/>
                      <w:b w:val="0"/>
                      <w:bCs/>
                      <w:color w:val="000000"/>
                      <w:sz w:val="18"/>
                      <w:szCs w:val="18"/>
                    </w:rPr>
                  </w:pPr>
                </w:p>
              </w:tc>
              <w:tc>
                <w:tcPr>
                  <w:tcW w:w="2374" w:type="dxa"/>
                  <w:shd w:val="clear" w:color="auto" w:fill="auto"/>
                  <w:vAlign w:val="center"/>
                </w:tcPr>
                <w:p w14:paraId="7A176458" w14:textId="77777777" w:rsidR="00027FBF" w:rsidRPr="00A83C94" w:rsidRDefault="00027FBF" w:rsidP="00027FBF">
                  <w:pPr>
                    <w:spacing w:before="0"/>
                    <w:ind w:firstLine="0"/>
                    <w:jc w:val="left"/>
                    <w:rPr>
                      <w:rFonts w:cs="Calibri"/>
                      <w:b w:val="0"/>
                      <w:i/>
                      <w:iCs/>
                      <w:color w:val="000000"/>
                      <w:sz w:val="18"/>
                      <w:szCs w:val="18"/>
                    </w:rPr>
                  </w:pPr>
                  <w:r w:rsidRPr="00A83C94">
                    <w:rPr>
                      <w:rFonts w:cs="Calibri"/>
                      <w:b w:val="0"/>
                      <w:i/>
                      <w:iCs/>
                      <w:color w:val="000000"/>
                      <w:sz w:val="18"/>
                      <w:szCs w:val="18"/>
                    </w:rPr>
                    <w:t>202</w:t>
                  </w:r>
                  <w:r w:rsidRPr="00A83C94">
                    <w:rPr>
                      <w:rFonts w:cs="Calibri"/>
                      <w:b w:val="0"/>
                      <w:i/>
                      <w:iCs/>
                      <w:color w:val="000000"/>
                      <w:sz w:val="18"/>
                      <w:szCs w:val="18"/>
                      <w:lang w:val="hy-AM"/>
                    </w:rPr>
                    <w:t>1</w:t>
                  </w:r>
                  <w:r w:rsidRPr="00A83C94">
                    <w:rPr>
                      <w:rFonts w:cs="Calibri"/>
                      <w:b w:val="0"/>
                      <w:i/>
                      <w:iCs/>
                      <w:color w:val="000000"/>
                      <w:sz w:val="18"/>
                      <w:szCs w:val="18"/>
                    </w:rPr>
                    <w:t xml:space="preserve"> Պետական բյուջե</w:t>
                  </w:r>
                </w:p>
              </w:tc>
              <w:tc>
                <w:tcPr>
                  <w:tcW w:w="1527" w:type="dxa"/>
                </w:tcPr>
                <w:p w14:paraId="6E717299" w14:textId="77777777" w:rsidR="00027FBF" w:rsidRPr="00A83C94" w:rsidRDefault="00027FBF" w:rsidP="00027FBF">
                  <w:pPr>
                    <w:spacing w:before="0"/>
                    <w:ind w:firstLine="0"/>
                    <w:jc w:val="center"/>
                    <w:rPr>
                      <w:rFonts w:cs="Calibri"/>
                      <w:b w:val="0"/>
                      <w:color w:val="000000"/>
                      <w:sz w:val="18"/>
                      <w:szCs w:val="18"/>
                      <w:lang w:val="hy-AM"/>
                    </w:rPr>
                  </w:pPr>
                  <w:r w:rsidRPr="00A83C94">
                    <w:rPr>
                      <w:rFonts w:cs="Calibri"/>
                      <w:b w:val="0"/>
                      <w:color w:val="000000"/>
                      <w:sz w:val="18"/>
                      <w:szCs w:val="18"/>
                      <w:lang w:val="hy-AM"/>
                    </w:rPr>
                    <w:t>-5.9</w:t>
                  </w:r>
                </w:p>
              </w:tc>
              <w:tc>
                <w:tcPr>
                  <w:tcW w:w="1685" w:type="dxa"/>
                  <w:shd w:val="clear" w:color="auto" w:fill="auto"/>
                  <w:noWrap/>
                </w:tcPr>
                <w:p w14:paraId="11464C19"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-6.1</w:t>
                  </w:r>
                </w:p>
              </w:tc>
              <w:tc>
                <w:tcPr>
                  <w:tcW w:w="1495" w:type="dxa"/>
                  <w:shd w:val="clear" w:color="auto" w:fill="auto"/>
                  <w:vAlign w:val="center"/>
                </w:tcPr>
                <w:p w14:paraId="50E21FF1"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w:t>
                  </w:r>
                </w:p>
              </w:tc>
            </w:tr>
          </w:tbl>
          <w:p w14:paraId="539284C9" w14:textId="77777777" w:rsidR="00027FBF" w:rsidRPr="00A83C94" w:rsidRDefault="00027FBF" w:rsidP="00027FBF">
            <w:pPr>
              <w:spacing w:before="0" w:after="0" w:line="276" w:lineRule="auto"/>
              <w:rPr>
                <w:rFonts w:eastAsia="Calibri"/>
                <w:b w:val="0"/>
                <w:sz w:val="18"/>
                <w:szCs w:val="18"/>
                <w:lang w:val="hy-AM"/>
              </w:rPr>
            </w:pPr>
            <w:r w:rsidRPr="00A83C94">
              <w:rPr>
                <w:rFonts w:eastAsia="Calibri"/>
                <w:b w:val="0"/>
                <w:sz w:val="18"/>
                <w:szCs w:val="18"/>
              </w:rPr>
              <w:t xml:space="preserve">* </w:t>
            </w:r>
            <w:r w:rsidRPr="00A83C94">
              <w:rPr>
                <w:rFonts w:cs="Calibri"/>
                <w:b w:val="0"/>
                <w:i/>
                <w:iCs/>
                <w:color w:val="000000"/>
                <w:sz w:val="18"/>
                <w:szCs w:val="18"/>
              </w:rPr>
              <w:t>2022-202</w:t>
            </w:r>
            <w:r w:rsidRPr="00A83C94">
              <w:rPr>
                <w:rFonts w:cs="Calibri"/>
                <w:b w:val="0"/>
                <w:i/>
                <w:iCs/>
                <w:color w:val="000000"/>
                <w:sz w:val="18"/>
                <w:szCs w:val="18"/>
                <w:lang w:val="hy-AM"/>
              </w:rPr>
              <w:t>4</w:t>
            </w:r>
            <w:r w:rsidRPr="00A83C94">
              <w:rPr>
                <w:rFonts w:cs="Calibri"/>
                <w:b w:val="0"/>
                <w:i/>
                <w:iCs/>
                <w:color w:val="000000"/>
                <w:sz w:val="18"/>
                <w:szCs w:val="18"/>
              </w:rPr>
              <w:t xml:space="preserve"> ՄԺԾԾ</w:t>
            </w:r>
            <w:r w:rsidRPr="00A83C94">
              <w:rPr>
                <w:rFonts w:cs="Calibri"/>
                <w:b w:val="0"/>
                <w:i/>
                <w:iCs/>
                <w:color w:val="000000"/>
                <w:sz w:val="18"/>
                <w:szCs w:val="18"/>
                <w:lang w:val="hy-AM"/>
              </w:rPr>
              <w:t xml:space="preserve"> և 2022 պետական բյուջեի</w:t>
            </w:r>
            <w:r w:rsidRPr="00A83C94">
              <w:rPr>
                <w:rFonts w:cs="Calibri"/>
                <w:b w:val="0"/>
                <w:i/>
                <w:iCs/>
                <w:color w:val="000000"/>
                <w:sz w:val="18"/>
                <w:szCs w:val="18"/>
              </w:rPr>
              <w:t xml:space="preserve"> </w:t>
            </w:r>
            <w:r w:rsidRPr="00A83C94">
              <w:rPr>
                <w:rFonts w:cs="Calibri"/>
                <w:b w:val="0"/>
                <w:i/>
                <w:iCs/>
                <w:color w:val="000000"/>
                <w:sz w:val="18"/>
                <w:szCs w:val="18"/>
                <w:lang w:val="hy-AM"/>
              </w:rPr>
              <w:t xml:space="preserve">համար </w:t>
            </w:r>
            <w:r w:rsidRPr="00A83C94">
              <w:rPr>
                <w:rFonts w:cs="Calibri"/>
                <w:b w:val="0"/>
                <w:i/>
                <w:iCs/>
                <w:color w:val="000000"/>
                <w:sz w:val="18"/>
                <w:szCs w:val="18"/>
              </w:rPr>
              <w:t>2020</w:t>
            </w:r>
            <w:r w:rsidRPr="00A83C94">
              <w:rPr>
                <w:rFonts w:cs="Calibri"/>
                <w:b w:val="0"/>
                <w:i/>
                <w:iCs/>
                <w:color w:val="000000"/>
                <w:sz w:val="18"/>
                <w:szCs w:val="18"/>
                <w:lang w:val="hy-AM"/>
              </w:rPr>
              <w:t xml:space="preserve">թ. ցուցանիշները փաստացի են </w:t>
            </w:r>
            <w:r w:rsidRPr="00A83C94">
              <w:rPr>
                <w:rFonts w:eastAsia="Calibri"/>
                <w:b w:val="0"/>
                <w:lang w:val="hy-AM"/>
              </w:rPr>
              <w:t xml:space="preserve">  </w:t>
            </w:r>
          </w:p>
          <w:p w14:paraId="36FCEB70" w14:textId="77777777" w:rsidR="00027FBF" w:rsidRPr="00A83C94" w:rsidRDefault="00027FBF" w:rsidP="00027FBF">
            <w:pPr>
              <w:tabs>
                <w:tab w:val="left" w:pos="0"/>
                <w:tab w:val="num" w:pos="720"/>
              </w:tabs>
              <w:spacing w:before="0" w:after="0" w:line="276" w:lineRule="auto"/>
              <w:ind w:firstLine="399"/>
              <w:rPr>
                <w:rFonts w:eastAsia="Calibri"/>
                <w:b w:val="0"/>
                <w:i/>
                <w:sz w:val="16"/>
                <w:szCs w:val="16"/>
                <w:lang w:val="hy-AM"/>
              </w:rPr>
            </w:pPr>
            <w:r w:rsidRPr="00A83C94">
              <w:rPr>
                <w:rFonts w:eastAsia="Calibri"/>
                <w:b w:val="0"/>
                <w:i/>
                <w:sz w:val="16"/>
                <w:szCs w:val="16"/>
                <w:lang w:val="hy-AM"/>
              </w:rPr>
              <w:t>Աղբյուրը ՝ ՀՀ ՖՆ կանխատեսումներ</w:t>
            </w:r>
          </w:p>
          <w:p w14:paraId="1FE0E80E" w14:textId="77777777" w:rsidR="00027FBF" w:rsidRPr="00A83C94" w:rsidRDefault="00027FBF" w:rsidP="00027FBF">
            <w:pPr>
              <w:spacing w:before="0" w:after="0" w:line="276" w:lineRule="auto"/>
              <w:rPr>
                <w:rFonts w:eastAsia="Calibri"/>
                <w:b w:val="0"/>
                <w:sz w:val="18"/>
                <w:szCs w:val="18"/>
                <w:lang w:val="hy-AM"/>
              </w:rPr>
            </w:pPr>
          </w:p>
          <w:p w14:paraId="123315B0" w14:textId="77777777" w:rsidR="00027FBF" w:rsidRPr="00A83C94" w:rsidRDefault="00027FBF" w:rsidP="00027FBF">
            <w:pPr>
              <w:spacing w:before="0" w:after="0" w:line="276" w:lineRule="auto"/>
              <w:ind w:hanging="824"/>
              <w:rPr>
                <w:rFonts w:eastAsia="GHEA Grapalat" w:cs="GHEA Grapalat"/>
                <w:lang w:val="hy-AM"/>
              </w:rPr>
            </w:pPr>
          </w:p>
        </w:tc>
      </w:tr>
    </w:tbl>
    <w:p w14:paraId="73AE364B" w14:textId="77777777" w:rsidR="00027FBF" w:rsidRPr="00A83C94" w:rsidRDefault="00027FBF" w:rsidP="00027FBF">
      <w:pPr>
        <w:spacing w:before="0"/>
        <w:rPr>
          <w:lang w:val="hy-AM"/>
        </w:rPr>
      </w:pPr>
    </w:p>
    <w:p w14:paraId="7D65D573" w14:textId="77777777" w:rsidR="00027FBF" w:rsidRPr="00A83C94" w:rsidRDefault="00027FBF" w:rsidP="00027FBF">
      <w:pPr>
        <w:spacing w:before="0" w:line="259" w:lineRule="auto"/>
        <w:rPr>
          <w:b w:val="0"/>
          <w:bCs/>
          <w:color w:val="1F497D"/>
          <w:sz w:val="28"/>
          <w:szCs w:val="28"/>
        </w:rPr>
      </w:pPr>
    </w:p>
    <w:p w14:paraId="46BAA6DF" w14:textId="77777777" w:rsidR="00027FBF" w:rsidRPr="00A83C94" w:rsidRDefault="00027FBF" w:rsidP="00027FBF">
      <w:pPr>
        <w:spacing w:before="0" w:line="259" w:lineRule="auto"/>
        <w:rPr>
          <w:b w:val="0"/>
          <w:bCs/>
          <w:color w:val="1F497D"/>
          <w:sz w:val="28"/>
          <w:szCs w:val="28"/>
        </w:rPr>
      </w:pPr>
    </w:p>
    <w:p w14:paraId="01A089DD" w14:textId="77777777" w:rsidR="00027FBF" w:rsidRPr="00A83C94" w:rsidRDefault="00027FBF" w:rsidP="00027FBF">
      <w:pPr>
        <w:spacing w:before="0" w:line="259" w:lineRule="auto"/>
        <w:rPr>
          <w:b w:val="0"/>
          <w:bCs/>
          <w:color w:val="1F497D"/>
          <w:sz w:val="28"/>
          <w:szCs w:val="28"/>
        </w:rPr>
      </w:pPr>
    </w:p>
    <w:p w14:paraId="06D59664" w14:textId="77777777" w:rsidR="00027FBF" w:rsidRPr="00A83C94" w:rsidRDefault="00027FBF" w:rsidP="00027FBF">
      <w:pPr>
        <w:spacing w:before="0" w:line="259" w:lineRule="auto"/>
        <w:rPr>
          <w:b w:val="0"/>
          <w:bCs/>
          <w:color w:val="1F497D"/>
          <w:sz w:val="28"/>
          <w:szCs w:val="28"/>
        </w:rPr>
      </w:pPr>
    </w:p>
    <w:p w14:paraId="4AF72929" w14:textId="77777777" w:rsidR="00027FBF" w:rsidRPr="00A83C94" w:rsidRDefault="00027FBF" w:rsidP="00027FBF">
      <w:pPr>
        <w:keepNext/>
        <w:keepLines/>
        <w:spacing w:before="0" w:line="276" w:lineRule="auto"/>
        <w:outlineLvl w:val="2"/>
        <w:rPr>
          <w:b w:val="0"/>
          <w:bCs/>
          <w:color w:val="1F497D"/>
          <w:sz w:val="28"/>
          <w:szCs w:val="28"/>
        </w:rPr>
      </w:pPr>
      <w:r w:rsidRPr="00A83C94">
        <w:rPr>
          <w:bCs/>
          <w:color w:val="1F497D"/>
          <w:sz w:val="28"/>
          <w:szCs w:val="28"/>
        </w:rPr>
        <w:br w:type="page"/>
      </w:r>
    </w:p>
    <w:p w14:paraId="45521421" w14:textId="77777777" w:rsidR="00027FBF" w:rsidRPr="00A83C94" w:rsidRDefault="00027FBF" w:rsidP="00027FBF">
      <w:pPr>
        <w:keepNext/>
        <w:tabs>
          <w:tab w:val="left" w:pos="567"/>
        </w:tabs>
        <w:spacing w:before="0" w:line="276" w:lineRule="auto"/>
        <w:ind w:firstLine="426"/>
        <w:outlineLvl w:val="0"/>
        <w:rPr>
          <w:sz w:val="28"/>
          <w:szCs w:val="20"/>
          <w:lang w:val="hy-AM"/>
        </w:rPr>
      </w:pPr>
      <w:bookmarkStart w:id="54" w:name="_Toc57655452"/>
      <w:bookmarkStart w:id="55" w:name="_Toc83199220"/>
      <w:bookmarkStart w:id="56" w:name="_Toc83972836"/>
      <w:bookmarkStart w:id="57" w:name="_Toc89428291"/>
      <w:bookmarkEnd w:id="8"/>
      <w:r w:rsidRPr="00A83C94">
        <w:rPr>
          <w:sz w:val="28"/>
          <w:szCs w:val="20"/>
          <w:lang w:val="hy-AM"/>
        </w:rPr>
        <w:lastRenderedPageBreak/>
        <w:t>ՄԱՍ I-Գ</w:t>
      </w:r>
      <w:bookmarkStart w:id="58" w:name="_Toc46154350"/>
      <w:r w:rsidRPr="00A83C94">
        <w:rPr>
          <w:rFonts w:ascii="Cambria Math" w:hAnsi="Cambria Math"/>
          <w:sz w:val="28"/>
          <w:szCs w:val="20"/>
          <w:lang w:val="hy-AM"/>
        </w:rPr>
        <w:t>.</w:t>
      </w:r>
      <w:r w:rsidRPr="00A83C94">
        <w:rPr>
          <w:sz w:val="28"/>
          <w:szCs w:val="20"/>
          <w:lang w:val="hy-AM"/>
        </w:rPr>
        <w:t xml:space="preserve"> ՀԱՐԿԱԲՅՈՒՋԵՏԱՅԻՆ ՔԱՂԱՔԱԿԱՆՈՒԹՅԱՆ ՀԻՄՆԱԿԱՆ ՈՒՂՂՈՒԹՅՈՒՆՆԵՐԸ ԵՎ ԿԱՆԽԱՏԵՍՈՒՄՆԵՐԸ</w:t>
      </w:r>
      <w:bookmarkEnd w:id="54"/>
      <w:bookmarkEnd w:id="55"/>
      <w:bookmarkEnd w:id="56"/>
      <w:bookmarkEnd w:id="58"/>
      <w:bookmarkEnd w:id="57"/>
    </w:p>
    <w:p w14:paraId="78DB0F60" w14:textId="77777777" w:rsidR="00027FBF" w:rsidRPr="00A83C94" w:rsidRDefault="00027FBF" w:rsidP="00027FBF">
      <w:pPr>
        <w:keepNext/>
        <w:tabs>
          <w:tab w:val="left" w:pos="567"/>
        </w:tabs>
        <w:spacing w:before="0" w:line="276" w:lineRule="auto"/>
        <w:ind w:firstLine="426"/>
        <w:outlineLvl w:val="0"/>
        <w:rPr>
          <w:sz w:val="28"/>
          <w:szCs w:val="20"/>
          <w:lang w:val="hy-AM"/>
        </w:rPr>
      </w:pPr>
    </w:p>
    <w:p w14:paraId="06E9CA78" w14:textId="77777777" w:rsidR="00027FBF" w:rsidRPr="00A83C94" w:rsidRDefault="00027FBF" w:rsidP="00027FBF">
      <w:pPr>
        <w:keepNext/>
        <w:keepLines/>
        <w:spacing w:before="0" w:line="312" w:lineRule="auto"/>
        <w:ind w:firstLine="0"/>
        <w:outlineLvl w:val="2"/>
        <w:rPr>
          <w:sz w:val="24"/>
          <w:lang w:val="hy-AM" w:eastAsia="en-US"/>
        </w:rPr>
      </w:pPr>
      <w:bookmarkStart w:id="59" w:name="_Toc46154351"/>
      <w:bookmarkStart w:id="60" w:name="_Toc57655453"/>
      <w:bookmarkStart w:id="61" w:name="_Toc83199221"/>
      <w:bookmarkStart w:id="62" w:name="_Toc83972837"/>
      <w:bookmarkStart w:id="63" w:name="_Toc89428292"/>
      <w:r w:rsidRPr="00A83C94">
        <w:rPr>
          <w:sz w:val="24"/>
          <w:lang w:val="hy-AM" w:eastAsia="en-US"/>
        </w:rPr>
        <w:t xml:space="preserve">2.1. </w:t>
      </w:r>
      <w:bookmarkStart w:id="64" w:name="_Toc45838522"/>
      <w:r w:rsidRPr="00A83C94">
        <w:rPr>
          <w:sz w:val="24"/>
          <w:lang w:val="hy-AM" w:eastAsia="en-US"/>
        </w:rPr>
        <w:t>ՀԱՐԿԱԲՅՈՒՋԵՏԱՅԻՆ ԸՆԴՀԱՆՈՒՐ ԱԿՆԱՐԿ ԵՎ ՀԱՐԿԱԲՅՈՒՋԵՏԱՅԻՆ ՇՐՋԱՆԱԿ</w:t>
      </w:r>
      <w:bookmarkEnd w:id="59"/>
      <w:bookmarkEnd w:id="60"/>
      <w:bookmarkEnd w:id="61"/>
      <w:bookmarkEnd w:id="62"/>
      <w:bookmarkEnd w:id="64"/>
      <w:bookmarkEnd w:id="63"/>
    </w:p>
    <w:p w14:paraId="520902FB" w14:textId="77777777" w:rsidR="00027FBF" w:rsidRPr="00A83C94" w:rsidRDefault="00027FBF" w:rsidP="00027FBF">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2020 թվականի ընթացքում տեղի ունեցած և իրենց բնույթով աննախադեպ բացասական ցնցումներ պարունակող զարգացումների (կորոնավիրուսի համավարակ և Արցախյան պատերազմ) արդյունքում տեղի ունեցած տնտեսական անկման պայմաններում կառավարությունն իրականացրել է հակապարբերաշրջանային հարկաբյուջետային քաղաքականություն, ինչի արդյունքում արձանագրվել է պետական բյուջեի ծախսերի զգալի աճ՝ պայմանավորված պետական բյուջեով նախատեսված, ինչպես նաև հակաճգնաժամային միջոցառումների և ռազմական գործողությունների հետևանքով ծագած լրացուցիչ ծախսերի կարիքով, ինչը հանգեցրել է պետական բյուջեի պակասուրդի և կառավարության պարտքի աճին։</w:t>
      </w:r>
    </w:p>
    <w:p w14:paraId="3EC44986" w14:textId="77777777" w:rsidR="00027FBF" w:rsidRPr="00A83C94" w:rsidRDefault="00027FBF" w:rsidP="00027FBF">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COVID-19 համավարակի հետևանքներով առաջացած իրավիճակը և Արցախյան պատերազմը հարկաբյուջետային կանոններով սահմանված կարգով համարվել են «բացառիկ դեպքեր», որի հիման վրա 2020 թվականին կիրառել է պարտքի և ծախսերի բնականոն իրավիճակի համար գործող կանոններից տարբերվող մոտեցումներ։ Հաշվի առնելով 2020թ. տեղի ունեցեած բացասական երևույթնեի երկարատև ազդեցությունները՝ «բացառիկ դեպքի» կարգավորումները շարունակվել են նաև 2021 թվականին:</w:t>
      </w:r>
    </w:p>
    <w:p w14:paraId="0B457A91" w14:textId="77777777" w:rsidR="00027FBF" w:rsidRPr="00A83C94" w:rsidRDefault="00027FBF" w:rsidP="00027FBF">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2021 թվականին տնտեսության վերականգնման պայմաններում հարկաբյուջետային քաղաքականության նպատակն է ապահովել հարկաբյուջետային կայունությունը՝ միաժամանակ աջակցելով տնտեսական վերականգնմանը և պայմաններ ստեղծելով ՀՀ կառավարության պարտքի նվազման համար։ Այդ նպատակով, 2021թ. սկզբում հարկաբյուջետային քաղաքականության ազդեցությունն ամբողջական պահանջարկի վրա եղել է խթանող, ինչն աստիճանաբար կթուլանա՝ տարեկան կտրվածքով դառնալով զսպող:</w:t>
      </w:r>
    </w:p>
    <w:p w14:paraId="037BBAD6" w14:textId="77777777" w:rsidR="00027FBF" w:rsidRPr="00A83C94" w:rsidRDefault="00027FBF" w:rsidP="00027FBF">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Կառավարությունը 2021 թվականին շարունակում է իրականացնել հակաճգնաժամային միջոցառումներ ուղղված ինչպես կորոնավիրուսի, այնպես էլ Արցախյան պատերազմի բացասական հետևանքների մեղմմանը:</w:t>
      </w:r>
    </w:p>
    <w:p w14:paraId="3CBB5306" w14:textId="77777777" w:rsidR="00027FBF" w:rsidRPr="00A83C94" w:rsidRDefault="00027FBF" w:rsidP="00027FBF">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2022թ. հարկաբյուջետային քաղաքականությունը ՀՀ կառավարության 2021-2026թթ. ծրագրին համահունչ ուղղված կլինի տնտեսական աճի խթանմանը՝ շեշտադրելով պետական ներդրումների մասնաբաժնի էական մեծացումը և ծախսերի իրականացման արդյունավետության բարձրացումը, ինչպես նաև՝ պարտքի կայունության պահպանմանը: 2022-2026 թվականների ՀՀ կառավարության պարտքի բեռի նվազեցման ծրագրի նպատակադրումների համահունչ, 2022թ</w:t>
      </w:r>
      <w:r w:rsidRPr="00A83C94">
        <w:rPr>
          <w:rFonts w:ascii="Cambria Math" w:hAnsi="Cambria Math" w:cs="Cambria Math"/>
          <w:b w:val="0"/>
          <w:szCs w:val="22"/>
          <w:lang w:val="hy-AM" w:eastAsia="en-US"/>
        </w:rPr>
        <w:t>․</w:t>
      </w:r>
      <w:r w:rsidRPr="00A83C94">
        <w:rPr>
          <w:rFonts w:cs="Arial"/>
          <w:b w:val="0"/>
          <w:szCs w:val="22"/>
          <w:lang w:val="hy-AM" w:eastAsia="en-US"/>
        </w:rPr>
        <w:t>-</w:t>
      </w:r>
      <w:r w:rsidRPr="00A83C94">
        <w:rPr>
          <w:rFonts w:cs="GHEA Grapalat"/>
          <w:b w:val="0"/>
          <w:szCs w:val="22"/>
          <w:lang w:val="hy-AM" w:eastAsia="en-US"/>
        </w:rPr>
        <w:t>ին</w:t>
      </w:r>
      <w:r w:rsidRPr="00A83C94">
        <w:rPr>
          <w:rFonts w:cs="Arial"/>
          <w:b w:val="0"/>
          <w:szCs w:val="22"/>
          <w:lang w:val="hy-AM" w:eastAsia="en-US"/>
        </w:rPr>
        <w:t xml:space="preserve"> </w:t>
      </w:r>
      <w:r w:rsidRPr="00A83C94">
        <w:rPr>
          <w:rFonts w:cs="GHEA Grapalat"/>
          <w:b w:val="0"/>
          <w:szCs w:val="22"/>
          <w:lang w:val="hy-AM" w:eastAsia="en-US"/>
        </w:rPr>
        <w:t>կ</w:t>
      </w:r>
      <w:r w:rsidRPr="00A83C94">
        <w:rPr>
          <w:rFonts w:cs="Arial"/>
          <w:b w:val="0"/>
          <w:szCs w:val="22"/>
          <w:lang w:val="hy-AM" w:eastAsia="en-US"/>
        </w:rPr>
        <w:t>շարունակվի սահուն հարկաբյուջետային կոնսոլիդացիան՝ պետական բյուջեի պակասուրդ/ՀՆԱ և կառավարության պարտք/ՀՆԱ ցուցանիշների նվազմամբ, հիմքեր ստեղծելով  մինչև 2026 թվականը 60% սահմանային շեմից ցածր կառավարության պարտք/ՀՆԱ ցուցանիշի ապահովման համար և ստեղծելով «հարկաբյուջետային տարածք» հնարավոր շոկերին արձագանքելու նպատակով:</w:t>
      </w:r>
    </w:p>
    <w:p w14:paraId="796CD841" w14:textId="77777777" w:rsidR="00027FBF" w:rsidRPr="00A83C94" w:rsidRDefault="00027FBF" w:rsidP="00027FBF">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lastRenderedPageBreak/>
        <w:t>2022 թվականին բարձր տնտեսական աճի պայմաններում, կառավարությունը նախատեսում է իրականացնել հարկային վարչարարության բարելավմանն ուղղված միջոցառումներ, ինչպես նաև հարկային օրենսդրության բարեփոխումներ: Վերջիններիս արդյունքում ակնկալվում է ապահովել հարկեր/ՀՆԱ հարաբերակցության շուրջ 0.9 տոկոսային կետով բարելավում:</w:t>
      </w:r>
    </w:p>
    <w:p w14:paraId="5FB135F7" w14:textId="77777777" w:rsidR="00027FBF" w:rsidRPr="00A83C94" w:rsidRDefault="00027FBF" w:rsidP="00027FBF">
      <w:pPr>
        <w:numPr>
          <w:ilvl w:val="0"/>
          <w:numId w:val="37"/>
        </w:numPr>
        <w:spacing w:before="0" w:after="240" w:line="276" w:lineRule="auto"/>
        <w:ind w:left="567" w:hanging="283"/>
        <w:contextualSpacing w:val="0"/>
        <w:rPr>
          <w:b w:val="0"/>
          <w:szCs w:val="22"/>
          <w:lang w:val="hy-AM" w:eastAsia="en-US"/>
        </w:rPr>
      </w:pPr>
      <w:r w:rsidRPr="00A83C94">
        <w:rPr>
          <w:b w:val="0"/>
          <w:szCs w:val="22"/>
          <w:lang w:val="hy-AM" w:eastAsia="en-US"/>
        </w:rPr>
        <w:t>Տնտեսական աճի բարձր տեմպի ապահովման ռիսկերի առարկայացման, ինչպես նաև հարկային վարչարարության կամ օրենսդրական բարեփոխումների սպասվածից ավելի փոքր արդյունքի պարագայում, կառաջանան պետական բյուջեի հարկային եկամուտների՝ կանխատեսված մակարդակից դեպի ներքև շեղման ռիսկեր, ինչի պայմաններում անհրաժեշտ կլինի նաև համապատասխան չափով նվազեցնել պետական բյուջեի ընթացիկ ծախսերը՝ հարկաբյուջետային կանոններին համապատասխանությունն ապահովելու նպատակով:</w:t>
      </w:r>
    </w:p>
    <w:p w14:paraId="2C70246A" w14:textId="77777777" w:rsidR="00027FBF" w:rsidRPr="00A83C94" w:rsidRDefault="00027FBF" w:rsidP="00027FBF">
      <w:pPr>
        <w:spacing w:before="0" w:line="276" w:lineRule="auto"/>
        <w:ind w:firstLine="0"/>
        <w:contextualSpacing w:val="0"/>
        <w:rPr>
          <w:rFonts w:eastAsia="Calibri" w:cs="Arial"/>
          <w:b w:val="0"/>
          <w:bCs/>
          <w:i/>
          <w:iCs/>
          <w:sz w:val="20"/>
          <w:szCs w:val="20"/>
          <w:lang w:val="hy-AM" w:eastAsia="en-US"/>
        </w:rPr>
      </w:pPr>
      <w:r w:rsidRPr="00A83C94">
        <w:rPr>
          <w:rFonts w:eastAsia="Calibri" w:cs="Arial"/>
          <w:i/>
          <w:iCs/>
          <w:sz w:val="20"/>
          <w:szCs w:val="20"/>
          <w:lang w:val="hy-AM" w:eastAsia="en-US"/>
        </w:rPr>
        <w:t xml:space="preserve">Աղյուսակ 2.1. </w:t>
      </w:r>
      <w:r w:rsidRPr="00A83C94">
        <w:rPr>
          <w:rFonts w:eastAsia="Calibri" w:cs="Arial"/>
          <w:b w:val="0"/>
          <w:bCs/>
          <w:i/>
          <w:iCs/>
          <w:sz w:val="20"/>
          <w:szCs w:val="20"/>
          <w:lang w:val="hy-AM" w:eastAsia="en-US"/>
        </w:rPr>
        <w:t>202</w:t>
      </w:r>
      <w:r w:rsidRPr="00872014">
        <w:rPr>
          <w:rFonts w:eastAsia="Calibri" w:cs="Arial"/>
          <w:b w:val="0"/>
          <w:bCs/>
          <w:i/>
          <w:iCs/>
          <w:sz w:val="20"/>
          <w:szCs w:val="20"/>
          <w:lang w:val="hy-AM" w:eastAsia="en-US"/>
        </w:rPr>
        <w:t>2</w:t>
      </w:r>
      <w:r w:rsidRPr="00A83C94">
        <w:rPr>
          <w:rFonts w:eastAsia="Calibri" w:cs="Arial"/>
          <w:b w:val="0"/>
          <w:bCs/>
          <w:i/>
          <w:iCs/>
          <w:sz w:val="20"/>
          <w:szCs w:val="20"/>
          <w:lang w:val="hy-AM" w:eastAsia="en-US"/>
        </w:rPr>
        <w:t>թ. պետական բյուջեի հարկաբյուջետային շրջանակ</w:t>
      </w:r>
    </w:p>
    <w:tbl>
      <w:tblPr>
        <w:tblW w:w="8596" w:type="dxa"/>
        <w:jc w:val="center"/>
        <w:tblLook w:val="04A0" w:firstRow="1" w:lastRow="0" w:firstColumn="1" w:lastColumn="0" w:noHBand="0" w:noVBand="1"/>
      </w:tblPr>
      <w:tblGrid>
        <w:gridCol w:w="3140"/>
        <w:gridCol w:w="1080"/>
        <w:gridCol w:w="1080"/>
        <w:gridCol w:w="1080"/>
        <w:gridCol w:w="1108"/>
        <w:gridCol w:w="1108"/>
      </w:tblGrid>
      <w:tr w:rsidR="00027FBF" w:rsidRPr="00A83C94" w14:paraId="22586D63" w14:textId="77777777" w:rsidTr="00027FBF">
        <w:trPr>
          <w:trHeight w:val="300"/>
          <w:jc w:val="center"/>
        </w:trPr>
        <w:tc>
          <w:tcPr>
            <w:tcW w:w="3140" w:type="dxa"/>
            <w:tcBorders>
              <w:top w:val="single" w:sz="8" w:space="0" w:color="4472C4"/>
              <w:left w:val="single" w:sz="8" w:space="0" w:color="4472C4"/>
              <w:bottom w:val="single" w:sz="12" w:space="0" w:color="4472C4"/>
              <w:right w:val="nil"/>
            </w:tcBorders>
            <w:shd w:val="clear" w:color="000000" w:fill="8EA9DB"/>
            <w:noWrap/>
            <w:vAlign w:val="center"/>
            <w:hideMark/>
          </w:tcPr>
          <w:p w14:paraId="6531CE9F"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ascii="Calibri" w:hAnsi="Calibri" w:cs="Calibri"/>
                <w:bCs/>
                <w:color w:val="FFFFFF"/>
                <w:sz w:val="20"/>
                <w:szCs w:val="20"/>
                <w:lang w:val="hy-AM" w:eastAsia="en-US"/>
              </w:rPr>
              <w:t> </w:t>
            </w:r>
          </w:p>
        </w:tc>
        <w:tc>
          <w:tcPr>
            <w:tcW w:w="1080" w:type="dxa"/>
            <w:tcBorders>
              <w:top w:val="single" w:sz="8" w:space="0" w:color="4472C4"/>
              <w:left w:val="single" w:sz="8" w:space="0" w:color="4472C4"/>
              <w:bottom w:val="single" w:sz="12" w:space="0" w:color="4472C4"/>
              <w:right w:val="nil"/>
            </w:tcBorders>
            <w:shd w:val="clear" w:color="000000" w:fill="8EA9DB"/>
            <w:noWrap/>
            <w:vAlign w:val="center"/>
            <w:hideMark/>
          </w:tcPr>
          <w:p w14:paraId="42D09AFB"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2018</w:t>
            </w:r>
          </w:p>
        </w:tc>
        <w:tc>
          <w:tcPr>
            <w:tcW w:w="1080" w:type="dxa"/>
            <w:tcBorders>
              <w:top w:val="single" w:sz="8" w:space="0" w:color="4472C4"/>
              <w:left w:val="single" w:sz="8" w:space="0" w:color="4472C4"/>
              <w:bottom w:val="single" w:sz="12" w:space="0" w:color="4472C4"/>
              <w:right w:val="nil"/>
            </w:tcBorders>
            <w:shd w:val="clear" w:color="000000" w:fill="8EA9DB"/>
            <w:noWrap/>
            <w:vAlign w:val="center"/>
            <w:hideMark/>
          </w:tcPr>
          <w:p w14:paraId="57D65444"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2019</w:t>
            </w:r>
          </w:p>
        </w:tc>
        <w:tc>
          <w:tcPr>
            <w:tcW w:w="1080" w:type="dxa"/>
            <w:tcBorders>
              <w:top w:val="single" w:sz="8" w:space="0" w:color="4472C4"/>
              <w:left w:val="single" w:sz="8" w:space="0" w:color="4472C4"/>
              <w:bottom w:val="single" w:sz="12" w:space="0" w:color="4472C4"/>
              <w:right w:val="nil"/>
            </w:tcBorders>
            <w:shd w:val="clear" w:color="000000" w:fill="8EA9DB"/>
            <w:noWrap/>
            <w:vAlign w:val="center"/>
            <w:hideMark/>
          </w:tcPr>
          <w:p w14:paraId="546BA0AD"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2020</w:t>
            </w:r>
          </w:p>
        </w:tc>
        <w:tc>
          <w:tcPr>
            <w:tcW w:w="1108" w:type="dxa"/>
            <w:tcBorders>
              <w:top w:val="single" w:sz="8" w:space="0" w:color="4472C4"/>
              <w:left w:val="single" w:sz="8" w:space="0" w:color="4472C4"/>
              <w:bottom w:val="single" w:sz="12" w:space="0" w:color="4472C4"/>
              <w:right w:val="single" w:sz="12" w:space="0" w:color="4472C4"/>
            </w:tcBorders>
            <w:shd w:val="clear" w:color="000000" w:fill="8EA9DB"/>
            <w:noWrap/>
            <w:vAlign w:val="center"/>
            <w:hideMark/>
          </w:tcPr>
          <w:p w14:paraId="3FFFDCDF"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2021</w:t>
            </w:r>
          </w:p>
        </w:tc>
        <w:tc>
          <w:tcPr>
            <w:tcW w:w="1108" w:type="dxa"/>
            <w:tcBorders>
              <w:top w:val="single" w:sz="8" w:space="0" w:color="4472C4"/>
              <w:left w:val="single" w:sz="8" w:space="0" w:color="4472C4"/>
              <w:bottom w:val="single" w:sz="12" w:space="0" w:color="4472C4"/>
              <w:right w:val="single" w:sz="12" w:space="0" w:color="4472C4"/>
            </w:tcBorders>
            <w:shd w:val="clear" w:color="000000" w:fill="8EA9DB"/>
          </w:tcPr>
          <w:p w14:paraId="55C9308D"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2022</w:t>
            </w:r>
          </w:p>
        </w:tc>
      </w:tr>
      <w:tr w:rsidR="00027FBF" w:rsidRPr="00A83C94" w14:paraId="3118ED11" w14:textId="77777777" w:rsidTr="00027FBF">
        <w:trPr>
          <w:trHeight w:val="249"/>
          <w:jc w:val="center"/>
        </w:trPr>
        <w:tc>
          <w:tcPr>
            <w:tcW w:w="3140" w:type="dxa"/>
            <w:tcBorders>
              <w:top w:val="nil"/>
              <w:left w:val="single" w:sz="8" w:space="0" w:color="4472C4"/>
              <w:bottom w:val="single" w:sz="8" w:space="0" w:color="5B9BD5"/>
              <w:right w:val="nil"/>
            </w:tcBorders>
            <w:shd w:val="clear" w:color="000000" w:fill="8EA9DB"/>
            <w:noWrap/>
            <w:vAlign w:val="center"/>
            <w:hideMark/>
          </w:tcPr>
          <w:p w14:paraId="3569327A"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մլրդ դրամ</w:t>
            </w:r>
          </w:p>
        </w:tc>
        <w:tc>
          <w:tcPr>
            <w:tcW w:w="3240" w:type="dxa"/>
            <w:gridSpan w:val="3"/>
            <w:tcBorders>
              <w:top w:val="single" w:sz="12" w:space="0" w:color="4472C4"/>
              <w:left w:val="single" w:sz="8" w:space="0" w:color="4472C4"/>
              <w:bottom w:val="single" w:sz="8" w:space="0" w:color="5B9BD5"/>
              <w:right w:val="single" w:sz="8" w:space="0" w:color="4472C4"/>
            </w:tcBorders>
            <w:shd w:val="clear" w:color="000000" w:fill="8EA9DB"/>
            <w:noWrap/>
            <w:vAlign w:val="center"/>
            <w:hideMark/>
          </w:tcPr>
          <w:p w14:paraId="1FC23F0D"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Փաստացի</w:t>
            </w:r>
          </w:p>
        </w:tc>
        <w:tc>
          <w:tcPr>
            <w:tcW w:w="1108" w:type="dxa"/>
            <w:tcBorders>
              <w:top w:val="nil"/>
              <w:left w:val="nil"/>
              <w:bottom w:val="single" w:sz="8" w:space="0" w:color="5B9BD5"/>
              <w:right w:val="nil"/>
            </w:tcBorders>
            <w:shd w:val="clear" w:color="000000" w:fill="8EA9DB"/>
            <w:vAlign w:val="center"/>
            <w:hideMark/>
          </w:tcPr>
          <w:p w14:paraId="79F98932"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 xml:space="preserve">Սպասում </w:t>
            </w:r>
          </w:p>
        </w:tc>
        <w:tc>
          <w:tcPr>
            <w:tcW w:w="1108" w:type="dxa"/>
            <w:tcBorders>
              <w:top w:val="nil"/>
              <w:left w:val="single" w:sz="8" w:space="0" w:color="4472C4"/>
              <w:bottom w:val="single" w:sz="8" w:space="0" w:color="5B9BD5"/>
              <w:right w:val="single" w:sz="8" w:space="0" w:color="4472C4"/>
            </w:tcBorders>
            <w:shd w:val="clear" w:color="000000" w:fill="8EA9DB"/>
            <w:vAlign w:val="center"/>
          </w:tcPr>
          <w:p w14:paraId="75113B32"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Բյուջե</w:t>
            </w:r>
          </w:p>
        </w:tc>
      </w:tr>
      <w:tr w:rsidR="00027FBF" w:rsidRPr="00A83C94" w14:paraId="215E04C9" w14:textId="77777777" w:rsidTr="00027FBF">
        <w:trPr>
          <w:trHeight w:val="825"/>
          <w:jc w:val="center"/>
        </w:trPr>
        <w:tc>
          <w:tcPr>
            <w:tcW w:w="3140" w:type="dxa"/>
            <w:tcBorders>
              <w:top w:val="nil"/>
              <w:left w:val="single" w:sz="8" w:space="0" w:color="4472C4"/>
              <w:bottom w:val="single" w:sz="8" w:space="0" w:color="5B9BD5"/>
              <w:right w:val="nil"/>
            </w:tcBorders>
            <w:shd w:val="clear" w:color="000000" w:fill="FFFFFF"/>
            <w:vAlign w:val="center"/>
            <w:hideMark/>
          </w:tcPr>
          <w:p w14:paraId="244B816A" w14:textId="77777777" w:rsidR="00027FBF" w:rsidRPr="00A83C94" w:rsidRDefault="00027FBF" w:rsidP="00027FBF">
            <w:pPr>
              <w:spacing w:before="0" w:line="240" w:lineRule="auto"/>
              <w:ind w:firstLine="0"/>
              <w:contextualSpacing w:val="0"/>
              <w:jc w:val="left"/>
              <w:rPr>
                <w:rFonts w:cs="Arial"/>
                <w:color w:val="000000"/>
                <w:sz w:val="20"/>
                <w:szCs w:val="20"/>
                <w:lang w:val="hy-AM" w:eastAsia="en-US"/>
              </w:rPr>
            </w:pPr>
            <w:r w:rsidRPr="00A83C94">
              <w:rPr>
                <w:rFonts w:cs="Arial"/>
                <w:color w:val="000000"/>
                <w:sz w:val="20"/>
                <w:szCs w:val="20"/>
                <w:lang w:val="hy-AM" w:eastAsia="en-US"/>
              </w:rPr>
              <w:t>Պետական բյուջեի եկամուտներ և պաշտոնական տրանսֆերտներ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7FB089FC"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1341.7</w:t>
            </w:r>
          </w:p>
        </w:tc>
        <w:tc>
          <w:tcPr>
            <w:tcW w:w="1080" w:type="dxa"/>
            <w:tcBorders>
              <w:top w:val="nil"/>
              <w:left w:val="single" w:sz="8" w:space="0" w:color="4472C4"/>
              <w:bottom w:val="single" w:sz="8" w:space="0" w:color="5B9BD5"/>
              <w:right w:val="nil"/>
            </w:tcBorders>
            <w:shd w:val="clear" w:color="000000" w:fill="FFFFFF"/>
            <w:noWrap/>
            <w:vAlign w:val="center"/>
            <w:hideMark/>
          </w:tcPr>
          <w:p w14:paraId="32AA7784"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rPr>
              <w:t>1565.5</w:t>
            </w:r>
          </w:p>
        </w:tc>
        <w:tc>
          <w:tcPr>
            <w:tcW w:w="1080" w:type="dxa"/>
            <w:tcBorders>
              <w:top w:val="nil"/>
              <w:left w:val="single" w:sz="8" w:space="0" w:color="4472C4"/>
              <w:bottom w:val="single" w:sz="8" w:space="0" w:color="5B9BD5"/>
              <w:right w:val="nil"/>
            </w:tcBorders>
            <w:shd w:val="clear" w:color="000000" w:fill="FFFFFF"/>
            <w:noWrap/>
            <w:vAlign w:val="center"/>
          </w:tcPr>
          <w:p w14:paraId="50B7DD3E"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1,560.7</w:t>
            </w:r>
          </w:p>
        </w:tc>
        <w:tc>
          <w:tcPr>
            <w:tcW w:w="1108" w:type="dxa"/>
            <w:tcBorders>
              <w:top w:val="nil"/>
              <w:left w:val="single" w:sz="8" w:space="0" w:color="4472C4"/>
              <w:bottom w:val="single" w:sz="8" w:space="0" w:color="5B9BD5"/>
              <w:right w:val="nil"/>
            </w:tcBorders>
            <w:shd w:val="clear" w:color="000000" w:fill="DEEAF6"/>
            <w:noWrap/>
            <w:vAlign w:val="center"/>
          </w:tcPr>
          <w:p w14:paraId="38AF68A5"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1,656.9</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3C4E429B" w14:textId="77777777" w:rsidR="00027FBF" w:rsidRPr="00A83C94" w:rsidRDefault="00027FBF" w:rsidP="00027FBF">
            <w:pPr>
              <w:spacing w:before="0" w:line="240" w:lineRule="auto"/>
              <w:ind w:firstLine="0"/>
              <w:contextualSpacing w:val="0"/>
              <w:jc w:val="right"/>
              <w:rPr>
                <w:color w:val="000000"/>
                <w:sz w:val="20"/>
                <w:lang w:val="hy-AM"/>
              </w:rPr>
            </w:pPr>
            <w:r w:rsidRPr="00A83C94">
              <w:rPr>
                <w:color w:val="000000"/>
                <w:sz w:val="20"/>
                <w:lang w:val="en-US"/>
              </w:rPr>
              <w:t>1,94</w:t>
            </w:r>
            <w:r>
              <w:rPr>
                <w:color w:val="000000"/>
                <w:sz w:val="20"/>
                <w:lang w:val="hy-AM"/>
              </w:rPr>
              <w:t>7</w:t>
            </w:r>
            <w:r w:rsidRPr="00A83C94">
              <w:rPr>
                <w:color w:val="000000"/>
                <w:sz w:val="20"/>
                <w:lang w:val="en-US"/>
              </w:rPr>
              <w:t>.</w:t>
            </w:r>
            <w:r>
              <w:rPr>
                <w:color w:val="000000"/>
                <w:sz w:val="20"/>
                <w:lang w:val="hy-AM"/>
              </w:rPr>
              <w:t>8</w:t>
            </w:r>
          </w:p>
        </w:tc>
      </w:tr>
      <w:tr w:rsidR="00027FBF" w:rsidRPr="00A83C94" w14:paraId="22A9F157" w14:textId="77777777" w:rsidTr="00027FBF">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14:paraId="2EEA49A5" w14:textId="77777777" w:rsidR="00027FBF" w:rsidRPr="00A83C94" w:rsidRDefault="00027FBF" w:rsidP="00027FBF">
            <w:pPr>
              <w:spacing w:before="0" w:line="240" w:lineRule="auto"/>
              <w:ind w:left="308" w:firstLine="0"/>
              <w:contextualSpacing w:val="0"/>
              <w:jc w:val="left"/>
              <w:rPr>
                <w:rFonts w:cs="Arial"/>
                <w:color w:val="000000"/>
                <w:sz w:val="20"/>
                <w:szCs w:val="20"/>
                <w:lang w:val="hy-AM" w:eastAsia="en-US"/>
              </w:rPr>
            </w:pPr>
            <w:r w:rsidRPr="00A83C94">
              <w:rPr>
                <w:rFonts w:cs="Arial"/>
                <w:color w:val="000000"/>
                <w:sz w:val="20"/>
                <w:szCs w:val="20"/>
                <w:lang w:val="hy-AM" w:eastAsia="en-US"/>
              </w:rPr>
              <w:t>Հարկային եկամուտներ և տուրքեր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6D180260"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1258.1</w:t>
            </w:r>
          </w:p>
        </w:tc>
        <w:tc>
          <w:tcPr>
            <w:tcW w:w="1080" w:type="dxa"/>
            <w:tcBorders>
              <w:top w:val="nil"/>
              <w:left w:val="single" w:sz="8" w:space="0" w:color="4472C4"/>
              <w:bottom w:val="single" w:sz="8" w:space="0" w:color="5B9BD5"/>
              <w:right w:val="nil"/>
            </w:tcBorders>
            <w:shd w:val="clear" w:color="000000" w:fill="FFFFFF"/>
            <w:noWrap/>
            <w:vAlign w:val="center"/>
            <w:hideMark/>
          </w:tcPr>
          <w:p w14:paraId="4D2008FF"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rPr>
              <w:t>1464.3</w:t>
            </w:r>
          </w:p>
        </w:tc>
        <w:tc>
          <w:tcPr>
            <w:tcW w:w="1080" w:type="dxa"/>
            <w:tcBorders>
              <w:top w:val="nil"/>
              <w:left w:val="single" w:sz="8" w:space="0" w:color="4472C4"/>
              <w:bottom w:val="single" w:sz="8" w:space="0" w:color="5B9BD5"/>
              <w:right w:val="nil"/>
            </w:tcBorders>
            <w:shd w:val="clear" w:color="000000" w:fill="FFFFFF"/>
            <w:noWrap/>
            <w:vAlign w:val="center"/>
          </w:tcPr>
          <w:p w14:paraId="6105FCAC"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1,385.2</w:t>
            </w:r>
          </w:p>
        </w:tc>
        <w:tc>
          <w:tcPr>
            <w:tcW w:w="1108" w:type="dxa"/>
            <w:tcBorders>
              <w:top w:val="nil"/>
              <w:left w:val="single" w:sz="8" w:space="0" w:color="4472C4"/>
              <w:bottom w:val="single" w:sz="8" w:space="0" w:color="5B9BD5"/>
              <w:right w:val="nil"/>
            </w:tcBorders>
            <w:shd w:val="clear" w:color="000000" w:fill="DEEAF6"/>
            <w:noWrap/>
            <w:vAlign w:val="center"/>
          </w:tcPr>
          <w:p w14:paraId="3DBB2AC0"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1,581.0</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5063E08A" w14:textId="77777777" w:rsidR="00027FBF" w:rsidRPr="00DA6FB0" w:rsidRDefault="00027FBF" w:rsidP="00027FBF">
            <w:pPr>
              <w:spacing w:before="0" w:line="240" w:lineRule="auto"/>
              <w:ind w:firstLine="0"/>
              <w:contextualSpacing w:val="0"/>
              <w:jc w:val="right"/>
              <w:rPr>
                <w:color w:val="000000"/>
                <w:sz w:val="20"/>
                <w:lang w:val="hy-AM"/>
              </w:rPr>
            </w:pPr>
            <w:r w:rsidRPr="00A83C94">
              <w:rPr>
                <w:color w:val="000000"/>
                <w:sz w:val="20"/>
                <w:lang w:val="en-US"/>
              </w:rPr>
              <w:t>1,843.</w:t>
            </w:r>
            <w:r>
              <w:rPr>
                <w:color w:val="000000"/>
                <w:sz w:val="20"/>
                <w:lang w:val="hy-AM"/>
              </w:rPr>
              <w:t>9</w:t>
            </w:r>
          </w:p>
        </w:tc>
      </w:tr>
      <w:tr w:rsidR="00027FBF" w:rsidRPr="00A83C94" w14:paraId="31DF29F5" w14:textId="77777777" w:rsidTr="00027FBF">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6C9C5CF6" w14:textId="77777777" w:rsidR="00027FBF" w:rsidRPr="00A83C94" w:rsidRDefault="00027FBF" w:rsidP="00027FBF">
            <w:pPr>
              <w:spacing w:before="0" w:line="240" w:lineRule="auto"/>
              <w:ind w:firstLine="0"/>
              <w:contextualSpacing w:val="0"/>
              <w:jc w:val="left"/>
              <w:rPr>
                <w:rFonts w:cs="Arial"/>
                <w:color w:val="000000"/>
                <w:sz w:val="20"/>
                <w:szCs w:val="20"/>
                <w:lang w:val="hy-AM" w:eastAsia="en-US"/>
              </w:rPr>
            </w:pPr>
            <w:r w:rsidRPr="00A83C94">
              <w:rPr>
                <w:rFonts w:cs="Arial"/>
                <w:color w:val="000000"/>
                <w:sz w:val="20"/>
                <w:szCs w:val="20"/>
                <w:lang w:val="hy-AM" w:eastAsia="en-US"/>
              </w:rPr>
              <w:t>Պետական բյուջեի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45A738B6"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1447.1</w:t>
            </w:r>
          </w:p>
        </w:tc>
        <w:tc>
          <w:tcPr>
            <w:tcW w:w="1080" w:type="dxa"/>
            <w:tcBorders>
              <w:top w:val="nil"/>
              <w:left w:val="single" w:sz="8" w:space="0" w:color="4472C4"/>
              <w:bottom w:val="single" w:sz="8" w:space="0" w:color="5B9BD5"/>
              <w:right w:val="nil"/>
            </w:tcBorders>
            <w:shd w:val="clear" w:color="000000" w:fill="FFFFFF"/>
            <w:noWrap/>
            <w:vAlign w:val="center"/>
            <w:hideMark/>
          </w:tcPr>
          <w:p w14:paraId="3B3774F6"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rPr>
              <w:t>1629.4</w:t>
            </w:r>
          </w:p>
        </w:tc>
        <w:tc>
          <w:tcPr>
            <w:tcW w:w="1080" w:type="dxa"/>
            <w:tcBorders>
              <w:top w:val="nil"/>
              <w:left w:val="single" w:sz="8" w:space="0" w:color="4472C4"/>
              <w:bottom w:val="single" w:sz="8" w:space="0" w:color="5B9BD5"/>
              <w:right w:val="nil"/>
            </w:tcBorders>
            <w:shd w:val="clear" w:color="000000" w:fill="FFFFFF"/>
            <w:noWrap/>
            <w:vAlign w:val="center"/>
          </w:tcPr>
          <w:p w14:paraId="598EC8D9"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1,894.6</w:t>
            </w:r>
          </w:p>
        </w:tc>
        <w:tc>
          <w:tcPr>
            <w:tcW w:w="1108" w:type="dxa"/>
            <w:tcBorders>
              <w:top w:val="nil"/>
              <w:left w:val="single" w:sz="8" w:space="0" w:color="4472C4"/>
              <w:bottom w:val="single" w:sz="8" w:space="0" w:color="5B9BD5"/>
              <w:right w:val="nil"/>
            </w:tcBorders>
            <w:shd w:val="clear" w:color="000000" w:fill="DEEAF6"/>
            <w:noWrap/>
            <w:vAlign w:val="center"/>
          </w:tcPr>
          <w:p w14:paraId="55BC119C"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1,986.0</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2AFC7347" w14:textId="77777777" w:rsidR="00027FBF" w:rsidRPr="00DA6FB0" w:rsidRDefault="00027FBF" w:rsidP="00027FBF">
            <w:pPr>
              <w:spacing w:before="0" w:line="240" w:lineRule="auto"/>
              <w:ind w:firstLine="0"/>
              <w:contextualSpacing w:val="0"/>
              <w:jc w:val="right"/>
              <w:rPr>
                <w:color w:val="000000"/>
                <w:sz w:val="20"/>
                <w:lang w:val="hy-AM"/>
              </w:rPr>
            </w:pPr>
            <w:r w:rsidRPr="00E5336E">
              <w:rPr>
                <w:color w:val="000000"/>
                <w:sz w:val="20"/>
                <w:lang w:val="en-US"/>
              </w:rPr>
              <w:t>2,18</w:t>
            </w:r>
            <w:r>
              <w:rPr>
                <w:color w:val="000000"/>
                <w:sz w:val="20"/>
                <w:lang w:val="hy-AM"/>
              </w:rPr>
              <w:t>4</w:t>
            </w:r>
            <w:r w:rsidRPr="00E5336E">
              <w:rPr>
                <w:color w:val="000000"/>
                <w:sz w:val="20"/>
                <w:lang w:val="en-US"/>
              </w:rPr>
              <w:t>.</w:t>
            </w:r>
            <w:r>
              <w:rPr>
                <w:color w:val="000000"/>
                <w:sz w:val="20"/>
                <w:lang w:val="hy-AM"/>
              </w:rPr>
              <w:t>0</w:t>
            </w:r>
          </w:p>
        </w:tc>
      </w:tr>
      <w:tr w:rsidR="00027FBF" w:rsidRPr="00A83C94" w14:paraId="38A25412" w14:textId="77777777" w:rsidTr="00027FBF">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59597A90" w14:textId="77777777" w:rsidR="00027FBF" w:rsidRPr="00A83C94" w:rsidRDefault="00027FBF" w:rsidP="00027FBF">
            <w:pPr>
              <w:spacing w:before="0" w:line="240" w:lineRule="auto"/>
              <w:ind w:left="308" w:firstLine="0"/>
              <w:contextualSpacing w:val="0"/>
              <w:jc w:val="left"/>
              <w:rPr>
                <w:rFonts w:cs="Arial"/>
                <w:b w:val="0"/>
                <w:color w:val="000000"/>
                <w:sz w:val="20"/>
                <w:szCs w:val="20"/>
                <w:lang w:val="hy-AM" w:eastAsia="en-US"/>
              </w:rPr>
            </w:pPr>
            <w:r w:rsidRPr="00A83C94">
              <w:rPr>
                <w:rFonts w:cs="Arial"/>
                <w:b w:val="0"/>
                <w:color w:val="000000"/>
                <w:sz w:val="20"/>
                <w:szCs w:val="20"/>
                <w:lang w:val="hy-AM" w:eastAsia="en-US"/>
              </w:rPr>
              <w:t>Ընթացիկ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58BFC8FE"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1299</w:t>
            </w:r>
          </w:p>
        </w:tc>
        <w:tc>
          <w:tcPr>
            <w:tcW w:w="1080" w:type="dxa"/>
            <w:tcBorders>
              <w:top w:val="nil"/>
              <w:left w:val="single" w:sz="8" w:space="0" w:color="4472C4"/>
              <w:bottom w:val="single" w:sz="8" w:space="0" w:color="5B9BD5"/>
              <w:right w:val="nil"/>
            </w:tcBorders>
            <w:shd w:val="clear" w:color="000000" w:fill="FFFFFF"/>
            <w:noWrap/>
            <w:vAlign w:val="center"/>
            <w:hideMark/>
          </w:tcPr>
          <w:p w14:paraId="508E9A94"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rPr>
              <w:t>1437.1</w:t>
            </w:r>
          </w:p>
        </w:tc>
        <w:tc>
          <w:tcPr>
            <w:tcW w:w="1080" w:type="dxa"/>
            <w:tcBorders>
              <w:top w:val="nil"/>
              <w:left w:val="single" w:sz="8" w:space="0" w:color="4472C4"/>
              <w:bottom w:val="single" w:sz="8" w:space="0" w:color="5B9BD5"/>
              <w:right w:val="nil"/>
            </w:tcBorders>
            <w:shd w:val="clear" w:color="000000" w:fill="FFFFFF"/>
            <w:noWrap/>
            <w:vAlign w:val="center"/>
          </w:tcPr>
          <w:p w14:paraId="09CD0599"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1,668.5</w:t>
            </w:r>
          </w:p>
        </w:tc>
        <w:tc>
          <w:tcPr>
            <w:tcW w:w="1108" w:type="dxa"/>
            <w:tcBorders>
              <w:top w:val="nil"/>
              <w:left w:val="single" w:sz="8" w:space="0" w:color="4472C4"/>
              <w:bottom w:val="single" w:sz="8" w:space="0" w:color="5B9BD5"/>
              <w:right w:val="nil"/>
            </w:tcBorders>
            <w:shd w:val="clear" w:color="000000" w:fill="DEEAF6"/>
            <w:noWrap/>
            <w:vAlign w:val="center"/>
          </w:tcPr>
          <w:p w14:paraId="195C6C4A"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1,762.2</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09B32515" w14:textId="77777777" w:rsidR="00027FBF" w:rsidRPr="00D51F9A" w:rsidRDefault="00027FBF" w:rsidP="00027FBF">
            <w:pPr>
              <w:spacing w:before="0" w:line="240" w:lineRule="auto"/>
              <w:ind w:firstLine="0"/>
              <w:contextualSpacing w:val="0"/>
              <w:jc w:val="right"/>
              <w:rPr>
                <w:b w:val="0"/>
                <w:color w:val="000000"/>
                <w:sz w:val="20"/>
                <w:lang w:val="hy-AM"/>
              </w:rPr>
            </w:pPr>
            <w:r w:rsidRPr="00E5336E">
              <w:rPr>
                <w:b w:val="0"/>
                <w:color w:val="000000"/>
                <w:sz w:val="20"/>
                <w:lang w:val="en-US"/>
              </w:rPr>
              <w:t>1,84</w:t>
            </w:r>
            <w:r>
              <w:rPr>
                <w:b w:val="0"/>
                <w:color w:val="000000"/>
                <w:sz w:val="20"/>
                <w:lang w:val="hy-AM"/>
              </w:rPr>
              <w:t>2</w:t>
            </w:r>
            <w:r w:rsidRPr="00E5336E">
              <w:rPr>
                <w:b w:val="0"/>
                <w:color w:val="000000"/>
                <w:sz w:val="20"/>
                <w:lang w:val="en-US"/>
              </w:rPr>
              <w:t>.</w:t>
            </w:r>
            <w:r>
              <w:rPr>
                <w:b w:val="0"/>
                <w:color w:val="000000"/>
                <w:sz w:val="20"/>
                <w:lang w:val="hy-AM"/>
              </w:rPr>
              <w:t>2</w:t>
            </w:r>
          </w:p>
        </w:tc>
      </w:tr>
      <w:tr w:rsidR="00027FBF" w:rsidRPr="00A83C94" w14:paraId="73C64D43" w14:textId="77777777" w:rsidTr="00027FBF">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14:paraId="46800E48" w14:textId="77777777" w:rsidR="00027FBF" w:rsidRPr="00A83C94" w:rsidRDefault="00027FBF" w:rsidP="00027FBF">
            <w:pPr>
              <w:spacing w:before="0" w:line="240" w:lineRule="auto"/>
              <w:ind w:left="308" w:firstLine="0"/>
              <w:contextualSpacing w:val="0"/>
              <w:jc w:val="left"/>
              <w:rPr>
                <w:rFonts w:cs="Arial"/>
                <w:b w:val="0"/>
                <w:color w:val="000000"/>
                <w:sz w:val="20"/>
                <w:szCs w:val="20"/>
                <w:lang w:val="hy-AM" w:eastAsia="en-US"/>
              </w:rPr>
            </w:pPr>
            <w:r w:rsidRPr="00A83C94">
              <w:rPr>
                <w:rFonts w:cs="Arial"/>
                <w:b w:val="0"/>
                <w:color w:val="000000"/>
                <w:sz w:val="20"/>
                <w:szCs w:val="20"/>
                <w:lang w:val="hy-AM" w:eastAsia="en-US"/>
              </w:rPr>
              <w:t>Ոչ ֆինանսական ակտիվների հետ գործառնություններ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39B0AE88"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148.1</w:t>
            </w:r>
          </w:p>
        </w:tc>
        <w:tc>
          <w:tcPr>
            <w:tcW w:w="1080" w:type="dxa"/>
            <w:tcBorders>
              <w:top w:val="nil"/>
              <w:left w:val="single" w:sz="8" w:space="0" w:color="4472C4"/>
              <w:bottom w:val="single" w:sz="8" w:space="0" w:color="5B9BD5"/>
              <w:right w:val="nil"/>
            </w:tcBorders>
            <w:shd w:val="clear" w:color="000000" w:fill="FFFFFF"/>
            <w:noWrap/>
            <w:vAlign w:val="center"/>
            <w:hideMark/>
          </w:tcPr>
          <w:p w14:paraId="4A247118"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rPr>
              <w:t>192.3</w:t>
            </w:r>
          </w:p>
        </w:tc>
        <w:tc>
          <w:tcPr>
            <w:tcW w:w="1080" w:type="dxa"/>
            <w:tcBorders>
              <w:top w:val="nil"/>
              <w:left w:val="single" w:sz="8" w:space="0" w:color="4472C4"/>
              <w:bottom w:val="single" w:sz="8" w:space="0" w:color="5B9BD5"/>
              <w:right w:val="nil"/>
            </w:tcBorders>
            <w:shd w:val="clear" w:color="000000" w:fill="FFFFFF"/>
            <w:noWrap/>
            <w:vAlign w:val="center"/>
          </w:tcPr>
          <w:p w14:paraId="73138FD0"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226.2</w:t>
            </w:r>
          </w:p>
        </w:tc>
        <w:tc>
          <w:tcPr>
            <w:tcW w:w="1108" w:type="dxa"/>
            <w:tcBorders>
              <w:top w:val="nil"/>
              <w:left w:val="single" w:sz="8" w:space="0" w:color="4472C4"/>
              <w:bottom w:val="single" w:sz="8" w:space="0" w:color="5B9BD5"/>
              <w:right w:val="nil"/>
            </w:tcBorders>
            <w:shd w:val="clear" w:color="000000" w:fill="DEEAF6"/>
            <w:noWrap/>
            <w:vAlign w:val="center"/>
          </w:tcPr>
          <w:p w14:paraId="5081268F"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223.8</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05B10981" w14:textId="77777777" w:rsidR="00027FBF" w:rsidRPr="00A83C94" w:rsidRDefault="00027FBF" w:rsidP="00027FBF">
            <w:pPr>
              <w:spacing w:before="0" w:line="240" w:lineRule="auto"/>
              <w:ind w:firstLine="0"/>
              <w:contextualSpacing w:val="0"/>
              <w:jc w:val="right"/>
              <w:rPr>
                <w:b w:val="0"/>
                <w:color w:val="000000"/>
                <w:sz w:val="20"/>
                <w:lang w:val="en-US"/>
              </w:rPr>
            </w:pPr>
            <w:r w:rsidRPr="00E5336E">
              <w:rPr>
                <w:b w:val="0"/>
                <w:color w:val="000000"/>
                <w:sz w:val="20"/>
                <w:lang w:val="hy-AM"/>
              </w:rPr>
              <w:t>34</w:t>
            </w:r>
            <w:r>
              <w:rPr>
                <w:b w:val="0"/>
                <w:color w:val="000000"/>
                <w:sz w:val="20"/>
                <w:lang w:val="hy-AM"/>
              </w:rPr>
              <w:t>1</w:t>
            </w:r>
            <w:r w:rsidRPr="00E5336E">
              <w:rPr>
                <w:b w:val="0"/>
                <w:color w:val="000000"/>
                <w:sz w:val="20"/>
                <w:lang w:val="hy-AM"/>
              </w:rPr>
              <w:t>.</w:t>
            </w:r>
            <w:r>
              <w:rPr>
                <w:b w:val="0"/>
                <w:color w:val="000000"/>
                <w:sz w:val="20"/>
                <w:lang w:val="hy-AM"/>
              </w:rPr>
              <w:t>9</w:t>
            </w:r>
          </w:p>
        </w:tc>
      </w:tr>
      <w:tr w:rsidR="00027FBF" w:rsidRPr="00A83C94" w14:paraId="22E8F487" w14:textId="77777777" w:rsidTr="00027FBF">
        <w:trPr>
          <w:trHeight w:val="585"/>
          <w:jc w:val="center"/>
        </w:trPr>
        <w:tc>
          <w:tcPr>
            <w:tcW w:w="3140" w:type="dxa"/>
            <w:tcBorders>
              <w:top w:val="nil"/>
              <w:left w:val="single" w:sz="8" w:space="0" w:color="4472C4"/>
              <w:bottom w:val="single" w:sz="8" w:space="0" w:color="5B9BD5"/>
              <w:right w:val="nil"/>
            </w:tcBorders>
            <w:shd w:val="clear" w:color="000000" w:fill="FFFFFF"/>
            <w:vAlign w:val="center"/>
            <w:hideMark/>
          </w:tcPr>
          <w:p w14:paraId="198EF469" w14:textId="77777777" w:rsidR="00027FBF" w:rsidRPr="00A83C94" w:rsidRDefault="00027FBF" w:rsidP="00027FBF">
            <w:pPr>
              <w:spacing w:before="0" w:line="240" w:lineRule="auto"/>
              <w:ind w:firstLine="0"/>
              <w:contextualSpacing w:val="0"/>
              <w:jc w:val="left"/>
              <w:rPr>
                <w:rFonts w:cs="Arial"/>
                <w:bCs/>
                <w:color w:val="000000"/>
                <w:sz w:val="20"/>
                <w:szCs w:val="20"/>
                <w:lang w:val="hy-AM" w:eastAsia="en-US"/>
              </w:rPr>
            </w:pPr>
            <w:r w:rsidRPr="00A83C94">
              <w:rPr>
                <w:rFonts w:cs="Arial"/>
                <w:bCs/>
                <w:color w:val="000000"/>
                <w:sz w:val="20"/>
                <w:szCs w:val="20"/>
                <w:lang w:val="hy-AM" w:eastAsia="en-US"/>
              </w:rPr>
              <w:t>Պետական բյուջեի դեֆիցիտ (-) / պրոֆիցիտ (+)</w:t>
            </w:r>
          </w:p>
        </w:tc>
        <w:tc>
          <w:tcPr>
            <w:tcW w:w="1080" w:type="dxa"/>
            <w:tcBorders>
              <w:top w:val="nil"/>
              <w:left w:val="single" w:sz="8" w:space="0" w:color="4472C4"/>
              <w:bottom w:val="single" w:sz="8" w:space="0" w:color="5B9BD5"/>
              <w:right w:val="nil"/>
            </w:tcBorders>
            <w:shd w:val="clear" w:color="000000" w:fill="FFFFFF"/>
            <w:noWrap/>
            <w:vAlign w:val="center"/>
            <w:hideMark/>
          </w:tcPr>
          <w:p w14:paraId="1C43175F"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-105.4</w:t>
            </w:r>
          </w:p>
        </w:tc>
        <w:tc>
          <w:tcPr>
            <w:tcW w:w="1080" w:type="dxa"/>
            <w:tcBorders>
              <w:top w:val="nil"/>
              <w:left w:val="single" w:sz="8" w:space="0" w:color="4472C4"/>
              <w:bottom w:val="single" w:sz="8" w:space="0" w:color="5B9BD5"/>
              <w:right w:val="nil"/>
            </w:tcBorders>
            <w:shd w:val="clear" w:color="000000" w:fill="FFFFFF"/>
            <w:noWrap/>
            <w:vAlign w:val="center"/>
            <w:hideMark/>
          </w:tcPr>
          <w:p w14:paraId="54E445F7" w14:textId="77777777" w:rsidR="00027FBF" w:rsidRPr="00A83C94" w:rsidRDefault="00027FBF" w:rsidP="00027FBF">
            <w:pPr>
              <w:spacing w:before="0" w:line="240" w:lineRule="auto"/>
              <w:ind w:firstLine="0"/>
              <w:contextualSpacing w:val="0"/>
              <w:jc w:val="right"/>
              <w:rPr>
                <w:rFonts w:cs="Arial"/>
                <w:b w:val="0"/>
                <w:bCs/>
                <w:color w:val="000000"/>
                <w:sz w:val="20"/>
                <w:szCs w:val="20"/>
                <w:lang w:val="en-US" w:eastAsia="en-US"/>
              </w:rPr>
            </w:pPr>
            <w:r w:rsidRPr="00A83C94">
              <w:rPr>
                <w:rFonts w:cs="Arial"/>
                <w:b w:val="0"/>
                <w:bCs/>
                <w:color w:val="000000"/>
                <w:sz w:val="20"/>
                <w:szCs w:val="20"/>
                <w:lang w:val="hy-AM"/>
              </w:rPr>
              <w:t>-64.0</w:t>
            </w:r>
          </w:p>
        </w:tc>
        <w:tc>
          <w:tcPr>
            <w:tcW w:w="1080" w:type="dxa"/>
            <w:tcBorders>
              <w:top w:val="nil"/>
              <w:left w:val="single" w:sz="8" w:space="0" w:color="4472C4"/>
              <w:bottom w:val="single" w:sz="8" w:space="0" w:color="5B9BD5"/>
              <w:right w:val="nil"/>
            </w:tcBorders>
            <w:shd w:val="clear" w:color="000000" w:fill="FFFFFF"/>
            <w:noWrap/>
            <w:vAlign w:val="center"/>
          </w:tcPr>
          <w:p w14:paraId="545D063F"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-334.0</w:t>
            </w:r>
          </w:p>
        </w:tc>
        <w:tc>
          <w:tcPr>
            <w:tcW w:w="1108" w:type="dxa"/>
            <w:tcBorders>
              <w:top w:val="nil"/>
              <w:left w:val="single" w:sz="8" w:space="0" w:color="4472C4"/>
              <w:bottom w:val="single" w:sz="8" w:space="0" w:color="5B9BD5"/>
              <w:right w:val="nil"/>
            </w:tcBorders>
            <w:shd w:val="clear" w:color="000000" w:fill="DEEAF6"/>
            <w:noWrap/>
            <w:vAlign w:val="center"/>
          </w:tcPr>
          <w:p w14:paraId="0FC57FD9"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-329.1</w:t>
            </w:r>
          </w:p>
        </w:tc>
        <w:tc>
          <w:tcPr>
            <w:tcW w:w="1108" w:type="dxa"/>
            <w:tcBorders>
              <w:top w:val="nil"/>
              <w:left w:val="single" w:sz="8" w:space="0" w:color="4472C4"/>
              <w:bottom w:val="single" w:sz="4" w:space="0" w:color="4472C4"/>
              <w:right w:val="single" w:sz="8" w:space="0" w:color="4472C4"/>
            </w:tcBorders>
            <w:shd w:val="clear" w:color="000000" w:fill="DEEAF6"/>
            <w:vAlign w:val="center"/>
          </w:tcPr>
          <w:p w14:paraId="26C65CF5" w14:textId="77777777" w:rsidR="00027FBF" w:rsidRPr="00D51F9A" w:rsidRDefault="00027FBF" w:rsidP="00027FBF">
            <w:pPr>
              <w:spacing w:before="0" w:line="240" w:lineRule="auto"/>
              <w:ind w:firstLine="0"/>
              <w:contextualSpacing w:val="0"/>
              <w:jc w:val="right"/>
              <w:rPr>
                <w:b w:val="0"/>
                <w:color w:val="000000"/>
                <w:sz w:val="20"/>
                <w:lang w:val="hy-AM"/>
              </w:rPr>
            </w:pPr>
            <w:r w:rsidRPr="00E5336E">
              <w:rPr>
                <w:b w:val="0"/>
                <w:color w:val="000000"/>
                <w:sz w:val="20"/>
                <w:lang w:val="en-US"/>
              </w:rPr>
              <w:t>-2</w:t>
            </w:r>
            <w:r>
              <w:rPr>
                <w:b w:val="0"/>
                <w:color w:val="000000"/>
                <w:sz w:val="20"/>
                <w:lang w:val="hy-AM"/>
              </w:rPr>
              <w:t>36.3</w:t>
            </w:r>
          </w:p>
        </w:tc>
      </w:tr>
      <w:tr w:rsidR="00027FBF" w:rsidRPr="00A83C94" w14:paraId="154798AA" w14:textId="77777777" w:rsidTr="00027FBF">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5DF9AA7F" w14:textId="77777777" w:rsidR="00027FBF" w:rsidRPr="00A83C94" w:rsidRDefault="00027FBF" w:rsidP="00027FBF">
            <w:pPr>
              <w:spacing w:before="0" w:line="240" w:lineRule="auto"/>
              <w:ind w:firstLine="0"/>
              <w:contextualSpacing w:val="0"/>
              <w:jc w:val="left"/>
              <w:rPr>
                <w:rFonts w:cs="Arial"/>
                <w:bCs/>
                <w:color w:val="000000"/>
                <w:sz w:val="20"/>
                <w:szCs w:val="20"/>
                <w:lang w:val="hy-AM" w:eastAsia="en-US"/>
              </w:rPr>
            </w:pPr>
            <w:r w:rsidRPr="00A83C94">
              <w:rPr>
                <w:rFonts w:cs="Arial"/>
                <w:bCs/>
                <w:color w:val="000000"/>
                <w:sz w:val="20"/>
                <w:szCs w:val="20"/>
                <w:lang w:val="hy-AM" w:eastAsia="en-US"/>
              </w:rPr>
              <w:t>Կառավարության պարտք</w:t>
            </w:r>
          </w:p>
        </w:tc>
        <w:tc>
          <w:tcPr>
            <w:tcW w:w="1080" w:type="dxa"/>
            <w:tcBorders>
              <w:top w:val="nil"/>
              <w:left w:val="single" w:sz="8" w:space="0" w:color="4472C4"/>
              <w:bottom w:val="single" w:sz="8" w:space="0" w:color="5B9BD5"/>
              <w:right w:val="nil"/>
            </w:tcBorders>
            <w:shd w:val="clear" w:color="000000" w:fill="FFFFFF"/>
            <w:noWrap/>
            <w:vAlign w:val="center"/>
            <w:hideMark/>
          </w:tcPr>
          <w:p w14:paraId="4E0EA09A"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3082.9</w:t>
            </w:r>
          </w:p>
        </w:tc>
        <w:tc>
          <w:tcPr>
            <w:tcW w:w="1080" w:type="dxa"/>
            <w:tcBorders>
              <w:top w:val="nil"/>
              <w:left w:val="single" w:sz="8" w:space="0" w:color="4472C4"/>
              <w:bottom w:val="single" w:sz="8" w:space="0" w:color="5B9BD5"/>
              <w:right w:val="nil"/>
            </w:tcBorders>
            <w:shd w:val="clear" w:color="000000" w:fill="FFFFFF"/>
            <w:noWrap/>
            <w:vAlign w:val="center"/>
            <w:hideMark/>
          </w:tcPr>
          <w:p w14:paraId="22342550"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rPr>
              <w:t>3277.3</w:t>
            </w:r>
          </w:p>
        </w:tc>
        <w:tc>
          <w:tcPr>
            <w:tcW w:w="1080" w:type="dxa"/>
            <w:tcBorders>
              <w:top w:val="nil"/>
              <w:left w:val="single" w:sz="8" w:space="0" w:color="4472C4"/>
              <w:bottom w:val="single" w:sz="8" w:space="0" w:color="5B9BD5"/>
              <w:right w:val="nil"/>
            </w:tcBorders>
            <w:shd w:val="clear" w:color="000000" w:fill="FFFFFF"/>
            <w:noWrap/>
            <w:vAlign w:val="center"/>
          </w:tcPr>
          <w:p w14:paraId="45884115"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3,923.9</w:t>
            </w:r>
          </w:p>
        </w:tc>
        <w:tc>
          <w:tcPr>
            <w:tcW w:w="1108" w:type="dxa"/>
            <w:tcBorders>
              <w:top w:val="nil"/>
              <w:left w:val="single" w:sz="8" w:space="0" w:color="4472C4"/>
              <w:bottom w:val="single" w:sz="8" w:space="0" w:color="5B9BD5"/>
              <w:right w:val="nil"/>
            </w:tcBorders>
            <w:shd w:val="clear" w:color="000000" w:fill="DEEAF6"/>
            <w:noWrap/>
            <w:vAlign w:val="center"/>
          </w:tcPr>
          <w:p w14:paraId="1735A65C"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4,273.9</w:t>
            </w:r>
          </w:p>
        </w:tc>
        <w:tc>
          <w:tcPr>
            <w:tcW w:w="1108" w:type="dxa"/>
            <w:tcBorders>
              <w:top w:val="single" w:sz="8" w:space="0" w:color="5B9BD5"/>
              <w:left w:val="single" w:sz="8" w:space="0" w:color="4472C4"/>
              <w:bottom w:val="single" w:sz="4" w:space="0" w:color="4472C4"/>
              <w:right w:val="single" w:sz="8" w:space="0" w:color="4472C4"/>
            </w:tcBorders>
            <w:shd w:val="clear" w:color="000000" w:fill="DEEAF6"/>
            <w:vAlign w:val="center"/>
          </w:tcPr>
          <w:p w14:paraId="003BE833" w14:textId="77777777" w:rsidR="00027FBF" w:rsidRPr="00A83C94" w:rsidRDefault="00027FBF" w:rsidP="00027FBF">
            <w:pPr>
              <w:spacing w:before="0" w:line="240" w:lineRule="auto"/>
              <w:ind w:firstLine="0"/>
              <w:contextualSpacing w:val="0"/>
              <w:jc w:val="right"/>
              <w:rPr>
                <w:b w:val="0"/>
                <w:color w:val="000000"/>
                <w:sz w:val="20"/>
                <w:lang w:val="en-US"/>
              </w:rPr>
            </w:pPr>
            <w:r w:rsidRPr="00A31A06">
              <w:rPr>
                <w:b w:val="0"/>
                <w:color w:val="000000"/>
                <w:sz w:val="20"/>
                <w:lang w:val="en-US"/>
              </w:rPr>
              <w:t>4,740.</w:t>
            </w:r>
            <w:r>
              <w:rPr>
                <w:b w:val="0"/>
                <w:color w:val="000000"/>
                <w:sz w:val="20"/>
                <w:lang w:val="en-US"/>
              </w:rPr>
              <w:t>8</w:t>
            </w:r>
          </w:p>
        </w:tc>
      </w:tr>
      <w:tr w:rsidR="00027FBF" w:rsidRPr="00A83C94" w14:paraId="18324E57" w14:textId="77777777" w:rsidTr="00027FBF">
        <w:trPr>
          <w:trHeight w:val="300"/>
          <w:jc w:val="center"/>
        </w:trPr>
        <w:tc>
          <w:tcPr>
            <w:tcW w:w="4220" w:type="dxa"/>
            <w:gridSpan w:val="2"/>
            <w:tcBorders>
              <w:top w:val="single" w:sz="8" w:space="0" w:color="5B9BD5"/>
              <w:left w:val="single" w:sz="8" w:space="0" w:color="4472C4"/>
              <w:bottom w:val="single" w:sz="8" w:space="0" w:color="5B9BD5"/>
              <w:right w:val="single" w:sz="8" w:space="0" w:color="4472C4"/>
            </w:tcBorders>
            <w:shd w:val="clear" w:color="000000" w:fill="FFFFFF"/>
            <w:vAlign w:val="center"/>
            <w:hideMark/>
          </w:tcPr>
          <w:p w14:paraId="76B864B5" w14:textId="77777777" w:rsidR="00027FBF" w:rsidRPr="00A83C94" w:rsidRDefault="00027FBF" w:rsidP="00027FBF">
            <w:pPr>
              <w:spacing w:before="0" w:line="240" w:lineRule="auto"/>
              <w:ind w:firstLine="0"/>
              <w:contextualSpacing w:val="0"/>
              <w:jc w:val="center"/>
              <w:rPr>
                <w:rFonts w:cs="Arial"/>
                <w:bCs/>
                <w:color w:val="000000"/>
                <w:sz w:val="20"/>
                <w:szCs w:val="20"/>
                <w:lang w:val="hy-AM" w:eastAsia="en-US"/>
              </w:rPr>
            </w:pPr>
            <w:r w:rsidRPr="00A83C94">
              <w:rPr>
                <w:rFonts w:cs="Arial"/>
                <w:bCs/>
                <w:color w:val="000000"/>
                <w:sz w:val="20"/>
                <w:szCs w:val="20"/>
                <w:lang w:val="hy-AM" w:eastAsia="en-US"/>
              </w:rPr>
              <w:t>կշիռը ՀՆԱ-ում, %</w:t>
            </w:r>
          </w:p>
        </w:tc>
        <w:tc>
          <w:tcPr>
            <w:tcW w:w="1080" w:type="dxa"/>
            <w:tcBorders>
              <w:top w:val="nil"/>
              <w:left w:val="nil"/>
              <w:bottom w:val="single" w:sz="8" w:space="0" w:color="5B9BD5"/>
              <w:right w:val="nil"/>
            </w:tcBorders>
            <w:shd w:val="clear" w:color="000000" w:fill="FFFFFF"/>
            <w:noWrap/>
            <w:vAlign w:val="center"/>
            <w:hideMark/>
          </w:tcPr>
          <w:p w14:paraId="1AFC6FBE" w14:textId="77777777" w:rsidR="00027FBF" w:rsidRPr="00A83C94" w:rsidRDefault="00027FBF" w:rsidP="00027FBF">
            <w:pPr>
              <w:spacing w:before="0" w:line="240" w:lineRule="auto"/>
              <w:ind w:firstLine="0"/>
              <w:contextualSpacing w:val="0"/>
              <w:jc w:val="center"/>
              <w:rPr>
                <w:rFonts w:cs="Arial"/>
                <w:b w:val="0"/>
                <w:bCs/>
                <w:color w:val="000000"/>
                <w:sz w:val="20"/>
                <w:szCs w:val="20"/>
                <w:lang w:val="hy-AM" w:eastAsia="en-US"/>
              </w:rPr>
            </w:pPr>
            <w:r w:rsidRPr="00A83C94">
              <w:rPr>
                <w:rFonts w:ascii="Calibri" w:hAnsi="Calibri" w:cs="Calibri"/>
                <w:b w:val="0"/>
                <w:bCs/>
                <w:color w:val="000000"/>
                <w:sz w:val="20"/>
                <w:szCs w:val="20"/>
                <w:lang w:val="hy-AM" w:eastAsia="en-US"/>
              </w:rPr>
              <w:t> </w:t>
            </w:r>
          </w:p>
        </w:tc>
        <w:tc>
          <w:tcPr>
            <w:tcW w:w="1080" w:type="dxa"/>
            <w:tcBorders>
              <w:top w:val="nil"/>
              <w:left w:val="single" w:sz="8" w:space="0" w:color="4472C4"/>
              <w:bottom w:val="single" w:sz="8" w:space="0" w:color="5B9BD5"/>
              <w:right w:val="nil"/>
            </w:tcBorders>
            <w:shd w:val="clear" w:color="000000" w:fill="FFFFFF"/>
            <w:noWrap/>
            <w:vAlign w:val="center"/>
            <w:hideMark/>
          </w:tcPr>
          <w:p w14:paraId="61579EF8" w14:textId="77777777" w:rsidR="00027FBF" w:rsidRPr="00A83C94" w:rsidRDefault="00027FBF" w:rsidP="00027FBF">
            <w:pPr>
              <w:spacing w:before="0" w:line="240" w:lineRule="auto"/>
              <w:ind w:firstLine="0"/>
              <w:contextualSpacing w:val="0"/>
              <w:jc w:val="center"/>
              <w:rPr>
                <w:rFonts w:cs="Arial"/>
                <w:b w:val="0"/>
                <w:bCs/>
                <w:color w:val="000000"/>
                <w:sz w:val="20"/>
                <w:szCs w:val="20"/>
                <w:lang w:val="hy-AM" w:eastAsia="en-US"/>
              </w:rPr>
            </w:pPr>
            <w:r w:rsidRPr="00A83C94">
              <w:rPr>
                <w:rFonts w:ascii="Calibri" w:hAnsi="Calibri" w:cs="Calibri"/>
                <w:b w:val="0"/>
                <w:bCs/>
                <w:color w:val="000000"/>
                <w:sz w:val="20"/>
                <w:szCs w:val="20"/>
                <w:lang w:val="hy-AM" w:eastAsia="en-US"/>
              </w:rPr>
              <w:t> </w:t>
            </w:r>
          </w:p>
        </w:tc>
        <w:tc>
          <w:tcPr>
            <w:tcW w:w="1108" w:type="dxa"/>
            <w:tcBorders>
              <w:top w:val="nil"/>
              <w:left w:val="single" w:sz="8" w:space="0" w:color="4472C4"/>
              <w:bottom w:val="single" w:sz="8" w:space="0" w:color="5B9BD5"/>
              <w:right w:val="nil"/>
            </w:tcBorders>
            <w:shd w:val="clear" w:color="000000" w:fill="DEEAF6"/>
            <w:noWrap/>
            <w:vAlign w:val="center"/>
            <w:hideMark/>
          </w:tcPr>
          <w:p w14:paraId="797A6CDA" w14:textId="77777777" w:rsidR="00027FBF" w:rsidRPr="00A83C94" w:rsidRDefault="00027FBF" w:rsidP="00027FBF">
            <w:pPr>
              <w:spacing w:before="0" w:line="240" w:lineRule="auto"/>
              <w:ind w:firstLine="0"/>
              <w:contextualSpacing w:val="0"/>
              <w:jc w:val="center"/>
              <w:rPr>
                <w:rFonts w:cs="Arial"/>
                <w:b w:val="0"/>
                <w:bCs/>
                <w:color w:val="000000"/>
                <w:sz w:val="20"/>
                <w:szCs w:val="20"/>
                <w:lang w:val="hy-AM" w:eastAsia="en-US"/>
              </w:rPr>
            </w:pPr>
            <w:r w:rsidRPr="00A83C94">
              <w:rPr>
                <w:rFonts w:ascii="Calibri" w:hAnsi="Calibri" w:cs="Calibri"/>
                <w:b w:val="0"/>
                <w:bCs/>
                <w:color w:val="000000"/>
                <w:sz w:val="20"/>
                <w:szCs w:val="20"/>
                <w:lang w:val="hy-AM" w:eastAsia="en-US"/>
              </w:rPr>
              <w:t> </w:t>
            </w:r>
          </w:p>
        </w:tc>
        <w:tc>
          <w:tcPr>
            <w:tcW w:w="1108" w:type="dxa"/>
            <w:tcBorders>
              <w:top w:val="nil"/>
              <w:left w:val="single" w:sz="8" w:space="0" w:color="4472C4"/>
              <w:bottom w:val="single" w:sz="8" w:space="0" w:color="5B9BD5"/>
              <w:right w:val="single" w:sz="8" w:space="0" w:color="4472C4"/>
            </w:tcBorders>
            <w:shd w:val="clear" w:color="000000" w:fill="DEEAF6"/>
          </w:tcPr>
          <w:p w14:paraId="68AEE273" w14:textId="77777777" w:rsidR="00027FBF" w:rsidRPr="00A83C94" w:rsidRDefault="00027FBF" w:rsidP="00027FBF">
            <w:pPr>
              <w:spacing w:before="0" w:line="240" w:lineRule="auto"/>
              <w:ind w:firstLine="0"/>
              <w:contextualSpacing w:val="0"/>
              <w:jc w:val="center"/>
              <w:rPr>
                <w:rFonts w:ascii="Calibri" w:hAnsi="Calibri" w:cs="Calibri"/>
                <w:b w:val="0"/>
                <w:bCs/>
                <w:color w:val="000000"/>
                <w:sz w:val="20"/>
                <w:szCs w:val="20"/>
                <w:lang w:val="hy-AM" w:eastAsia="en-US"/>
              </w:rPr>
            </w:pPr>
          </w:p>
        </w:tc>
      </w:tr>
      <w:tr w:rsidR="00027FBF" w:rsidRPr="00A83C94" w14:paraId="152133BC" w14:textId="77777777" w:rsidTr="00027FBF">
        <w:trPr>
          <w:trHeight w:val="825"/>
          <w:jc w:val="center"/>
        </w:trPr>
        <w:tc>
          <w:tcPr>
            <w:tcW w:w="3140" w:type="dxa"/>
            <w:tcBorders>
              <w:top w:val="nil"/>
              <w:left w:val="single" w:sz="8" w:space="0" w:color="4472C4"/>
              <w:bottom w:val="single" w:sz="8" w:space="0" w:color="5B9BD5"/>
              <w:right w:val="nil"/>
            </w:tcBorders>
            <w:shd w:val="clear" w:color="000000" w:fill="FFFFFF"/>
            <w:vAlign w:val="center"/>
            <w:hideMark/>
          </w:tcPr>
          <w:p w14:paraId="5CF41D0C" w14:textId="77777777" w:rsidR="00027FBF" w:rsidRPr="00A83C94" w:rsidRDefault="00027FBF" w:rsidP="00027FBF">
            <w:pPr>
              <w:spacing w:before="0" w:line="240" w:lineRule="auto"/>
              <w:ind w:firstLine="0"/>
              <w:contextualSpacing w:val="0"/>
              <w:jc w:val="left"/>
              <w:rPr>
                <w:rFonts w:cs="Arial"/>
                <w:color w:val="000000"/>
                <w:sz w:val="20"/>
                <w:szCs w:val="20"/>
                <w:lang w:val="hy-AM" w:eastAsia="en-US"/>
              </w:rPr>
            </w:pPr>
            <w:r w:rsidRPr="00A83C94">
              <w:rPr>
                <w:rFonts w:cs="Arial"/>
                <w:color w:val="000000"/>
                <w:sz w:val="20"/>
                <w:szCs w:val="20"/>
                <w:lang w:val="hy-AM" w:eastAsia="en-US"/>
              </w:rPr>
              <w:t>Պետական բյուջեի եկամուտներ և պաշտոնական տրանսֆերտներ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1C0B2D1A"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22.3</w:t>
            </w:r>
          </w:p>
        </w:tc>
        <w:tc>
          <w:tcPr>
            <w:tcW w:w="1080" w:type="dxa"/>
            <w:tcBorders>
              <w:top w:val="nil"/>
              <w:left w:val="single" w:sz="8" w:space="0" w:color="4472C4"/>
              <w:bottom w:val="single" w:sz="8" w:space="0" w:color="5B9BD5"/>
              <w:right w:val="nil"/>
            </w:tcBorders>
            <w:shd w:val="clear" w:color="000000" w:fill="FFFFFF"/>
            <w:noWrap/>
            <w:vAlign w:val="center"/>
            <w:hideMark/>
          </w:tcPr>
          <w:p w14:paraId="73CE0CD1"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23.9</w:t>
            </w:r>
          </w:p>
        </w:tc>
        <w:tc>
          <w:tcPr>
            <w:tcW w:w="1080" w:type="dxa"/>
            <w:tcBorders>
              <w:top w:val="nil"/>
              <w:left w:val="single" w:sz="8" w:space="0" w:color="4472C4"/>
              <w:bottom w:val="single" w:sz="8" w:space="0" w:color="5B9BD5"/>
              <w:right w:val="nil"/>
            </w:tcBorders>
            <w:shd w:val="clear" w:color="000000" w:fill="FFFFFF"/>
            <w:noWrap/>
            <w:vAlign w:val="center"/>
          </w:tcPr>
          <w:p w14:paraId="42CEADFA"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25.2</w:t>
            </w:r>
          </w:p>
        </w:tc>
        <w:tc>
          <w:tcPr>
            <w:tcW w:w="1108" w:type="dxa"/>
            <w:tcBorders>
              <w:top w:val="nil"/>
              <w:left w:val="single" w:sz="8" w:space="0" w:color="4472C4"/>
              <w:bottom w:val="single" w:sz="8" w:space="0" w:color="5B9BD5"/>
              <w:right w:val="nil"/>
            </w:tcBorders>
            <w:shd w:val="clear" w:color="000000" w:fill="DEEAF6"/>
            <w:noWrap/>
            <w:vAlign w:val="center"/>
          </w:tcPr>
          <w:p w14:paraId="0DF539FF"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23.6</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13BEADE0" w14:textId="77777777" w:rsidR="00027FBF" w:rsidRPr="00DA6FB0" w:rsidRDefault="00027FBF" w:rsidP="00027FBF">
            <w:pPr>
              <w:spacing w:before="0" w:line="240" w:lineRule="auto"/>
              <w:ind w:firstLine="0"/>
              <w:contextualSpacing w:val="0"/>
              <w:jc w:val="right"/>
              <w:rPr>
                <w:color w:val="000000"/>
                <w:sz w:val="20"/>
                <w:lang w:val="hy-AM"/>
              </w:rPr>
            </w:pPr>
            <w:r w:rsidRPr="00A83C94">
              <w:rPr>
                <w:color w:val="000000"/>
                <w:sz w:val="20"/>
                <w:lang w:val="en-US"/>
              </w:rPr>
              <w:t>24.</w:t>
            </w:r>
            <w:r>
              <w:rPr>
                <w:color w:val="000000"/>
                <w:sz w:val="20"/>
                <w:lang w:val="hy-AM"/>
              </w:rPr>
              <w:t>8</w:t>
            </w:r>
          </w:p>
        </w:tc>
      </w:tr>
      <w:tr w:rsidR="00027FBF" w:rsidRPr="00A83C94" w14:paraId="42BF23E9" w14:textId="77777777" w:rsidTr="00027FBF">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14:paraId="35CA601B" w14:textId="77777777" w:rsidR="00027FBF" w:rsidRPr="00A83C94" w:rsidRDefault="00027FBF" w:rsidP="00027FBF">
            <w:pPr>
              <w:spacing w:before="0" w:line="240" w:lineRule="auto"/>
              <w:ind w:left="308" w:firstLine="0"/>
              <w:contextualSpacing w:val="0"/>
              <w:jc w:val="left"/>
              <w:rPr>
                <w:rFonts w:cs="Arial"/>
                <w:color w:val="000000"/>
                <w:sz w:val="20"/>
                <w:szCs w:val="20"/>
                <w:lang w:val="hy-AM" w:eastAsia="en-US"/>
              </w:rPr>
            </w:pPr>
            <w:r w:rsidRPr="00A83C94">
              <w:rPr>
                <w:rFonts w:cs="Arial"/>
                <w:color w:val="000000"/>
                <w:sz w:val="20"/>
                <w:szCs w:val="20"/>
                <w:lang w:val="hy-AM" w:eastAsia="en-US"/>
              </w:rPr>
              <w:t>Հարկային եկամուտներ և տուրքեր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2FD5B71D"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20.9</w:t>
            </w:r>
          </w:p>
        </w:tc>
        <w:tc>
          <w:tcPr>
            <w:tcW w:w="1080" w:type="dxa"/>
            <w:tcBorders>
              <w:top w:val="nil"/>
              <w:left w:val="single" w:sz="8" w:space="0" w:color="4472C4"/>
              <w:bottom w:val="single" w:sz="8" w:space="0" w:color="5B9BD5"/>
              <w:right w:val="nil"/>
            </w:tcBorders>
            <w:shd w:val="clear" w:color="000000" w:fill="FFFFFF"/>
            <w:noWrap/>
            <w:vAlign w:val="center"/>
            <w:hideMark/>
          </w:tcPr>
          <w:p w14:paraId="34DE9C11"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22.4</w:t>
            </w:r>
          </w:p>
        </w:tc>
        <w:tc>
          <w:tcPr>
            <w:tcW w:w="1080" w:type="dxa"/>
            <w:tcBorders>
              <w:top w:val="nil"/>
              <w:left w:val="single" w:sz="8" w:space="0" w:color="4472C4"/>
              <w:bottom w:val="single" w:sz="8" w:space="0" w:color="5B9BD5"/>
              <w:right w:val="nil"/>
            </w:tcBorders>
            <w:shd w:val="clear" w:color="000000" w:fill="FFFFFF"/>
            <w:noWrap/>
            <w:vAlign w:val="center"/>
          </w:tcPr>
          <w:p w14:paraId="5B160B6B"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22.4</w:t>
            </w:r>
          </w:p>
        </w:tc>
        <w:tc>
          <w:tcPr>
            <w:tcW w:w="1108" w:type="dxa"/>
            <w:tcBorders>
              <w:top w:val="nil"/>
              <w:left w:val="single" w:sz="8" w:space="0" w:color="4472C4"/>
              <w:bottom w:val="single" w:sz="8" w:space="0" w:color="5B9BD5"/>
              <w:right w:val="nil"/>
            </w:tcBorders>
            <w:shd w:val="clear" w:color="000000" w:fill="DEEAF6"/>
            <w:noWrap/>
            <w:vAlign w:val="center"/>
          </w:tcPr>
          <w:p w14:paraId="77C10081"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22.5</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423D3FA3"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23.4</w:t>
            </w:r>
          </w:p>
        </w:tc>
      </w:tr>
      <w:tr w:rsidR="00027FBF" w:rsidRPr="00A83C94" w14:paraId="0B939A7A" w14:textId="77777777" w:rsidTr="00027FBF">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39D1775D" w14:textId="77777777" w:rsidR="00027FBF" w:rsidRPr="00A83C94" w:rsidRDefault="00027FBF" w:rsidP="00027FBF">
            <w:pPr>
              <w:spacing w:before="0" w:line="240" w:lineRule="auto"/>
              <w:ind w:firstLine="0"/>
              <w:contextualSpacing w:val="0"/>
              <w:jc w:val="left"/>
              <w:rPr>
                <w:rFonts w:cs="Arial"/>
                <w:color w:val="000000"/>
                <w:sz w:val="20"/>
                <w:szCs w:val="20"/>
                <w:lang w:val="hy-AM" w:eastAsia="en-US"/>
              </w:rPr>
            </w:pPr>
            <w:r w:rsidRPr="00A83C94">
              <w:rPr>
                <w:rFonts w:cs="Arial"/>
                <w:color w:val="000000"/>
                <w:sz w:val="20"/>
                <w:szCs w:val="20"/>
                <w:lang w:val="hy-AM" w:eastAsia="en-US"/>
              </w:rPr>
              <w:t>Պետական բյուջեի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33DCFCD5"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24.0</w:t>
            </w:r>
          </w:p>
        </w:tc>
        <w:tc>
          <w:tcPr>
            <w:tcW w:w="1080" w:type="dxa"/>
            <w:tcBorders>
              <w:top w:val="nil"/>
              <w:left w:val="single" w:sz="8" w:space="0" w:color="4472C4"/>
              <w:bottom w:val="single" w:sz="8" w:space="0" w:color="5B9BD5"/>
              <w:right w:val="nil"/>
            </w:tcBorders>
            <w:shd w:val="clear" w:color="000000" w:fill="FFFFFF"/>
            <w:noWrap/>
            <w:vAlign w:val="center"/>
            <w:hideMark/>
          </w:tcPr>
          <w:p w14:paraId="3FDC4D3F"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24.9</w:t>
            </w:r>
          </w:p>
        </w:tc>
        <w:tc>
          <w:tcPr>
            <w:tcW w:w="1080" w:type="dxa"/>
            <w:tcBorders>
              <w:top w:val="nil"/>
              <w:left w:val="single" w:sz="8" w:space="0" w:color="4472C4"/>
              <w:bottom w:val="single" w:sz="8" w:space="0" w:color="5B9BD5"/>
              <w:right w:val="nil"/>
            </w:tcBorders>
            <w:shd w:val="clear" w:color="000000" w:fill="FFFFFF"/>
            <w:noWrap/>
            <w:vAlign w:val="center"/>
          </w:tcPr>
          <w:p w14:paraId="018C49E0"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30.6</w:t>
            </w:r>
          </w:p>
        </w:tc>
        <w:tc>
          <w:tcPr>
            <w:tcW w:w="1108" w:type="dxa"/>
            <w:tcBorders>
              <w:top w:val="nil"/>
              <w:left w:val="single" w:sz="8" w:space="0" w:color="4472C4"/>
              <w:bottom w:val="single" w:sz="8" w:space="0" w:color="5B9BD5"/>
              <w:right w:val="nil"/>
            </w:tcBorders>
            <w:shd w:val="clear" w:color="000000" w:fill="DEEAF6"/>
            <w:noWrap/>
            <w:vAlign w:val="center"/>
          </w:tcPr>
          <w:p w14:paraId="7DFABDA2"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28.2</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1749F6F4" w14:textId="77777777" w:rsidR="00027FBF" w:rsidRPr="00A83C94" w:rsidRDefault="00027FBF" w:rsidP="00027FBF">
            <w:pPr>
              <w:spacing w:before="0" w:line="240" w:lineRule="auto"/>
              <w:ind w:firstLine="0"/>
              <w:contextualSpacing w:val="0"/>
              <w:jc w:val="right"/>
              <w:rPr>
                <w:color w:val="000000"/>
                <w:sz w:val="20"/>
                <w:lang w:val="en-US"/>
              </w:rPr>
            </w:pPr>
            <w:r w:rsidRPr="00E5336E">
              <w:rPr>
                <w:color w:val="000000"/>
                <w:sz w:val="20"/>
                <w:lang w:val="en-US"/>
              </w:rPr>
              <w:t>27.8</w:t>
            </w:r>
          </w:p>
        </w:tc>
      </w:tr>
      <w:tr w:rsidR="00027FBF" w:rsidRPr="00A83C94" w14:paraId="50D4D5C9" w14:textId="77777777" w:rsidTr="00027FBF">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3899F7C3" w14:textId="77777777" w:rsidR="00027FBF" w:rsidRPr="00A83C94" w:rsidRDefault="00027FBF" w:rsidP="00027FBF">
            <w:pPr>
              <w:spacing w:before="0" w:line="240" w:lineRule="auto"/>
              <w:ind w:left="308" w:firstLine="0"/>
              <w:contextualSpacing w:val="0"/>
              <w:jc w:val="left"/>
              <w:rPr>
                <w:rFonts w:cs="Arial"/>
                <w:b w:val="0"/>
                <w:color w:val="000000"/>
                <w:sz w:val="20"/>
                <w:szCs w:val="20"/>
                <w:lang w:val="hy-AM" w:eastAsia="en-US"/>
              </w:rPr>
            </w:pPr>
            <w:r w:rsidRPr="00A83C94">
              <w:rPr>
                <w:rFonts w:cs="Arial"/>
                <w:b w:val="0"/>
                <w:color w:val="000000"/>
                <w:sz w:val="20"/>
                <w:szCs w:val="20"/>
                <w:lang w:val="hy-AM" w:eastAsia="en-US"/>
              </w:rPr>
              <w:t>Ընթացիկ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05C2CB96"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21.6</w:t>
            </w:r>
          </w:p>
        </w:tc>
        <w:tc>
          <w:tcPr>
            <w:tcW w:w="1080" w:type="dxa"/>
            <w:tcBorders>
              <w:top w:val="nil"/>
              <w:left w:val="single" w:sz="8" w:space="0" w:color="4472C4"/>
              <w:bottom w:val="single" w:sz="8" w:space="0" w:color="5B9BD5"/>
              <w:right w:val="nil"/>
            </w:tcBorders>
            <w:shd w:val="clear" w:color="000000" w:fill="FFFFFF"/>
            <w:noWrap/>
            <w:vAlign w:val="center"/>
            <w:hideMark/>
          </w:tcPr>
          <w:p w14:paraId="1D08E182"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22.0</w:t>
            </w:r>
          </w:p>
        </w:tc>
        <w:tc>
          <w:tcPr>
            <w:tcW w:w="1080" w:type="dxa"/>
            <w:tcBorders>
              <w:top w:val="nil"/>
              <w:left w:val="single" w:sz="8" w:space="0" w:color="4472C4"/>
              <w:bottom w:val="single" w:sz="8" w:space="0" w:color="5B9BD5"/>
              <w:right w:val="nil"/>
            </w:tcBorders>
            <w:shd w:val="clear" w:color="000000" w:fill="FFFFFF"/>
            <w:noWrap/>
            <w:vAlign w:val="center"/>
          </w:tcPr>
          <w:p w14:paraId="78BFEB8D"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27.0</w:t>
            </w:r>
          </w:p>
        </w:tc>
        <w:tc>
          <w:tcPr>
            <w:tcW w:w="1108" w:type="dxa"/>
            <w:tcBorders>
              <w:top w:val="nil"/>
              <w:left w:val="single" w:sz="8" w:space="0" w:color="4472C4"/>
              <w:bottom w:val="single" w:sz="8" w:space="0" w:color="5B9BD5"/>
              <w:right w:val="nil"/>
            </w:tcBorders>
            <w:shd w:val="clear" w:color="000000" w:fill="DEEAF6"/>
            <w:noWrap/>
            <w:vAlign w:val="center"/>
          </w:tcPr>
          <w:p w14:paraId="75BC6A51"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25.1</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5847AD6B"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23.4</w:t>
            </w:r>
          </w:p>
        </w:tc>
      </w:tr>
      <w:tr w:rsidR="00027FBF" w:rsidRPr="00A83C94" w14:paraId="2B9FCE94" w14:textId="77777777" w:rsidTr="00027FBF">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14:paraId="101A59C9" w14:textId="77777777" w:rsidR="00027FBF" w:rsidRPr="00A83C94" w:rsidRDefault="00027FBF" w:rsidP="00027FBF">
            <w:pPr>
              <w:spacing w:before="0" w:line="240" w:lineRule="auto"/>
              <w:ind w:left="308" w:firstLine="0"/>
              <w:contextualSpacing w:val="0"/>
              <w:jc w:val="left"/>
              <w:rPr>
                <w:rFonts w:cs="Arial"/>
                <w:b w:val="0"/>
                <w:color w:val="000000"/>
                <w:sz w:val="20"/>
                <w:szCs w:val="20"/>
                <w:lang w:val="hy-AM" w:eastAsia="en-US"/>
              </w:rPr>
            </w:pPr>
            <w:r w:rsidRPr="00A83C94">
              <w:rPr>
                <w:rFonts w:cs="Arial"/>
                <w:b w:val="0"/>
                <w:color w:val="000000"/>
                <w:sz w:val="20"/>
                <w:szCs w:val="20"/>
                <w:lang w:val="hy-AM" w:eastAsia="en-US"/>
              </w:rPr>
              <w:t>Ոչ ֆինանսական ակտիվների հետ գործառնություններ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5DF33EB9"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2.5</w:t>
            </w:r>
          </w:p>
        </w:tc>
        <w:tc>
          <w:tcPr>
            <w:tcW w:w="1080" w:type="dxa"/>
            <w:tcBorders>
              <w:top w:val="nil"/>
              <w:left w:val="single" w:sz="8" w:space="0" w:color="4472C4"/>
              <w:bottom w:val="single" w:sz="8" w:space="0" w:color="5B9BD5"/>
              <w:right w:val="nil"/>
            </w:tcBorders>
            <w:shd w:val="clear" w:color="000000" w:fill="FFFFFF"/>
            <w:noWrap/>
            <w:vAlign w:val="center"/>
            <w:hideMark/>
          </w:tcPr>
          <w:p w14:paraId="57BA1CB7"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2.9</w:t>
            </w:r>
          </w:p>
        </w:tc>
        <w:tc>
          <w:tcPr>
            <w:tcW w:w="1080" w:type="dxa"/>
            <w:tcBorders>
              <w:top w:val="nil"/>
              <w:left w:val="single" w:sz="8" w:space="0" w:color="4472C4"/>
              <w:bottom w:val="single" w:sz="8" w:space="0" w:color="5B9BD5"/>
              <w:right w:val="nil"/>
            </w:tcBorders>
            <w:shd w:val="clear" w:color="000000" w:fill="FFFFFF"/>
            <w:noWrap/>
            <w:vAlign w:val="center"/>
          </w:tcPr>
          <w:p w14:paraId="19EC8CB2"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3.7</w:t>
            </w:r>
          </w:p>
        </w:tc>
        <w:tc>
          <w:tcPr>
            <w:tcW w:w="1108" w:type="dxa"/>
            <w:tcBorders>
              <w:top w:val="nil"/>
              <w:left w:val="single" w:sz="8" w:space="0" w:color="4472C4"/>
              <w:bottom w:val="single" w:sz="8" w:space="0" w:color="5B9BD5"/>
              <w:right w:val="nil"/>
            </w:tcBorders>
            <w:shd w:val="clear" w:color="000000" w:fill="DEEAF6"/>
            <w:noWrap/>
            <w:vAlign w:val="center"/>
          </w:tcPr>
          <w:p w14:paraId="22DE57F1"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3.2</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46E072C5" w14:textId="77777777" w:rsidR="00027FBF" w:rsidRPr="00E5336E" w:rsidRDefault="00027FBF" w:rsidP="00027FBF">
            <w:pPr>
              <w:spacing w:before="0" w:line="240" w:lineRule="auto"/>
              <w:ind w:firstLine="0"/>
              <w:contextualSpacing w:val="0"/>
              <w:jc w:val="right"/>
              <w:rPr>
                <w:b w:val="0"/>
                <w:color w:val="000000"/>
                <w:sz w:val="20"/>
                <w:lang w:val="hy-AM"/>
              </w:rPr>
            </w:pPr>
            <w:r>
              <w:rPr>
                <w:b w:val="0"/>
                <w:color w:val="000000"/>
                <w:sz w:val="20"/>
                <w:lang w:val="hy-AM"/>
              </w:rPr>
              <w:t>4.3</w:t>
            </w:r>
          </w:p>
        </w:tc>
      </w:tr>
      <w:tr w:rsidR="00027FBF" w:rsidRPr="00A83C94" w14:paraId="546F4680" w14:textId="77777777" w:rsidTr="00027FBF">
        <w:trPr>
          <w:trHeight w:val="585"/>
          <w:jc w:val="center"/>
        </w:trPr>
        <w:tc>
          <w:tcPr>
            <w:tcW w:w="3140" w:type="dxa"/>
            <w:tcBorders>
              <w:top w:val="nil"/>
              <w:left w:val="single" w:sz="8" w:space="0" w:color="4472C4"/>
              <w:bottom w:val="single" w:sz="8" w:space="0" w:color="5B9BD5"/>
              <w:right w:val="nil"/>
            </w:tcBorders>
            <w:shd w:val="clear" w:color="000000" w:fill="FFFFFF"/>
            <w:vAlign w:val="center"/>
            <w:hideMark/>
          </w:tcPr>
          <w:p w14:paraId="2CC4C388" w14:textId="77777777" w:rsidR="00027FBF" w:rsidRPr="00A83C94" w:rsidRDefault="00027FBF" w:rsidP="00027FBF">
            <w:pPr>
              <w:spacing w:before="0" w:line="240" w:lineRule="auto"/>
              <w:ind w:firstLine="0"/>
              <w:contextualSpacing w:val="0"/>
              <w:jc w:val="left"/>
              <w:rPr>
                <w:rFonts w:cs="Arial"/>
                <w:bCs/>
                <w:color w:val="000000"/>
                <w:sz w:val="20"/>
                <w:szCs w:val="20"/>
                <w:lang w:val="hy-AM" w:eastAsia="en-US"/>
              </w:rPr>
            </w:pPr>
            <w:r w:rsidRPr="00A83C94">
              <w:rPr>
                <w:rFonts w:cs="Arial"/>
                <w:bCs/>
                <w:color w:val="000000"/>
                <w:sz w:val="20"/>
                <w:szCs w:val="20"/>
                <w:lang w:val="hy-AM" w:eastAsia="en-US"/>
              </w:rPr>
              <w:t>Պետական բյուջեի դեֆիցիտ (-) / պրոֆիցիտ (+)</w:t>
            </w:r>
            <w:r w:rsidRPr="00A83C94">
              <w:rPr>
                <w:rFonts w:ascii="Arial Armenian" w:hAnsi="Arial Armenian" w:cs="Arial"/>
                <w:bCs/>
                <w:color w:val="000000"/>
                <w:sz w:val="16"/>
                <w:szCs w:val="16"/>
                <w:lang w:val="hy-AM" w:eastAsia="en-US"/>
              </w:rPr>
              <w:t> </w:t>
            </w:r>
          </w:p>
        </w:tc>
        <w:tc>
          <w:tcPr>
            <w:tcW w:w="1080" w:type="dxa"/>
            <w:tcBorders>
              <w:top w:val="nil"/>
              <w:left w:val="single" w:sz="8" w:space="0" w:color="4472C4"/>
              <w:bottom w:val="single" w:sz="8" w:space="0" w:color="5B9BD5"/>
              <w:right w:val="nil"/>
            </w:tcBorders>
            <w:shd w:val="clear" w:color="000000" w:fill="FFFFFF"/>
            <w:noWrap/>
            <w:vAlign w:val="center"/>
            <w:hideMark/>
          </w:tcPr>
          <w:p w14:paraId="138E01FD"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-1.8</w:t>
            </w:r>
          </w:p>
        </w:tc>
        <w:tc>
          <w:tcPr>
            <w:tcW w:w="1080" w:type="dxa"/>
            <w:tcBorders>
              <w:top w:val="nil"/>
              <w:left w:val="single" w:sz="8" w:space="0" w:color="4472C4"/>
              <w:bottom w:val="single" w:sz="8" w:space="0" w:color="5B9BD5"/>
              <w:right w:val="nil"/>
            </w:tcBorders>
            <w:shd w:val="clear" w:color="000000" w:fill="FFFFFF"/>
            <w:noWrap/>
            <w:vAlign w:val="center"/>
            <w:hideMark/>
          </w:tcPr>
          <w:p w14:paraId="49EF089F"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-1.0</w:t>
            </w:r>
          </w:p>
        </w:tc>
        <w:tc>
          <w:tcPr>
            <w:tcW w:w="1080" w:type="dxa"/>
            <w:tcBorders>
              <w:top w:val="nil"/>
              <w:left w:val="single" w:sz="8" w:space="0" w:color="4472C4"/>
              <w:bottom w:val="single" w:sz="8" w:space="0" w:color="5B9BD5"/>
              <w:right w:val="nil"/>
            </w:tcBorders>
            <w:shd w:val="clear" w:color="000000" w:fill="FFFFFF"/>
            <w:noWrap/>
            <w:vAlign w:val="center"/>
          </w:tcPr>
          <w:p w14:paraId="722AA110"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-5.4</w:t>
            </w:r>
          </w:p>
        </w:tc>
        <w:tc>
          <w:tcPr>
            <w:tcW w:w="1108" w:type="dxa"/>
            <w:tcBorders>
              <w:top w:val="nil"/>
              <w:left w:val="single" w:sz="8" w:space="0" w:color="4472C4"/>
              <w:bottom w:val="single" w:sz="8" w:space="0" w:color="5B9BD5"/>
              <w:right w:val="nil"/>
            </w:tcBorders>
            <w:shd w:val="clear" w:color="000000" w:fill="DEEAF6"/>
            <w:noWrap/>
            <w:vAlign w:val="center"/>
          </w:tcPr>
          <w:p w14:paraId="6871D2D4"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-4.7</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71B1FE22" w14:textId="77777777" w:rsidR="00027FBF" w:rsidRPr="00DA6FB0" w:rsidRDefault="00027FBF" w:rsidP="00027FBF">
            <w:pPr>
              <w:spacing w:before="0" w:line="240" w:lineRule="auto"/>
              <w:ind w:firstLine="0"/>
              <w:contextualSpacing w:val="0"/>
              <w:jc w:val="right"/>
              <w:rPr>
                <w:color w:val="000000"/>
                <w:sz w:val="20"/>
                <w:lang w:val="hy-AM"/>
              </w:rPr>
            </w:pPr>
            <w:r w:rsidRPr="00A83C94">
              <w:rPr>
                <w:color w:val="000000"/>
                <w:sz w:val="20"/>
                <w:lang w:val="en-US"/>
              </w:rPr>
              <w:t>-3.</w:t>
            </w:r>
            <w:r>
              <w:rPr>
                <w:color w:val="000000"/>
                <w:sz w:val="20"/>
                <w:lang w:val="hy-AM"/>
              </w:rPr>
              <w:t>0</w:t>
            </w:r>
          </w:p>
        </w:tc>
      </w:tr>
      <w:tr w:rsidR="00027FBF" w:rsidRPr="00A83C94" w14:paraId="01C54CEC" w14:textId="77777777" w:rsidTr="00027FBF">
        <w:trPr>
          <w:trHeight w:val="300"/>
          <w:jc w:val="center"/>
        </w:trPr>
        <w:tc>
          <w:tcPr>
            <w:tcW w:w="3140" w:type="dxa"/>
            <w:tcBorders>
              <w:top w:val="nil"/>
              <w:left w:val="single" w:sz="8" w:space="0" w:color="4472C4"/>
              <w:bottom w:val="single" w:sz="8" w:space="0" w:color="4472C4"/>
              <w:right w:val="nil"/>
            </w:tcBorders>
            <w:shd w:val="clear" w:color="000000" w:fill="FFFFFF"/>
            <w:vAlign w:val="center"/>
            <w:hideMark/>
          </w:tcPr>
          <w:p w14:paraId="4BF088EC" w14:textId="77777777" w:rsidR="00027FBF" w:rsidRPr="00A83C94" w:rsidRDefault="00027FBF" w:rsidP="00027FBF">
            <w:pPr>
              <w:spacing w:before="0" w:line="240" w:lineRule="auto"/>
              <w:ind w:firstLine="0"/>
              <w:contextualSpacing w:val="0"/>
              <w:jc w:val="left"/>
              <w:rPr>
                <w:rFonts w:cs="Arial"/>
                <w:bCs/>
                <w:color w:val="000000"/>
                <w:sz w:val="20"/>
                <w:szCs w:val="20"/>
                <w:lang w:val="hy-AM" w:eastAsia="en-US"/>
              </w:rPr>
            </w:pPr>
            <w:r w:rsidRPr="00A83C94">
              <w:rPr>
                <w:rFonts w:cs="Arial"/>
                <w:bCs/>
                <w:color w:val="000000"/>
                <w:sz w:val="20"/>
                <w:szCs w:val="20"/>
                <w:lang w:val="hy-AM" w:eastAsia="en-US"/>
              </w:rPr>
              <w:t>Կառավարության պարտք</w:t>
            </w:r>
          </w:p>
        </w:tc>
        <w:tc>
          <w:tcPr>
            <w:tcW w:w="1080" w:type="dxa"/>
            <w:tcBorders>
              <w:top w:val="nil"/>
              <w:left w:val="single" w:sz="8" w:space="0" w:color="4472C4"/>
              <w:bottom w:val="single" w:sz="8" w:space="0" w:color="4472C4"/>
              <w:right w:val="nil"/>
            </w:tcBorders>
            <w:shd w:val="clear" w:color="000000" w:fill="FFFFFF"/>
            <w:noWrap/>
            <w:vAlign w:val="center"/>
            <w:hideMark/>
          </w:tcPr>
          <w:p w14:paraId="65C19934"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51.2</w:t>
            </w:r>
          </w:p>
        </w:tc>
        <w:tc>
          <w:tcPr>
            <w:tcW w:w="1080" w:type="dxa"/>
            <w:tcBorders>
              <w:top w:val="nil"/>
              <w:left w:val="single" w:sz="8" w:space="0" w:color="4472C4"/>
              <w:bottom w:val="single" w:sz="8" w:space="0" w:color="4472C4"/>
              <w:right w:val="nil"/>
            </w:tcBorders>
            <w:shd w:val="clear" w:color="000000" w:fill="FFFFFF"/>
            <w:noWrap/>
            <w:vAlign w:val="center"/>
            <w:hideMark/>
          </w:tcPr>
          <w:p w14:paraId="4F1F4711"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50.1</w:t>
            </w:r>
          </w:p>
        </w:tc>
        <w:tc>
          <w:tcPr>
            <w:tcW w:w="1080" w:type="dxa"/>
            <w:tcBorders>
              <w:top w:val="nil"/>
              <w:left w:val="single" w:sz="8" w:space="0" w:color="4472C4"/>
              <w:bottom w:val="single" w:sz="8" w:space="0" w:color="4472C4"/>
              <w:right w:val="nil"/>
            </w:tcBorders>
            <w:shd w:val="clear" w:color="000000" w:fill="FFFFFF"/>
            <w:noWrap/>
            <w:vAlign w:val="center"/>
          </w:tcPr>
          <w:p w14:paraId="7DF63595"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63.5</w:t>
            </w:r>
          </w:p>
        </w:tc>
        <w:tc>
          <w:tcPr>
            <w:tcW w:w="1108" w:type="dxa"/>
            <w:tcBorders>
              <w:top w:val="nil"/>
              <w:left w:val="single" w:sz="8" w:space="0" w:color="4472C4"/>
              <w:bottom w:val="single" w:sz="8" w:space="0" w:color="4472C4"/>
              <w:right w:val="nil"/>
            </w:tcBorders>
            <w:shd w:val="clear" w:color="000000" w:fill="DEEAF6"/>
            <w:noWrap/>
            <w:vAlign w:val="center"/>
          </w:tcPr>
          <w:p w14:paraId="6972903C"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60.8</w:t>
            </w:r>
          </w:p>
        </w:tc>
        <w:tc>
          <w:tcPr>
            <w:tcW w:w="1108" w:type="dxa"/>
            <w:tcBorders>
              <w:top w:val="nil"/>
              <w:left w:val="single" w:sz="8" w:space="0" w:color="4472C4"/>
              <w:bottom w:val="single" w:sz="8" w:space="0" w:color="4472C4"/>
              <w:right w:val="single" w:sz="8" w:space="0" w:color="4472C4"/>
            </w:tcBorders>
            <w:shd w:val="clear" w:color="000000" w:fill="DEEAF6"/>
            <w:vAlign w:val="center"/>
          </w:tcPr>
          <w:p w14:paraId="6B14386B" w14:textId="77777777" w:rsidR="00027FBF" w:rsidRPr="003C0DA9" w:rsidRDefault="00027FBF" w:rsidP="00027FBF">
            <w:pPr>
              <w:spacing w:before="0" w:line="240" w:lineRule="auto"/>
              <w:ind w:firstLine="0"/>
              <w:contextualSpacing w:val="0"/>
              <w:jc w:val="right"/>
              <w:rPr>
                <w:color w:val="000000"/>
                <w:sz w:val="20"/>
                <w:lang w:val="en-US"/>
              </w:rPr>
            </w:pPr>
            <w:r w:rsidRPr="00A31A06">
              <w:rPr>
                <w:color w:val="000000"/>
                <w:sz w:val="20"/>
                <w:lang w:val="en-US"/>
              </w:rPr>
              <w:t>60.2</w:t>
            </w:r>
          </w:p>
        </w:tc>
      </w:tr>
    </w:tbl>
    <w:p w14:paraId="0924AA84" w14:textId="77777777" w:rsidR="00027FBF" w:rsidRPr="00A83C94" w:rsidRDefault="00027FBF" w:rsidP="00027FBF">
      <w:pPr>
        <w:spacing w:before="0" w:line="276" w:lineRule="auto"/>
        <w:ind w:left="567" w:hanging="567"/>
        <w:contextualSpacing w:val="0"/>
        <w:rPr>
          <w:rFonts w:cs="Calibri"/>
          <w:b w:val="0"/>
          <w:i/>
          <w:iCs/>
          <w:color w:val="000000"/>
          <w:sz w:val="18"/>
          <w:szCs w:val="18"/>
          <w:lang w:val="hy-AM"/>
        </w:rPr>
      </w:pPr>
      <w:r w:rsidRPr="00A83C94">
        <w:rPr>
          <w:rFonts w:cs="Calibri"/>
          <w:b w:val="0"/>
          <w:i/>
          <w:iCs/>
          <w:color w:val="000000"/>
          <w:sz w:val="18"/>
          <w:szCs w:val="18"/>
          <w:lang w:val="hy-AM"/>
        </w:rPr>
        <w:t>Աղբյուրը՝ ՀՀ ՖՆ կանխատեսումներ</w:t>
      </w:r>
      <w:bookmarkStart w:id="65" w:name="_Toc45838524"/>
      <w:bookmarkStart w:id="66" w:name="_Toc46154353"/>
    </w:p>
    <w:p w14:paraId="5EAE46F2" w14:textId="77777777" w:rsidR="00027FBF" w:rsidRPr="00A83C94" w:rsidRDefault="00027FBF" w:rsidP="00027FBF">
      <w:pPr>
        <w:spacing w:before="0" w:line="276" w:lineRule="auto"/>
        <w:ind w:firstLine="0"/>
        <w:contextualSpacing w:val="0"/>
        <w:rPr>
          <w:rFonts w:eastAsia="Calibri" w:cs="Arial"/>
          <w:b w:val="0"/>
          <w:bCs/>
          <w:sz w:val="20"/>
          <w:szCs w:val="20"/>
          <w:lang w:val="hy-AM" w:eastAsia="en-US"/>
        </w:rPr>
      </w:pPr>
    </w:p>
    <w:p w14:paraId="5EE49D33" w14:textId="77777777" w:rsidR="00027FBF" w:rsidRPr="00A83C94" w:rsidRDefault="00027FBF" w:rsidP="00027FBF">
      <w:pPr>
        <w:spacing w:before="0" w:line="276" w:lineRule="auto"/>
        <w:ind w:firstLine="0"/>
        <w:contextualSpacing w:val="0"/>
        <w:rPr>
          <w:rFonts w:eastAsia="Calibri" w:cs="Arial"/>
          <w:b w:val="0"/>
          <w:bCs/>
          <w:sz w:val="20"/>
          <w:szCs w:val="20"/>
          <w:lang w:val="hy-AM" w:eastAsia="en-US"/>
        </w:rPr>
      </w:pPr>
    </w:p>
    <w:p w14:paraId="036FA2A5" w14:textId="77777777" w:rsidR="00027FBF" w:rsidRPr="00A83C94" w:rsidRDefault="00027FBF" w:rsidP="00027FBF">
      <w:pPr>
        <w:keepNext/>
        <w:keepLines/>
        <w:spacing w:before="0" w:line="312" w:lineRule="auto"/>
        <w:ind w:firstLine="0"/>
        <w:outlineLvl w:val="2"/>
        <w:rPr>
          <w:sz w:val="24"/>
          <w:lang w:val="hy-AM" w:eastAsia="en-US"/>
        </w:rPr>
      </w:pPr>
      <w:bookmarkStart w:id="67" w:name="_Toc57655454"/>
      <w:bookmarkStart w:id="68" w:name="_Toc83199222"/>
      <w:bookmarkStart w:id="69" w:name="_Toc83972838"/>
      <w:bookmarkStart w:id="70" w:name="_Toc89428293"/>
      <w:r w:rsidRPr="00A83C94">
        <w:rPr>
          <w:sz w:val="24"/>
          <w:lang w:val="hy-AM" w:eastAsia="en-US"/>
        </w:rPr>
        <w:lastRenderedPageBreak/>
        <w:t>2</w:t>
      </w:r>
      <w:r w:rsidRPr="00A83C94">
        <w:rPr>
          <w:rFonts w:cs="Cambria Math"/>
          <w:sz w:val="24"/>
          <w:lang w:val="hy-AM" w:eastAsia="en-US"/>
        </w:rPr>
        <w:t>.</w:t>
      </w:r>
      <w:r w:rsidRPr="00A83C94">
        <w:rPr>
          <w:sz w:val="24"/>
          <w:lang w:val="hy-AM" w:eastAsia="en-US"/>
        </w:rPr>
        <w:t>2</w:t>
      </w:r>
      <w:r w:rsidRPr="00A83C94">
        <w:rPr>
          <w:rFonts w:cs="Cambria Math"/>
          <w:sz w:val="24"/>
          <w:lang w:val="hy-AM" w:eastAsia="en-US"/>
        </w:rPr>
        <w:t>.</w:t>
      </w:r>
      <w:r w:rsidRPr="00A83C94">
        <w:rPr>
          <w:sz w:val="24"/>
          <w:lang w:val="hy-AM" w:eastAsia="en-US"/>
        </w:rPr>
        <w:t xml:space="preserve"> ՀԱՐԿԱԲՅՈՒՋԵՏԱՅԻՆ ՔԱՂԱՔԱԿԱՆՈՒԹՅԱՆ ՄԻՏՈՒՄՆԵՐԸ ԵՎ ԿԱՆԽԱՏԵՍՈՒՄՆԵՐԸ</w:t>
      </w:r>
      <w:bookmarkEnd w:id="65"/>
      <w:bookmarkEnd w:id="66"/>
      <w:bookmarkEnd w:id="67"/>
      <w:bookmarkEnd w:id="68"/>
      <w:bookmarkEnd w:id="69"/>
      <w:bookmarkEnd w:id="70"/>
    </w:p>
    <w:p w14:paraId="6CBF43BE" w14:textId="77777777" w:rsidR="00027FBF" w:rsidRPr="00A83C94" w:rsidRDefault="00027FBF" w:rsidP="00027FBF">
      <w:pPr>
        <w:spacing w:before="0" w:after="120" w:line="276" w:lineRule="auto"/>
        <w:ind w:firstLine="0"/>
        <w:contextualSpacing w:val="0"/>
        <w:rPr>
          <w:rFonts w:eastAsia="Calibri" w:cs="Arial"/>
          <w:bCs/>
          <w:szCs w:val="22"/>
          <w:u w:val="single"/>
          <w:lang w:val="hy-AM" w:eastAsia="en-US"/>
        </w:rPr>
      </w:pPr>
      <w:r w:rsidRPr="00A83C94">
        <w:rPr>
          <w:rFonts w:eastAsia="Calibri" w:cs="Arial"/>
          <w:bCs/>
          <w:szCs w:val="22"/>
          <w:u w:val="single"/>
          <w:lang w:val="hy-AM" w:eastAsia="en-US"/>
        </w:rPr>
        <w:t>2020 թվականի զարգացումները</w:t>
      </w:r>
    </w:p>
    <w:p w14:paraId="0096CBE2" w14:textId="77777777" w:rsidR="00027FBF" w:rsidRPr="00A83C94" w:rsidRDefault="00027FBF" w:rsidP="00027FBF">
      <w:pPr>
        <w:tabs>
          <w:tab w:val="num" w:pos="720"/>
        </w:tabs>
        <w:spacing w:before="0" w:line="240" w:lineRule="auto"/>
        <w:contextualSpacing w:val="0"/>
        <w:rPr>
          <w:rFonts w:eastAsia="Calibri" w:cs="Sylfaen"/>
          <w:bCs/>
          <w:szCs w:val="22"/>
          <w:lang w:val="hy-AM" w:eastAsia="en-US"/>
        </w:rPr>
      </w:pPr>
      <w:r w:rsidRPr="00A83C94">
        <w:rPr>
          <w:rFonts w:eastAsia="Calibri" w:cs="Sylfaen"/>
          <w:bCs/>
          <w:szCs w:val="22"/>
          <w:lang w:val="hy-AM" w:eastAsia="en-US"/>
        </w:rPr>
        <w:t xml:space="preserve">2020 թվականին COVID-19 համավարակի տարածման հետևանքով տնտեսական անկման պայմաններում հարկաբյուջետային քաղաքականության ազդեցությունը տնտեսության վրա եղել է էական խթանող: </w:t>
      </w:r>
    </w:p>
    <w:p w14:paraId="34185A52" w14:textId="77777777" w:rsidR="00027FBF" w:rsidRPr="00A83C94" w:rsidRDefault="00027FBF" w:rsidP="00027FBF">
      <w:pPr>
        <w:tabs>
          <w:tab w:val="num" w:pos="720"/>
        </w:tabs>
        <w:spacing w:before="0" w:after="160" w:line="240" w:lineRule="auto"/>
        <w:contextualSpacing w:val="0"/>
        <w:rPr>
          <w:rFonts w:eastAsia="Calibri"/>
          <w:b w:val="0"/>
          <w:szCs w:val="22"/>
          <w:lang w:val="hy-AM" w:eastAsia="en-US"/>
        </w:rPr>
      </w:pPr>
      <w:r w:rsidRPr="00A83C94">
        <w:rPr>
          <w:rFonts w:eastAsia="Calibri" w:cs="GHEA Grapalat"/>
          <w:b w:val="0"/>
          <w:szCs w:val="22"/>
          <w:lang w:val="hy-AM" w:eastAsia="en-US"/>
        </w:rPr>
        <w:t xml:space="preserve">2020 թվականին ՀՀ </w:t>
      </w:r>
      <w:r w:rsidRPr="00A83C94">
        <w:rPr>
          <w:rFonts w:eastAsia="Calibri"/>
          <w:b w:val="0"/>
          <w:szCs w:val="22"/>
          <w:lang w:val="hy-AM" w:eastAsia="en-US"/>
        </w:rPr>
        <w:t>պետական</w:t>
      </w:r>
      <w:r w:rsidRPr="00A83C94">
        <w:rPr>
          <w:rFonts w:eastAsia="Calibri" w:cs="GHEA Grapalat"/>
          <w:b w:val="0"/>
          <w:szCs w:val="22"/>
          <w:lang w:val="hy-AM" w:eastAsia="en-US"/>
        </w:rPr>
        <w:t xml:space="preserve"> բյուջեի ընդհանուր եկամուտները կազմել են ՀՆԱ-ի 25.2%</w:t>
      </w:r>
      <w:r w:rsidRPr="00A83C94">
        <w:rPr>
          <w:rFonts w:eastAsia="Calibri" w:cs="GHEA Grapalat"/>
          <w:b w:val="0"/>
          <w:szCs w:val="22"/>
          <w:lang w:val="hy-AM" w:eastAsia="en-US"/>
        </w:rPr>
        <w:noBreakHyphen/>
        <w:t>ը՝ նախորդ տարվա 23.9%-ի դիմաց, իսկ հարկեր և տուրքերը՝ ՀՆԱ-ի 22.4%-ը՝ նախորդ տարվա նկատմամբ լինելով անփոփոխ: 2020 թվականին նախորդ տարվա համեմատ այլ  եկամուտները ՀՆԱ-ի նկատմամբ բարելավվել են 0.6 տոկոսային կետով, որը հիմնականում պայմանավորված է</w:t>
      </w:r>
      <w:r w:rsidRPr="00A83C94" w:rsidDel="00B0558D">
        <w:rPr>
          <w:rFonts w:eastAsia="Calibri" w:cs="GHEA Grapalat"/>
          <w:b w:val="0"/>
          <w:szCs w:val="22"/>
          <w:lang w:val="hy-AM" w:eastAsia="en-US"/>
        </w:rPr>
        <w:t xml:space="preserve"> </w:t>
      </w:r>
      <w:r w:rsidRPr="00A83C94">
        <w:rPr>
          <w:rFonts w:eastAsia="Calibri" w:cs="GHEA Grapalat"/>
          <w:b w:val="0"/>
          <w:szCs w:val="22"/>
          <w:lang w:val="hy-AM" w:eastAsia="en-US"/>
        </w:rPr>
        <w:t xml:space="preserve">«Հայաստան» համահայկական հիմնադրամից պետական բյուջե մուտքագրված միջոցներով, իսկ պաշտոնական դրամաշնորհները նախորդ տարվա համեմատ բարելավվել են 0.7 տոկոսային կետով` պայմանավորված համավարակի պայմաններում դոնորներից ստացված դրամաշնորհներով: Արդյունքում 2020 թվականին ՀՀ պետական բյուջեի ընդհանուր եկամուտները նախորդ տարվա համեմատ նվազել են 0.3%-ով և կազմել 1560.7 մլրդ դրամ, իսկ հարկեր և տուրքերը նախորդ տարվա համեմատն նվազել են 5.4%-ով և կազմել 1385.2 մլրդ դրամ: </w:t>
      </w:r>
    </w:p>
    <w:p w14:paraId="254DBEA1" w14:textId="77777777" w:rsidR="00027FBF" w:rsidRPr="00A83C94" w:rsidRDefault="00027FBF" w:rsidP="00027FBF">
      <w:pPr>
        <w:tabs>
          <w:tab w:val="num" w:pos="720"/>
        </w:tabs>
        <w:spacing w:before="0" w:after="160" w:line="240" w:lineRule="auto"/>
        <w:contextualSpacing w:val="0"/>
        <w:rPr>
          <w:rFonts w:eastAsia="Calibri" w:cs="GHEA Grapalat"/>
          <w:b w:val="0"/>
          <w:szCs w:val="22"/>
          <w:lang w:val="hy-AM" w:eastAsia="en-US"/>
        </w:rPr>
      </w:pPr>
      <w:r w:rsidRPr="00A83C94">
        <w:rPr>
          <w:rFonts w:eastAsia="Calibri" w:cs="GHEA Grapalat"/>
          <w:b w:val="0"/>
          <w:szCs w:val="22"/>
          <w:lang w:val="hy-AM" w:eastAsia="en-US"/>
        </w:rPr>
        <w:t xml:space="preserve">2020 թվականին արձանագրվել է պետական բյուջեի ծախսերի աճ՝ պայմանավորված պետական բյուջեով նախատեսված, ինչպես նաև հակաճգնաժամային միջոցառումների և ռազմական գործողությունների հետևանքով ծագած լրացուցիչ ծախսերի կարիքով: Պետական բյուջեի ծախսերի կշիռը ՀՆԱ-ում </w:t>
      </w:r>
      <w:r w:rsidRPr="00A83C94">
        <w:rPr>
          <w:rFonts w:eastAsia="Calibri"/>
          <w:b w:val="0"/>
          <w:szCs w:val="22"/>
          <w:lang w:val="hy-AM" w:eastAsia="en-US"/>
        </w:rPr>
        <w:t>2020</w:t>
      </w:r>
      <w:r w:rsidRPr="00A83C94">
        <w:rPr>
          <w:rFonts w:eastAsia="Calibri" w:cs="GHEA Grapalat"/>
          <w:b w:val="0"/>
          <w:szCs w:val="22"/>
          <w:lang w:val="hy-AM" w:eastAsia="en-US"/>
        </w:rPr>
        <w:t xml:space="preserve"> թվականին աճել է 5.7 տոկոսային կետով՝ կազմելով 30.6%, որում ընթացիկ ծախսերի կշիռն աճել է 5.0 տոկոսային կետով՝ կազմելով 27.0%, որն իր մեջ ներառում է կորոնավիրուսի տարածմամբ պայմանավորված հակաճգնաժամային ծրագրերի սոցիալական և տնտեսական միջոցառումների իրականացումը, </w:t>
      </w:r>
      <w:r w:rsidRPr="00A83C94">
        <w:rPr>
          <w:rFonts w:eastAsia="Calibri"/>
          <w:b w:val="0"/>
          <w:szCs w:val="22"/>
          <w:lang w:val="hy-AM" w:eastAsia="en-US"/>
        </w:rPr>
        <w:t>առողջապահական</w:t>
      </w:r>
      <w:r w:rsidRPr="00A83C94">
        <w:rPr>
          <w:rFonts w:eastAsia="Calibri" w:cs="GHEA Grapalat"/>
          <w:b w:val="0"/>
          <w:szCs w:val="22"/>
          <w:lang w:val="hy-AM" w:eastAsia="en-US"/>
        </w:rPr>
        <w:t xml:space="preserve"> ծախսերի աճը, պատերազմական իրավիճակով պայմանավորված ծախսերը: Ոչ ֆինանսական ակտիվների հետ գործառնությունների կշիռն ՀՆԱ-ի նկատմամբ 2020թ. աճել է 0.7 տոկոսային կետով՝ կազմելով 3.7% (որից 0.9 տոկոսային կետը Արցախյան պատերազմով պայմանավորված ռազմական լրացուցիչ ծախսերն են): </w:t>
      </w:r>
    </w:p>
    <w:p w14:paraId="3296E65E" w14:textId="77777777" w:rsidR="00027FBF" w:rsidRPr="00A83C94" w:rsidRDefault="00027FBF" w:rsidP="00027FBF">
      <w:pPr>
        <w:tabs>
          <w:tab w:val="num" w:pos="720"/>
        </w:tabs>
        <w:spacing w:before="0" w:after="160" w:line="240" w:lineRule="auto"/>
        <w:contextualSpacing w:val="0"/>
        <w:rPr>
          <w:rFonts w:eastAsia="Calibri" w:cs="GHEA Grapalat"/>
          <w:b w:val="0"/>
          <w:szCs w:val="22"/>
          <w:lang w:val="hy-AM" w:eastAsia="en-US"/>
        </w:rPr>
      </w:pPr>
      <w:r w:rsidRPr="00A83C94">
        <w:rPr>
          <w:rFonts w:eastAsia="Calibri" w:cs="GHEA Grapalat"/>
          <w:b w:val="0"/>
          <w:szCs w:val="22"/>
          <w:lang w:val="hy-AM" w:eastAsia="en-US"/>
        </w:rPr>
        <w:t xml:space="preserve">2020 թվականին վերոնշյալ զարգացումների արդյունքում տեղի է ունեցել պետական բյուջեի պակասուրդի աճ, որը կազմել է շուրջ 334.0 մլրդ դրամ, կամ ՀՆԱ-ի 5.4%-ը՝ նախորդ տարվա համեմատ աճելով 4.4 տոկոսային կետով: ՀՆԱ անկումը, պետական բյուջեի պակասուրդի ավելացումը, ինչպես նաև ԱՄՆ դոլարի նկատմամբ ՀՀ դրամի արժեզրկումը հանգեցրել են ՀՀ կառավարության պարտքի բեռի ավելացմանը, որը կազմել է ՀՆԱ-ի 63.5%՝ նախորդ տարվա նկատմամբ աճելով 13.4 տոկոսային կետով և հատելով հարկաբյուջետային կանոններով </w:t>
      </w:r>
      <w:r w:rsidRPr="00A83C94">
        <w:rPr>
          <w:rFonts w:eastAsia="Calibri"/>
          <w:b w:val="0"/>
          <w:szCs w:val="22"/>
          <w:lang w:val="hy-AM" w:eastAsia="en-US"/>
        </w:rPr>
        <w:t>սահմանված</w:t>
      </w:r>
      <w:r w:rsidRPr="00A83C94">
        <w:rPr>
          <w:rFonts w:eastAsia="Calibri" w:cs="GHEA Grapalat"/>
          <w:b w:val="0"/>
          <w:szCs w:val="22"/>
          <w:lang w:val="hy-AM" w:eastAsia="en-US"/>
        </w:rPr>
        <w:t xml:space="preserve"> 60% սահմանային շեմը: Կառավարության պարտք/ՀՆԱ ցուցանիշի աճին ամենաշատը հավասարապես նպաստել են տնտեսական անկումը և փոխարժեքի արժեզրկումը՝ 3.9-ական տոկոսային կետ։ Առաջնային հաշվեկշռի նպաստումը կազմել է 2.7%-ային կետ, իսկ իրական տոկոսադրույքի դրական նպաստումը կազմել է 1.7%-ային կետ (տես՝ Գծապատկեր 2.5)։</w:t>
      </w:r>
    </w:p>
    <w:p w14:paraId="621064FF" w14:textId="77777777" w:rsidR="00027FBF" w:rsidRPr="00A83C94" w:rsidRDefault="00027FBF" w:rsidP="00027FBF">
      <w:pPr>
        <w:autoSpaceDE w:val="0"/>
        <w:autoSpaceDN w:val="0"/>
        <w:adjustRightInd w:val="0"/>
        <w:spacing w:before="0" w:after="160" w:line="240" w:lineRule="auto"/>
        <w:contextualSpacing w:val="0"/>
        <w:rPr>
          <w:rFonts w:eastAsia="Calibri" w:cs="GHEA Grapalat"/>
          <w:b w:val="0"/>
          <w:szCs w:val="22"/>
          <w:lang w:val="hy-AM" w:eastAsia="en-US"/>
        </w:rPr>
      </w:pPr>
      <w:r w:rsidRPr="00A83C94">
        <w:rPr>
          <w:rFonts w:eastAsia="Calibri" w:cs="Sylfaen"/>
          <w:szCs w:val="22"/>
          <w:lang w:val="hy-AM" w:eastAsia="en-US"/>
        </w:rPr>
        <w:t xml:space="preserve">Արդյունքում, </w:t>
      </w:r>
      <w:r w:rsidRPr="00A83C94">
        <w:rPr>
          <w:rFonts w:eastAsia="Calibri" w:cs="GHEA Grapalat"/>
          <w:bCs/>
          <w:szCs w:val="22"/>
          <w:lang w:val="hy-AM" w:eastAsia="en-US"/>
        </w:rPr>
        <w:t>2020 թվականի ընթացքում COVID-19 համավարակի տարածման հետևանքով տնտեսական անկման պայմաններում հարկաբյուջետային քաղաքականության ազդեցությունն ամբողջական պահանջարկի վրա գնահատվում է էական խթանող:</w:t>
      </w:r>
      <w:r w:rsidRPr="00A83C94">
        <w:rPr>
          <w:rFonts w:eastAsia="Calibri" w:cs="GHEA Grapalat"/>
          <w:b w:val="0"/>
          <w:szCs w:val="22"/>
          <w:lang w:val="hy-AM" w:eastAsia="en-US"/>
        </w:rPr>
        <w:t xml:space="preserve"> Համախառն պահանջարկի վրա հարկաբյուջետային քաղաքականությունը 2020 թվականին նախորդ տարվա նկատմամբ ունեցել է 5.0 ընդլայնող ազդեցություն` պայմանավորված եկամուտների (0.5) և ծախսերի ընդլայնող (4.5) ազդեցություններով: Ընդ որում, </w:t>
      </w:r>
      <w:r w:rsidRPr="00A83C94">
        <w:rPr>
          <w:rFonts w:eastAsia="Calibri" w:cs="GHEA Grapalat"/>
          <w:b w:val="0"/>
          <w:szCs w:val="22"/>
          <w:lang w:val="hy-AM" w:eastAsia="en-US"/>
        </w:rPr>
        <w:lastRenderedPageBreak/>
        <w:t>հարկաբյուջետային ազդակն էապես մեծ է ինչպես նախորդ տարվա չեզոք, այնպես էլ պետական բյուջեով ծրագրված 2.2 խթանող ազդակի համեմատ:</w:t>
      </w:r>
    </w:p>
    <w:p w14:paraId="29FF7FB7" w14:textId="77777777" w:rsidR="00027FBF" w:rsidRPr="00A83C94" w:rsidRDefault="00027FBF" w:rsidP="00027FBF">
      <w:pPr>
        <w:autoSpaceDE w:val="0"/>
        <w:autoSpaceDN w:val="0"/>
        <w:adjustRightInd w:val="0"/>
        <w:spacing w:before="0" w:after="160" w:line="240" w:lineRule="auto"/>
        <w:contextualSpacing w:val="0"/>
        <w:rPr>
          <w:rFonts w:eastAsia="Calibri" w:cs="GHEA Grapalat"/>
          <w:b w:val="0"/>
          <w:szCs w:val="22"/>
          <w:lang w:val="hy-AM" w:eastAsia="en-US"/>
        </w:rPr>
      </w:pPr>
      <w:r w:rsidRPr="00A83C94">
        <w:rPr>
          <w:rFonts w:eastAsia="Calibri" w:cs="GHEA Grapalat"/>
          <w:szCs w:val="22"/>
          <w:lang w:val="hy-AM" w:eastAsia="en-US"/>
        </w:rPr>
        <w:t>Հարկաբյուջետային կանոններ:</w:t>
      </w:r>
      <w:r w:rsidRPr="00A83C94">
        <w:rPr>
          <w:rFonts w:eastAsia="Calibri" w:cs="GHEA Grapalat"/>
          <w:b w:val="0"/>
          <w:szCs w:val="22"/>
          <w:lang w:val="hy-AM" w:eastAsia="en-US"/>
        </w:rPr>
        <w:t xml:space="preserve"> Համավարակի հետևանքով առաջացած իրավիճակը և Արցախյան պատերազմը համարելով բացառիկ դեպք (ինչն արտացոլվել է «Հայաստանի Հանրապետության 2020 թվականի պետական բյուջեի մասին օրենքում փոփոխություններ և լրացումներ կատարելու մասին» ՀՀ օրենքների նախագծերին հավանություն տալու վերաբերյալ կառավարության՝ 2020թ. ապրիլի 23-ի (587-Ա) և սեպտեմբերի 29</w:t>
      </w:r>
      <w:r w:rsidRPr="00A83C94">
        <w:rPr>
          <w:rFonts w:eastAsia="Calibri" w:cs="GHEA Grapalat"/>
          <w:b w:val="0"/>
          <w:szCs w:val="22"/>
          <w:lang w:val="hy-AM" w:eastAsia="en-US"/>
        </w:rPr>
        <w:noBreakHyphen/>
        <w:t>ի (N 1600-Ա) որոշումներում), հարկաբյուջետային կանոնների համակարգին համահունչ («Հայաստանի Հանրապետության բյուջետային համակարգի մասին» ՀՀ օրենքի 21-րդ հոդվածի 8.3 կետին համապատասխան) 2020 թվականին հնարավոր է եղել շեղվել պարտքի և ծախսերի բնականոն իրավիճակի համար գործող տրամաբանությունից. բյուջեի պակասուրդը եղել է ավելի մեծ, քան կապիտալ ծախսերն են, իսկ ընթացիկ առաջնային ծախսերի աճը գերազանցել է նախորդ 7 տարիների անվանական ՀՆԱ</w:t>
      </w:r>
      <w:r w:rsidRPr="00A83C94">
        <w:rPr>
          <w:rFonts w:eastAsia="Calibri" w:cs="GHEA Grapalat"/>
          <w:b w:val="0"/>
          <w:szCs w:val="22"/>
          <w:lang w:val="hy-AM" w:eastAsia="en-US"/>
        </w:rPr>
        <w:noBreakHyphen/>
        <w:t>ի աճի միջին տեմպը:</w:t>
      </w:r>
    </w:p>
    <w:p w14:paraId="49D34F05" w14:textId="77777777" w:rsidR="00027FBF" w:rsidRPr="00A83C94" w:rsidRDefault="00027FBF" w:rsidP="00027FBF">
      <w:pPr>
        <w:spacing w:before="0" w:after="120" w:line="276" w:lineRule="auto"/>
        <w:ind w:firstLine="0"/>
        <w:contextualSpacing w:val="0"/>
        <w:rPr>
          <w:rFonts w:eastAsia="Calibri" w:cs="Arial"/>
          <w:bCs/>
          <w:szCs w:val="22"/>
          <w:u w:val="single"/>
          <w:lang w:val="hy-AM" w:eastAsia="en-US"/>
        </w:rPr>
      </w:pPr>
      <w:r w:rsidRPr="00A83C94">
        <w:rPr>
          <w:rFonts w:eastAsia="Calibri" w:cs="Arial"/>
          <w:bCs/>
          <w:szCs w:val="22"/>
          <w:u w:val="single"/>
          <w:lang w:val="hy-AM" w:eastAsia="en-US"/>
        </w:rPr>
        <w:t>2021թ. ընթացիկ զարգացումներ</w:t>
      </w:r>
    </w:p>
    <w:p w14:paraId="4A8B4DDB" w14:textId="77777777" w:rsidR="00027FBF" w:rsidRPr="00A83C94" w:rsidRDefault="00027FBF" w:rsidP="00027FBF">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szCs w:val="22"/>
          <w:lang w:val="hy-AM" w:eastAsia="en-US"/>
        </w:rPr>
        <w:t>2021 թվականի առաջին ութ ամիսներին հարկաբյուջետային քաղաքականության նպատակն է եղել ապահովել հարկաբյուջետային կայունությունը՝ միաժամանակ աջակցելով տնտեսական վերականգնմանը և աճի տիրույթ վերադարձին</w:t>
      </w:r>
      <w:r w:rsidRPr="00A83C94">
        <w:rPr>
          <w:rFonts w:eastAsia="Calibri"/>
          <w:b w:val="0"/>
          <w:szCs w:val="22"/>
          <w:lang w:val="hy-AM" w:eastAsia="en-US"/>
        </w:rPr>
        <w:t>: Այս նպատակների իրականացման համար հարկաբյուջետային քաղաքականությունն առաջին եռամսյակում եղել է խթանող, այնուհետև աստիճանաբար թուլացել է խթանման չափը՝ առաջին կիսամյակի արդյունքներով լինելով զսպող՝ պայմանավորված ծախսերի թերակատարմամբ:</w:t>
      </w:r>
    </w:p>
    <w:p w14:paraId="5D3698A2" w14:textId="77777777" w:rsidR="00027FBF" w:rsidRPr="00A83C94" w:rsidRDefault="00027FBF" w:rsidP="00027FBF">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i/>
          <w:szCs w:val="22"/>
          <w:lang w:val="hy-AM" w:eastAsia="en-US"/>
        </w:rPr>
        <w:t>Պետական բյուջեի եկամուտները:</w:t>
      </w:r>
      <w:r w:rsidRPr="00A83C94">
        <w:rPr>
          <w:rFonts w:eastAsia="Calibri"/>
          <w:b w:val="0"/>
          <w:szCs w:val="22"/>
          <w:lang w:val="hy-AM" w:eastAsia="en-US"/>
        </w:rPr>
        <w:t xml:space="preserve"> Համավարակի և Արցախյան պատերազմի հետևանքով առաջացած տնտեսական ճգնաժամն իր բացասական ազդեցությունը շարունակել է ունենալ առաջին եռամյսակի պետական բյուջեի եկամուտների վրա, սակայն երկրորդ եռամսյակից սկսած տնտեսության վերականգնմանը զուգահեռ հարկային եկամուտներն ունեցել են աճի արագացման միտում: 2021 թվականի առաջին ութ ամիսների արդյունքներով ՀՀ պետական բյուջեի ընդհանուր եկամուտները կազմել են 1040.6 մլրդ դրամ՝ նախորդ տարվա նույն ժամանակահատվածի համեմատ աճելով 11.0%-ով, իսկ հարկերը և տուրքերը կազմել են 983.9 մլրդ դրամ՝ նախորդ տարվա նույն ժամանակահատվածի համեմատ աճելով 10.9%-ով: </w:t>
      </w:r>
    </w:p>
    <w:p w14:paraId="128A6309" w14:textId="77777777" w:rsidR="00027FBF" w:rsidRPr="00A83C94" w:rsidRDefault="00027FBF" w:rsidP="00027FBF">
      <w:pPr>
        <w:keepNext/>
        <w:keepLines/>
        <w:tabs>
          <w:tab w:val="left" w:pos="2160"/>
          <w:tab w:val="left" w:pos="2552"/>
        </w:tabs>
        <w:autoSpaceDE w:val="0"/>
        <w:autoSpaceDN w:val="0"/>
        <w:adjustRightInd w:val="0"/>
        <w:spacing w:before="0" w:line="240" w:lineRule="auto"/>
        <w:ind w:left="360" w:firstLine="0"/>
        <w:contextualSpacing w:val="0"/>
        <w:jc w:val="center"/>
        <w:rPr>
          <w:rFonts w:eastAsia="GHEA Grapalat" w:cs="GHEA Grapalat"/>
          <w:b w:val="0"/>
          <w:noProof/>
          <w:szCs w:val="22"/>
          <w:lang w:val="hy-AM" w:eastAsia="en-US"/>
        </w:rPr>
      </w:pPr>
      <w:r w:rsidRPr="00A83C94">
        <w:rPr>
          <w:rFonts w:eastAsia="Calibri" w:cs="Arial"/>
          <w:bCs/>
          <w:i/>
          <w:iCs/>
          <w:noProof/>
          <w:sz w:val="21"/>
          <w:szCs w:val="21"/>
          <w:lang w:val="hy-AM" w:eastAsia="en-US"/>
        </w:rPr>
        <w:t xml:space="preserve">Գծապատկեր 2.1 </w:t>
      </w:r>
      <w:r w:rsidRPr="00A83C94">
        <w:rPr>
          <w:rFonts w:eastAsia="GHEA Grapalat" w:cs="GHEA Grapalat"/>
          <w:noProof/>
          <w:szCs w:val="22"/>
          <w:lang w:val="hy-AM" w:eastAsia="en-US"/>
        </w:rPr>
        <w:t xml:space="preserve"> </w:t>
      </w:r>
      <w:r w:rsidRPr="00A83C94">
        <w:rPr>
          <w:rFonts w:eastAsia="GHEA Grapalat" w:cs="GHEA Grapalat"/>
          <w:b w:val="0"/>
          <w:noProof/>
          <w:szCs w:val="22"/>
          <w:lang w:val="hy-AM" w:eastAsia="en-US"/>
        </w:rPr>
        <w:t>Պետական բյուջեի հարկային եկամուտները 2020-2021 թվականներին ըստ ամիսների</w:t>
      </w:r>
    </w:p>
    <w:p w14:paraId="6205FE20" w14:textId="77777777" w:rsidR="00027FBF" w:rsidRPr="00A83C94" w:rsidRDefault="00027FBF" w:rsidP="00027FBF">
      <w:pPr>
        <w:keepNext/>
        <w:keepLines/>
        <w:tabs>
          <w:tab w:val="left" w:pos="2160"/>
          <w:tab w:val="left" w:pos="2552"/>
        </w:tabs>
        <w:autoSpaceDE w:val="0"/>
        <w:autoSpaceDN w:val="0"/>
        <w:adjustRightInd w:val="0"/>
        <w:spacing w:before="0" w:line="240" w:lineRule="auto"/>
        <w:ind w:left="360" w:hanging="360"/>
        <w:contextualSpacing w:val="0"/>
        <w:jc w:val="center"/>
        <w:rPr>
          <w:rFonts w:eastAsia="GHEA Grapalat" w:cs="GHEA Grapalat"/>
          <w:b w:val="0"/>
          <w:noProof/>
          <w:szCs w:val="22"/>
          <w:lang w:val="en-US" w:eastAsia="en-US"/>
        </w:rPr>
      </w:pPr>
      <w:r w:rsidRPr="00A83C94">
        <w:rPr>
          <w:rFonts w:eastAsia="GHEA Grapalat" w:cs="GHEA Grapalat"/>
          <w:b w:val="0"/>
          <w:noProof/>
          <w:szCs w:val="22"/>
          <w:lang w:val="en-US" w:eastAsia="en-US"/>
        </w:rPr>
        <w:drawing>
          <wp:inline distT="0" distB="0" distL="0" distR="0" wp14:anchorId="02AC3EEF" wp14:editId="24F7189D">
            <wp:extent cx="5673488" cy="2647950"/>
            <wp:effectExtent l="57150" t="0" r="60960" b="11430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AF2F1C3" w14:textId="77777777" w:rsidR="00027FBF" w:rsidRPr="00A83C94" w:rsidRDefault="00027FBF" w:rsidP="0002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18"/>
          <w:szCs w:val="18"/>
          <w:lang w:val="hy-AM" w:eastAsia="en-US"/>
        </w:rPr>
      </w:pPr>
      <w:r w:rsidRPr="00A83C94">
        <w:rPr>
          <w:rFonts w:eastAsia="Calibri" w:cs="Arial"/>
          <w:b w:val="0"/>
          <w:bCs/>
          <w:i/>
          <w:iCs/>
          <w:sz w:val="18"/>
          <w:szCs w:val="18"/>
          <w:lang w:val="hy-AM" w:eastAsia="en-US"/>
        </w:rPr>
        <w:t>Աղբյուրը՝ ՀՀ ՖՆ</w:t>
      </w:r>
    </w:p>
    <w:p w14:paraId="75317B09" w14:textId="77777777" w:rsidR="00027FBF" w:rsidRPr="00A83C94" w:rsidRDefault="00027FBF" w:rsidP="00027FBF">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i/>
          <w:szCs w:val="22"/>
          <w:lang w:val="hy-AM" w:eastAsia="en-US"/>
        </w:rPr>
        <w:lastRenderedPageBreak/>
        <w:t>Պետական բյուջեի ծախսերը:</w:t>
      </w:r>
      <w:r w:rsidRPr="00A83C94">
        <w:rPr>
          <w:rFonts w:eastAsia="Calibri"/>
          <w:b w:val="0"/>
          <w:szCs w:val="22"/>
          <w:lang w:val="hy-AM" w:eastAsia="en-US"/>
        </w:rPr>
        <w:t xml:space="preserve"> 2021 թվականի հունվար-օգոստոս ամիսներին արձանագրվել է պետական բյուջեի ծախսերի աճ՝ պայմանավորված պետական բյուջեով նախատեսված, ինչպես նաև կորոնավիրուսի սոցիալ-տնտեսական հետևանքների չեզոքացմանն ուղղված հակաճգնաժամային միջոցառումների և Արցախյան պատերազմի հետևանքով ծագած լրացուցիչ ծախսերի իրականացմամբ: Պետական բյուջեի ծախսերը նշված ժամանակահատվածում կազմել են 1184.1 մլրդ դրամ՝ նախորդ տարվա նույն ժամանակահատվածի համեմատ աճելով 10.4%-ով: Ընդ որում, ընթացիկ ծախսերը կազմել են 1080.5 մլրդ դրամ` նախորդ տարվա նույն ժամանակահատվածի համեմատ աճելով 8.8%</w:t>
      </w:r>
      <w:r w:rsidRPr="00A83C94">
        <w:rPr>
          <w:rFonts w:eastAsia="Calibri"/>
          <w:b w:val="0"/>
          <w:szCs w:val="22"/>
          <w:lang w:val="hy-AM" w:eastAsia="en-US"/>
        </w:rPr>
        <w:noBreakHyphen/>
        <w:t xml:space="preserve">ով, որն իր մեջ ներառում է Արցախյան պատերազմի հետևանքների մեղմմանն ուղղված ծախսերը, կորոնավիրուսի տարածմամբ պայմանավորված հակաճգնաժամային ծրագրերի տնտեսական միջոցառումների իրականացումը և առողջապահությանն ուղղված լրացուցիչ ծախսերը: </w:t>
      </w:r>
    </w:p>
    <w:p w14:paraId="064A0721" w14:textId="77777777" w:rsidR="00027FBF" w:rsidRPr="00A83C94" w:rsidRDefault="00027FBF" w:rsidP="00027FBF">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b w:val="0"/>
          <w:szCs w:val="22"/>
          <w:lang w:val="hy-AM" w:eastAsia="en-US"/>
        </w:rPr>
        <w:t>Ոչ ֆինանսական ակտիվների հետ գործառնությունները 2021 թվականի հունվար-օգոստոս ամիսներին կազմել են 103.6 մլրդ դրամ, որում ոչ ֆինանսական ակտիվների գծով ծախսերը (կապիտալ ծախսեր) կազմել են 104.5 մլրդ դրամ` նախորդ տարվա նույն ժամանակահատվածի նկատմամբ աճելով 29.8%</w:t>
      </w:r>
      <w:r w:rsidRPr="00A83C94">
        <w:rPr>
          <w:rFonts w:eastAsia="Calibri"/>
          <w:b w:val="0"/>
          <w:szCs w:val="22"/>
          <w:lang w:val="hy-AM" w:eastAsia="en-US"/>
        </w:rPr>
        <w:noBreakHyphen/>
        <w:t xml:space="preserve">ով, որը հիմնականում պայմանավորված է պաշտպանությանն ուղղված ծախսերի աճով, որն էլ իր հերթին եռամսյակային վերաբաշխման արդյունք է: </w:t>
      </w:r>
    </w:p>
    <w:p w14:paraId="61001E08" w14:textId="77777777" w:rsidR="00027FBF" w:rsidRPr="00A83C94" w:rsidRDefault="00027FBF" w:rsidP="00027FBF">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i/>
          <w:szCs w:val="22"/>
          <w:lang w:val="hy-AM" w:eastAsia="en-US"/>
        </w:rPr>
        <w:t>Պետական բյուջեի պակասուրդը:</w:t>
      </w:r>
      <w:r w:rsidRPr="00A83C94">
        <w:rPr>
          <w:rFonts w:eastAsia="Calibri"/>
          <w:b w:val="0"/>
          <w:szCs w:val="22"/>
          <w:lang w:val="hy-AM" w:eastAsia="en-US"/>
        </w:rPr>
        <w:t xml:space="preserve"> Վերոնշյալ զարգացումների արդյունքում պետական բյուջեն եղել է պակասուրդային: 2021 թվականի առաջին ութ ամիսների ընթացքում ձևավորվել է պետական բյուջեի 143.5 մլրդ դրամ պակասուրդ՝ նախորդ տարվա նույն ժամանակահատվածի 135.3</w:t>
      </w:r>
      <w:r w:rsidRPr="00A83C94">
        <w:rPr>
          <w:rFonts w:ascii="Calibri" w:eastAsia="Calibri" w:hAnsi="Calibri" w:cs="Calibri"/>
          <w:b w:val="0"/>
          <w:szCs w:val="22"/>
          <w:lang w:val="hy-AM" w:eastAsia="en-US"/>
        </w:rPr>
        <w:t> </w:t>
      </w:r>
      <w:r w:rsidRPr="00A83C94">
        <w:rPr>
          <w:rFonts w:eastAsia="Calibri"/>
          <w:b w:val="0"/>
          <w:szCs w:val="22"/>
          <w:lang w:val="hy-AM" w:eastAsia="en-US"/>
        </w:rPr>
        <w:t xml:space="preserve">մլրդ դրամի դիմաց: </w:t>
      </w:r>
    </w:p>
    <w:p w14:paraId="5C8CF6B7" w14:textId="77777777" w:rsidR="00027FBF" w:rsidRPr="00A83C94" w:rsidRDefault="00027FBF" w:rsidP="00027FBF">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i/>
          <w:szCs w:val="22"/>
          <w:lang w:val="hy-AM" w:eastAsia="en-US"/>
        </w:rPr>
        <w:t>Հարկաբյուջետային ազդակը:</w:t>
      </w:r>
      <w:r w:rsidRPr="00A83C94">
        <w:rPr>
          <w:rFonts w:eastAsia="Calibri"/>
          <w:b w:val="0"/>
          <w:szCs w:val="22"/>
          <w:lang w:val="hy-AM" w:eastAsia="en-US"/>
        </w:rPr>
        <w:t xml:space="preserve"> 2021 թվականի առաջին կիսամյակի ընթացքում տնտեսության վերականգնման և թույլ պահանջարկի պայմաններում հարկաբյուջետային քաղաքականության ազդեցությունն ամբողջական պահանջարկի վրա գնահատվում է զսպող: </w:t>
      </w:r>
    </w:p>
    <w:p w14:paraId="26E1B435" w14:textId="77777777" w:rsidR="00027FBF" w:rsidRPr="00A83C94" w:rsidRDefault="00027FBF" w:rsidP="00027FBF">
      <w:pPr>
        <w:spacing w:before="0" w:after="120" w:line="276" w:lineRule="auto"/>
        <w:ind w:firstLine="0"/>
        <w:contextualSpacing w:val="0"/>
        <w:rPr>
          <w:rFonts w:eastAsia="Calibri" w:cs="Arial"/>
          <w:bCs/>
          <w:szCs w:val="22"/>
          <w:u w:val="single"/>
          <w:lang w:val="hy-AM" w:eastAsia="en-US"/>
        </w:rPr>
      </w:pPr>
      <w:r w:rsidRPr="00A83C94">
        <w:rPr>
          <w:rFonts w:eastAsia="Calibri" w:cs="Arial"/>
          <w:bCs/>
          <w:szCs w:val="22"/>
          <w:u w:val="single"/>
          <w:lang w:val="hy-AM" w:eastAsia="en-US"/>
        </w:rPr>
        <w:t xml:space="preserve">Կարճաժամկետ կանխատեսումներ </w:t>
      </w:r>
    </w:p>
    <w:p w14:paraId="3BCB140B" w14:textId="77777777" w:rsidR="00027FBF" w:rsidRPr="00A83C94" w:rsidRDefault="00027FBF" w:rsidP="00027FBF">
      <w:pPr>
        <w:spacing w:before="0" w:after="160" w:line="276" w:lineRule="auto"/>
        <w:ind w:firstLine="630"/>
        <w:contextualSpacing w:val="0"/>
        <w:rPr>
          <w:rFonts w:eastAsia="Calibri" w:cs="GHEA Grapalat"/>
          <w:b w:val="0"/>
          <w:szCs w:val="22"/>
          <w:lang w:val="hy-AM" w:eastAsia="en-US"/>
        </w:rPr>
      </w:pPr>
      <w:r w:rsidRPr="00A83C94">
        <w:rPr>
          <w:rFonts w:eastAsia="Calibri" w:cs="GHEA Grapalat"/>
          <w:bCs/>
          <w:szCs w:val="22"/>
          <w:lang w:val="hy-AM" w:eastAsia="en-US"/>
        </w:rPr>
        <w:t>Հարկաբյուջետային և պարտքային կայուն միջավայր ձևավորելու անհրաժեշտությունից ելնելով՝ 2021 թվականին մեկնարկել է հարկաբյուջետային կոնսոլիդացիան, ինչի պայմաններում հարկաբյուջետային քաղաքականության ազդեցությունը կլինի զսպող:</w:t>
      </w:r>
      <w:r w:rsidRPr="00A83C94">
        <w:rPr>
          <w:rFonts w:eastAsia="Calibri" w:cs="GHEA Grapalat"/>
          <w:b w:val="0"/>
          <w:szCs w:val="22"/>
          <w:lang w:val="hy-AM" w:eastAsia="en-US"/>
        </w:rPr>
        <w:t xml:space="preserve"> 2021թ.</w:t>
      </w:r>
      <w:r w:rsidRPr="00A83C94">
        <w:rPr>
          <w:rFonts w:eastAsia="Calibri" w:cs="GHEA Grapalat"/>
          <w:b w:val="0"/>
          <w:szCs w:val="22"/>
          <w:lang w:val="hy-AM" w:eastAsia="en-US"/>
        </w:rPr>
        <w:noBreakHyphen/>
        <w:t>ին, հաշվի առնելով նախորդ տարվա բացասական իրադարձությունների հետևանքները, ևս մեկ տարի օգտագործվել են հարկաբյուջետային կանոնների համակարգով նախատեսված բացառիկ դեպքի կարգավորումները</w:t>
      </w:r>
      <w:r w:rsidRPr="00A83C94">
        <w:rPr>
          <w:rFonts w:eastAsia="Calibri" w:cs="GHEA Grapalat"/>
          <w:b w:val="0"/>
          <w:szCs w:val="22"/>
          <w:vertAlign w:val="superscript"/>
          <w:lang w:val="hy-AM" w:eastAsia="en-US"/>
        </w:rPr>
        <w:footnoteReference w:id="16"/>
      </w:r>
      <w:r w:rsidRPr="00A83C94">
        <w:rPr>
          <w:rFonts w:eastAsia="Calibri" w:cs="GHEA Grapalat"/>
          <w:b w:val="0"/>
          <w:szCs w:val="22"/>
          <w:vertAlign w:val="superscript"/>
          <w:lang w:val="hy-AM" w:eastAsia="en-US"/>
        </w:rPr>
        <w:t xml:space="preserve">, </w:t>
      </w:r>
      <w:r w:rsidRPr="00A83C94">
        <w:rPr>
          <w:rFonts w:eastAsia="Calibri" w:cs="GHEA Grapalat"/>
          <w:b w:val="0"/>
          <w:szCs w:val="22"/>
          <w:lang w:val="hy-AM" w:eastAsia="en-US"/>
        </w:rPr>
        <w:t>իսկ պետական ֆինանսների «ոսկե կանոնների» տրամաբանությանը և հարկաբյուջետային կանոնների ամբողջական պահպանմանը վերադարձ կկատարվի 2022 թվականից: Այդ համատեքստում, պետական բյուջեի կապիտալ ծախսերը 2021թ. կլինեն ավելի փոքր, քան բյուջեի պակասուրդը: Միևնույն ժամանակ, տնտեսության վերականգնումը չխաթարելու և մակրոտնտեսական կայունությանը նպաստելու նպատակով, նախատեսվում է իրականացնել հարկաբյուջետային սահուն կոնսոլիդացիա, ինչի արդյունքում կապահովվի կառավարության պարտքի բեռի նվազող միտման պահպանումը:</w:t>
      </w:r>
    </w:p>
    <w:p w14:paraId="78CCCC13" w14:textId="77777777" w:rsidR="00027FBF" w:rsidRPr="00A83C94" w:rsidRDefault="00027FBF" w:rsidP="00027FBF">
      <w:pPr>
        <w:autoSpaceDE w:val="0"/>
        <w:autoSpaceDN w:val="0"/>
        <w:adjustRightInd w:val="0"/>
        <w:spacing w:before="0" w:after="120" w:line="276" w:lineRule="auto"/>
        <w:ind w:firstLine="709"/>
        <w:contextualSpacing w:val="0"/>
        <w:rPr>
          <w:rFonts w:eastAsia="Calibri" w:cs="GHEA Grapalat"/>
          <w:b w:val="0"/>
          <w:szCs w:val="22"/>
          <w:lang w:val="hy-AM" w:eastAsia="en-US"/>
        </w:rPr>
      </w:pPr>
      <w:r w:rsidRPr="00A83C94">
        <w:rPr>
          <w:rFonts w:eastAsia="Calibri" w:cs="GHEA Grapalat"/>
          <w:b w:val="0"/>
          <w:bCs/>
          <w:szCs w:val="22"/>
          <w:lang w:val="hy-AM" w:eastAsia="en-US"/>
        </w:rPr>
        <w:t xml:space="preserve">2021թ.-ին սպասվում է հարկեր/ՀՆԱ հարաբերակցության 0.1 տոկոսային կետով բարելավում՝ պայմանավորված հիմնականում օրենսդրական փոփոխություններով </w:t>
      </w:r>
      <w:r w:rsidRPr="00A83C94">
        <w:rPr>
          <w:rFonts w:eastAsia="Calibri" w:cs="GHEA Grapalat"/>
          <w:b w:val="0"/>
          <w:bCs/>
          <w:szCs w:val="22"/>
          <w:lang w:val="hy-AM" w:eastAsia="en-US"/>
        </w:rPr>
        <w:lastRenderedPageBreak/>
        <w:t xml:space="preserve">(մասնավորապես՝ դրոշմանիշային վճարների աճով և արտահանման տուրքի կիրառմամբ): </w:t>
      </w:r>
      <w:r w:rsidRPr="00A83C94">
        <w:rPr>
          <w:rFonts w:eastAsia="Calibri" w:cs="GHEA Grapalat"/>
          <w:b w:val="0"/>
          <w:szCs w:val="22"/>
          <w:lang w:val="hy-AM" w:eastAsia="en-US"/>
        </w:rPr>
        <w:t>2021թ. հարկային եկամուտները կկազմեն 1581.0 մլրդ դրամ, կամ ՀՆԱ-ի 22.5%-ը: Պետական բյուջեի ընդհանուր ծախսերը նախորդ տարվա համեմատ կաճեն շուրջ 4.8%-ով՝ ներառելով COVID-19 համավարակի և Արցախյան պատերազմի հետևանքների մեղմանն ուղղված ծախսերը և կազմելով 1986.0 մլրդ դրամ, կամ ՀՆԱ-ի 28.2%-ը: Վերջինս, նախորդ տարվա համապատասխան ցուցանիշից փոքր է 2.4 տոկոսային կետով: Արդյունքում, պետական բյուջեի պակասուրդը 2020 թվականի նկատմամբ կնվազի՝ կազմելով շուրջ 329.1 մլրդ դրամ, կամ ՀՆԱ-ի շուրջ 4.7 տոկոսը, իսկ հարկաբյուջետային քաղաքականության ազդեցությունը ամբողջական պահանջարկի վրա կլինի 1.9% զսպող (եկամուտների չեզոք(0.2%) և ծախսերի 2.2% զսպող ազդեցություններով): Վերջինս այլ գործոնների հետ կնպաստի կառավարության պարտք/ՀՆԱ հարաբերակցության նվազմանը, որը կկազմի շուրջ 60.8 տոկոս՝ նախորդ տարվա համեմատ նվազելով 2.7 տոկոսային կետով:</w:t>
      </w:r>
    </w:p>
    <w:p w14:paraId="63BDEC30" w14:textId="77777777" w:rsidR="00027FBF" w:rsidRPr="00A83C94" w:rsidRDefault="00027FBF" w:rsidP="00027FBF">
      <w:pPr>
        <w:autoSpaceDE w:val="0"/>
        <w:autoSpaceDN w:val="0"/>
        <w:adjustRightInd w:val="0"/>
        <w:spacing w:before="0" w:after="120" w:line="276" w:lineRule="auto"/>
        <w:ind w:firstLine="709"/>
        <w:contextualSpacing w:val="0"/>
        <w:rPr>
          <w:rFonts w:eastAsia="Calibri"/>
          <w:b w:val="0"/>
          <w:szCs w:val="22"/>
          <w:lang w:val="hy-AM" w:eastAsia="en-US"/>
        </w:rPr>
      </w:pPr>
      <w:r w:rsidRPr="00A83C94">
        <w:rPr>
          <w:rFonts w:eastAsia="Calibri"/>
          <w:szCs w:val="22"/>
          <w:lang w:val="hy-AM" w:eastAsia="en-US"/>
        </w:rPr>
        <w:t>Նպատակ ունենալով նպաստել տնտեսական աճի ներուժի բարձրացմանը և միաժամանակ ապահովել հարկաբյուջետային կայունություն՝ հարկաբյուջետային քաղաքականությամբ թիրախավորվել է էապես բարձրացնել պետական ներդումների մակարդակը և միաժամանակ ապահովել ՀՀ կառավարության պարտքի բեռի նվազող միտումը:</w:t>
      </w:r>
      <w:r w:rsidRPr="00A83C94">
        <w:rPr>
          <w:rFonts w:eastAsia="Calibri"/>
          <w:b w:val="0"/>
          <w:bCs/>
          <w:szCs w:val="22"/>
          <w:lang w:val="hy-AM" w:eastAsia="en-US"/>
        </w:rPr>
        <w:t xml:space="preserve"> Բ</w:t>
      </w:r>
      <w:r w:rsidRPr="00A83C94">
        <w:rPr>
          <w:rFonts w:eastAsia="Calibri"/>
          <w:b w:val="0"/>
          <w:szCs w:val="22"/>
          <w:lang w:val="hy-AM" w:eastAsia="en-US"/>
        </w:rPr>
        <w:t>արձր տնտեսական աճի պայմաններում, հարկային վարչարարության լրացուցիչ ջանքի և օրենսդրական բարեփոխումների արդյունքում, ակնկալվում է, որ հարկեր/ՀՆԱ հարաբերակցությունը 2022թ.-ին կբարելավվի շուրջ 0.9 տոկոսային կետով՝ կազմելով շուրջ 1843.</w:t>
      </w:r>
      <w:r>
        <w:rPr>
          <w:rFonts w:eastAsia="Calibri"/>
          <w:b w:val="0"/>
          <w:szCs w:val="22"/>
          <w:lang w:val="hy-AM" w:eastAsia="en-US"/>
        </w:rPr>
        <w:t>9</w:t>
      </w:r>
      <w:r w:rsidRPr="00A83C94">
        <w:rPr>
          <w:rFonts w:eastAsia="Calibri"/>
          <w:b w:val="0"/>
          <w:szCs w:val="22"/>
          <w:lang w:val="hy-AM" w:eastAsia="en-US"/>
        </w:rPr>
        <w:t xml:space="preserve"> մլրդ դրամ, կամ ՀՆԱ-ի 23.4%-ը: Պետական բյուջեի ընթացիկ ծախսերը կկազմեն </w:t>
      </w:r>
      <w:r w:rsidRPr="002A203C">
        <w:rPr>
          <w:rFonts w:eastAsia="Calibri"/>
          <w:b w:val="0"/>
          <w:szCs w:val="22"/>
          <w:lang w:val="hy-AM" w:eastAsia="en-US"/>
        </w:rPr>
        <w:t>1,84</w:t>
      </w:r>
      <w:r w:rsidRPr="0017201C">
        <w:rPr>
          <w:rFonts w:eastAsia="Calibri"/>
          <w:b w:val="0"/>
          <w:szCs w:val="22"/>
          <w:lang w:val="hy-AM" w:eastAsia="en-US"/>
        </w:rPr>
        <w:t>2</w:t>
      </w:r>
      <w:r w:rsidRPr="002A203C">
        <w:rPr>
          <w:rFonts w:eastAsia="Calibri"/>
          <w:b w:val="0"/>
          <w:szCs w:val="22"/>
          <w:lang w:val="hy-AM" w:eastAsia="en-US"/>
        </w:rPr>
        <w:t>.</w:t>
      </w:r>
      <w:r>
        <w:rPr>
          <w:rFonts w:eastAsia="Calibri"/>
          <w:b w:val="0"/>
          <w:szCs w:val="22"/>
          <w:lang w:val="hy-AM" w:eastAsia="en-US"/>
        </w:rPr>
        <w:t>2</w:t>
      </w:r>
      <w:r w:rsidRPr="00A83C94">
        <w:rPr>
          <w:rFonts w:eastAsia="Calibri"/>
          <w:b w:val="0"/>
          <w:szCs w:val="22"/>
          <w:lang w:val="hy-AM" w:eastAsia="en-US"/>
        </w:rPr>
        <w:t xml:space="preserve"> մլրդ դրամ, որոնց կազմում ընթացիկ առաջնային ծախսերը սահմանափակված կլինեն նախորդ 7 տարիների ՀՆԱ-ների փաստացի անվանական միջին աճի չափով, իսկ ոչ ֆինանսական ակտիվների հետ գործառնությունների դերը զգալիորեն կբարելավվի՝ հասնելով ՀՆԱ-ի </w:t>
      </w:r>
      <w:r>
        <w:rPr>
          <w:rFonts w:eastAsia="Calibri"/>
          <w:b w:val="0"/>
          <w:szCs w:val="22"/>
          <w:lang w:val="hy-AM" w:eastAsia="en-US"/>
        </w:rPr>
        <w:t>4.3</w:t>
      </w:r>
      <w:r w:rsidRPr="00A83C94">
        <w:rPr>
          <w:rFonts w:eastAsia="Calibri"/>
          <w:b w:val="0"/>
          <w:szCs w:val="22"/>
          <w:lang w:val="hy-AM" w:eastAsia="en-US"/>
        </w:rPr>
        <w:t>%-ին՝ 2021թ. սպասվող 3.2%-ի համեմատ աճելով 1.</w:t>
      </w:r>
      <w:r>
        <w:rPr>
          <w:rFonts w:eastAsia="Calibri"/>
          <w:b w:val="0"/>
          <w:szCs w:val="22"/>
          <w:lang w:val="hy-AM" w:eastAsia="en-US"/>
        </w:rPr>
        <w:t>1</w:t>
      </w:r>
      <w:r w:rsidRPr="00A83C94">
        <w:rPr>
          <w:rFonts w:eastAsia="Calibri"/>
          <w:b w:val="0"/>
          <w:szCs w:val="22"/>
          <w:lang w:val="hy-AM" w:eastAsia="en-US"/>
        </w:rPr>
        <w:t xml:space="preserve"> տոկոսային կետով, որում ոչ ֆինանսական ակտիվների գծով ծախսերը կհասնեն ՀՆԱ-ի </w:t>
      </w:r>
      <w:r>
        <w:rPr>
          <w:rFonts w:eastAsia="Calibri"/>
          <w:b w:val="0"/>
          <w:szCs w:val="22"/>
          <w:lang w:val="hy-AM" w:eastAsia="en-US"/>
        </w:rPr>
        <w:t>4</w:t>
      </w:r>
      <w:r w:rsidRPr="00A83C94">
        <w:rPr>
          <w:rFonts w:eastAsia="Calibri"/>
          <w:b w:val="0"/>
          <w:szCs w:val="22"/>
          <w:lang w:val="hy-AM" w:eastAsia="en-US"/>
        </w:rPr>
        <w:t>.</w:t>
      </w:r>
      <w:r>
        <w:rPr>
          <w:rFonts w:eastAsia="Calibri"/>
          <w:b w:val="0"/>
          <w:szCs w:val="22"/>
          <w:lang w:val="hy-AM" w:eastAsia="en-US"/>
        </w:rPr>
        <w:t>5</w:t>
      </w:r>
      <w:r w:rsidRPr="00A83C94">
        <w:rPr>
          <w:rFonts w:eastAsia="Calibri"/>
          <w:b w:val="0"/>
          <w:szCs w:val="22"/>
          <w:lang w:val="hy-AM" w:eastAsia="en-US"/>
        </w:rPr>
        <w:t>%-ի:</w:t>
      </w:r>
    </w:p>
    <w:p w14:paraId="081ACDE0" w14:textId="77777777" w:rsidR="00027FBF" w:rsidRPr="00A83C94" w:rsidRDefault="00027FBF" w:rsidP="00027FBF">
      <w:pPr>
        <w:autoSpaceDE w:val="0"/>
        <w:autoSpaceDN w:val="0"/>
        <w:adjustRightInd w:val="0"/>
        <w:spacing w:before="0" w:after="120" w:line="276" w:lineRule="auto"/>
        <w:ind w:firstLine="709"/>
        <w:contextualSpacing w:val="0"/>
        <w:rPr>
          <w:rFonts w:eastAsia="Calibri"/>
          <w:b w:val="0"/>
          <w:szCs w:val="22"/>
          <w:lang w:val="hy-AM" w:eastAsia="en-US"/>
        </w:rPr>
      </w:pPr>
      <w:r w:rsidRPr="00A83C94">
        <w:rPr>
          <w:rFonts w:eastAsia="Calibri"/>
          <w:b w:val="0"/>
          <w:szCs w:val="22"/>
          <w:lang w:val="hy-AM" w:eastAsia="en-US"/>
        </w:rPr>
        <w:t>2022 թվականին, պետական բյուջեի դեֆիցիտը կնվազի՝ կազմելով ՀՆԱ-ի 3.</w:t>
      </w:r>
      <w:r>
        <w:rPr>
          <w:rFonts w:eastAsia="Calibri"/>
          <w:b w:val="0"/>
          <w:szCs w:val="22"/>
          <w:lang w:val="hy-AM" w:eastAsia="en-US"/>
        </w:rPr>
        <w:t>0</w:t>
      </w:r>
      <w:r w:rsidRPr="00A83C94">
        <w:rPr>
          <w:rFonts w:eastAsia="Calibri" w:cs="Sylfaen"/>
          <w:b w:val="0"/>
          <w:szCs w:val="22"/>
          <w:lang w:val="hy-AM" w:eastAsia="en-US"/>
        </w:rPr>
        <w:t>%-</w:t>
      </w:r>
      <w:r w:rsidRPr="00A83C94">
        <w:rPr>
          <w:rFonts w:eastAsia="Calibri"/>
          <w:b w:val="0"/>
          <w:szCs w:val="22"/>
          <w:lang w:val="hy-AM" w:eastAsia="en-US"/>
        </w:rPr>
        <w:t xml:space="preserve">ի չափ, իսկ հարկաբյուջետային քաղաքականությունը կլինի չեզոք՝ </w:t>
      </w:r>
      <w:r w:rsidRPr="00A83C94">
        <w:rPr>
          <w:rFonts w:eastAsia="Calibri" w:cs="Times Armenian"/>
          <w:b w:val="0"/>
          <w:bCs/>
          <w:szCs w:val="22"/>
          <w:lang w:val="hy-AM" w:eastAsia="en-US"/>
        </w:rPr>
        <w:t>չխաթարելով տնտեսական աճը և ապահովելով պարտքի բեռի նվազումը</w:t>
      </w:r>
      <w:r w:rsidRPr="00A83C94">
        <w:rPr>
          <w:rFonts w:eastAsia="Calibri"/>
          <w:b w:val="0"/>
          <w:szCs w:val="22"/>
          <w:lang w:val="hy-AM" w:eastAsia="en-US"/>
        </w:rPr>
        <w:t xml:space="preserve">: </w:t>
      </w:r>
    </w:p>
    <w:p w14:paraId="0758B517"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7127D4FF"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202329D5"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00089923"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64E79580"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235F3BC6"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1784EE1A"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61AF26BF"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176E5C49"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7FD70966"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779086B0"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7E8BF8DB"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5AD6F18D"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02FDA224"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5741F27A" w14:textId="77777777" w:rsidR="00027FBF" w:rsidRPr="00A83C94" w:rsidRDefault="00027FBF" w:rsidP="00027FBF">
      <w:pPr>
        <w:spacing w:before="0" w:line="276" w:lineRule="auto"/>
        <w:ind w:firstLine="0"/>
        <w:contextualSpacing w:val="0"/>
        <w:jc w:val="left"/>
        <w:rPr>
          <w:rFonts w:eastAsia="Calibri"/>
          <w:b w:val="0"/>
          <w:i/>
          <w:iCs/>
          <w:sz w:val="21"/>
          <w:szCs w:val="21"/>
          <w:lang w:val="hy-AM" w:eastAsia="en-US"/>
        </w:rPr>
      </w:pPr>
      <w:r w:rsidRPr="00A83C94">
        <w:rPr>
          <w:rFonts w:eastAsia="Calibri"/>
          <w:bCs/>
          <w:i/>
          <w:iCs/>
          <w:sz w:val="21"/>
          <w:szCs w:val="21"/>
          <w:lang w:val="hy-AM" w:eastAsia="en-US"/>
        </w:rPr>
        <w:lastRenderedPageBreak/>
        <w:t>Գծապատկեր 2.2.</w:t>
      </w:r>
      <w:r w:rsidRPr="00A83C94">
        <w:rPr>
          <w:rFonts w:eastAsia="Calibri"/>
          <w:b w:val="0"/>
          <w:i/>
          <w:iCs/>
          <w:sz w:val="21"/>
          <w:szCs w:val="21"/>
          <w:lang w:val="hy-AM" w:eastAsia="en-US"/>
        </w:rPr>
        <w:t xml:space="preserve"> Պետական բյուջեի եկամուտները, ծախսերը և պակասուրդը, մլրդ դրամ</w:t>
      </w:r>
    </w:p>
    <w:p w14:paraId="18002364" w14:textId="77777777" w:rsidR="00027FBF" w:rsidRPr="00A83C94" w:rsidRDefault="00027FBF" w:rsidP="00027FBF">
      <w:pPr>
        <w:spacing w:before="0" w:line="276" w:lineRule="auto"/>
        <w:ind w:firstLine="0"/>
        <w:contextualSpacing w:val="0"/>
        <w:rPr>
          <w:rFonts w:eastAsia="Calibri"/>
          <w:szCs w:val="22"/>
          <w:lang w:val="hy-AM" w:eastAsia="en-US"/>
        </w:rPr>
      </w:pPr>
      <w:r w:rsidRPr="00A83C94">
        <w:rPr>
          <w:rFonts w:eastAsia="Calibri"/>
          <w:b w:val="0"/>
          <w:noProof/>
          <w:sz w:val="20"/>
          <w:szCs w:val="20"/>
          <w:lang w:val="en-US" w:eastAsia="en-US"/>
        </w:rPr>
        <w:drawing>
          <wp:inline distT="0" distB="0" distL="0" distR="0" wp14:anchorId="367804F2" wp14:editId="35629474">
            <wp:extent cx="2952000" cy="2857500"/>
            <wp:effectExtent l="0" t="0" r="1270" b="0"/>
            <wp:docPr id="103" name="Chart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A83C94">
        <w:rPr>
          <w:rFonts w:eastAsia="Calibri"/>
          <w:szCs w:val="22"/>
          <w:lang w:val="hy-AM" w:eastAsia="en-US"/>
        </w:rPr>
        <w:t xml:space="preserve"> </w:t>
      </w:r>
      <w:r w:rsidRPr="00A83C94">
        <w:rPr>
          <w:rFonts w:eastAsia="Calibri"/>
          <w:b w:val="0"/>
          <w:noProof/>
          <w:sz w:val="20"/>
          <w:szCs w:val="20"/>
          <w:lang w:val="en-US" w:eastAsia="en-US"/>
        </w:rPr>
        <w:drawing>
          <wp:inline distT="0" distB="0" distL="0" distR="0" wp14:anchorId="21E5E622" wp14:editId="0BBA5E7A">
            <wp:extent cx="2952000" cy="2857500"/>
            <wp:effectExtent l="0" t="0" r="1270" b="0"/>
            <wp:docPr id="104"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85A817A" w14:textId="77777777" w:rsidR="00027FBF" w:rsidRPr="00A83C94" w:rsidRDefault="00027FBF" w:rsidP="00027FBF">
      <w:pPr>
        <w:spacing w:before="0" w:line="276" w:lineRule="auto"/>
        <w:ind w:firstLine="0"/>
        <w:contextualSpacing w:val="0"/>
        <w:jc w:val="left"/>
        <w:rPr>
          <w:rFonts w:eastAsia="Calibri"/>
          <w:b w:val="0"/>
          <w:i/>
          <w:iCs/>
          <w:sz w:val="21"/>
          <w:szCs w:val="21"/>
          <w:lang w:val="hy-AM" w:eastAsia="en-US"/>
        </w:rPr>
      </w:pPr>
      <w:r w:rsidRPr="00A83C94">
        <w:rPr>
          <w:rFonts w:eastAsia="Calibri"/>
          <w:bCs/>
          <w:i/>
          <w:iCs/>
          <w:sz w:val="21"/>
          <w:szCs w:val="21"/>
          <w:lang w:val="hy-AM" w:eastAsia="en-US"/>
        </w:rPr>
        <w:t>Գծապատկեր 2.3.</w:t>
      </w:r>
      <w:r w:rsidRPr="00A83C94">
        <w:rPr>
          <w:rFonts w:eastAsia="Calibri"/>
          <w:b w:val="0"/>
          <w:i/>
          <w:iCs/>
          <w:sz w:val="21"/>
          <w:szCs w:val="21"/>
          <w:lang w:val="hy-AM" w:eastAsia="en-US"/>
        </w:rPr>
        <w:t xml:space="preserve"> Հարկաբյուջետային ազդակը</w:t>
      </w:r>
    </w:p>
    <w:p w14:paraId="23261078" w14:textId="77777777" w:rsidR="00027FBF" w:rsidRPr="00A83C94" w:rsidRDefault="00027FBF" w:rsidP="00027FBF">
      <w:pPr>
        <w:spacing w:before="0" w:line="276" w:lineRule="auto"/>
        <w:ind w:firstLine="0"/>
        <w:contextualSpacing w:val="0"/>
        <w:rPr>
          <w:rFonts w:eastAsia="Calibri"/>
          <w:b w:val="0"/>
          <w:szCs w:val="22"/>
          <w:lang w:val="hy-AM" w:eastAsia="en-US"/>
        </w:rPr>
      </w:pPr>
      <w:r w:rsidRPr="00A83C94">
        <w:rPr>
          <w:rFonts w:eastAsia="Calibri"/>
          <w:b w:val="0"/>
          <w:noProof/>
          <w:szCs w:val="22"/>
          <w:lang w:val="en-US" w:eastAsia="en-US"/>
        </w:rPr>
        <w:drawing>
          <wp:inline distT="0" distB="0" distL="0" distR="0" wp14:anchorId="07C723AC" wp14:editId="7DB03D8B">
            <wp:extent cx="5969000" cy="2495550"/>
            <wp:effectExtent l="0" t="0" r="1270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6529BB2" w14:textId="77777777" w:rsidR="00027FBF" w:rsidRPr="00A83C94" w:rsidRDefault="00027FBF" w:rsidP="00027FBF">
      <w:pPr>
        <w:autoSpaceDE w:val="0"/>
        <w:autoSpaceDN w:val="0"/>
        <w:adjustRightInd w:val="0"/>
        <w:spacing w:before="0" w:line="276" w:lineRule="auto"/>
        <w:ind w:firstLine="709"/>
        <w:contextualSpacing w:val="0"/>
        <w:rPr>
          <w:rFonts w:eastAsia="Calibri" w:cs="Arial"/>
          <w:b w:val="0"/>
          <w:bCs/>
          <w:i/>
          <w:iCs/>
          <w:sz w:val="18"/>
          <w:szCs w:val="18"/>
          <w:lang w:val="hy-AM" w:eastAsia="en-US"/>
        </w:rPr>
      </w:pPr>
      <w:r w:rsidRPr="00A83C94">
        <w:rPr>
          <w:rFonts w:eastAsia="Calibri" w:cs="Arial"/>
          <w:b w:val="0"/>
          <w:bCs/>
          <w:i/>
          <w:iCs/>
          <w:sz w:val="18"/>
          <w:szCs w:val="18"/>
          <w:lang w:val="hy-AM" w:eastAsia="en-US"/>
        </w:rPr>
        <w:t>Աղբյուրը՝ ՀՀ ՖՆ գնահատականներ</w:t>
      </w:r>
    </w:p>
    <w:p w14:paraId="2A2BB5CF" w14:textId="77777777" w:rsidR="00027FBF" w:rsidRPr="00A83C94" w:rsidRDefault="00027FBF" w:rsidP="00027FBF">
      <w:pPr>
        <w:spacing w:before="40" w:after="60" w:line="276" w:lineRule="auto"/>
        <w:contextualSpacing w:val="0"/>
        <w:rPr>
          <w:rFonts w:eastAsia="Calibri"/>
          <w:b w:val="0"/>
          <w:szCs w:val="22"/>
          <w:lang w:val="hy-AM" w:eastAsia="en-US"/>
        </w:rPr>
      </w:pPr>
      <w:r w:rsidRPr="00A83C94">
        <w:rPr>
          <w:rFonts w:eastAsia="Calibri"/>
          <w:szCs w:val="22"/>
          <w:lang w:val="hy-AM" w:eastAsia="en-US"/>
        </w:rPr>
        <w:t xml:space="preserve">2022 թվականից վերադարձ կկատարվի </w:t>
      </w:r>
      <w:r w:rsidRPr="00A83C94">
        <w:rPr>
          <w:rFonts w:eastAsia="Calibri"/>
          <w:bCs/>
          <w:szCs w:val="22"/>
          <w:lang w:val="hy-AM" w:eastAsia="en-US"/>
        </w:rPr>
        <w:t xml:space="preserve">հարկաբյուջետային կանոններով սահմանված պետական ֆինանսների «ոսկե կանոնների» տրամաբանությանը՝ կայուն հիմքեր ստեղծելով երկարաժամկետ բարձր տնտեսական աճի ապահովման համար, ապահովելով պարտք/ՀՆԱ հարաբերակցության նվազող հետագիծը և ծախսերի կառուցվածքի բարելավումը: </w:t>
      </w:r>
      <w:r w:rsidRPr="00A83C94">
        <w:rPr>
          <w:rFonts w:eastAsia="Calibri"/>
          <w:b w:val="0"/>
          <w:szCs w:val="22"/>
          <w:lang w:val="hy-AM" w:eastAsia="en-US"/>
        </w:rPr>
        <w:t>Մասնավորապես նախատեսվել է ընդհանուր ծախսերում կապիտալ ծախսերի մասնաբաժնի մեծացում, ինչի արդյունքում կապիտալ ծախսերի ծավալը կգերազանցի պետական բյուջեի պակասուրդի մեծությունը: Բացի այդ, հարկեր/ՀՆԱ հարաբերակցության բարելավման և ընթացիկ ծախսերի՝ հարկաբյուջետային կանոններին համապատասխան սահմանափակ աճի պայմաններում, կանխատեսվող հորիզոնում ընթացիկ ծախսերի մակարդակը կհավասարվի հարկային եկամուտներ/ՀՆԱ հարաբերակցությանը:</w:t>
      </w:r>
    </w:p>
    <w:p w14:paraId="69EA9E3D" w14:textId="77777777" w:rsidR="00027FBF" w:rsidRPr="00A83C94" w:rsidRDefault="00027FBF" w:rsidP="00027FBF">
      <w:pPr>
        <w:spacing w:before="0" w:line="276" w:lineRule="auto"/>
        <w:ind w:firstLine="709"/>
        <w:contextualSpacing w:val="0"/>
        <w:rPr>
          <w:rFonts w:eastAsia="Calibri"/>
          <w:bCs/>
          <w:i/>
          <w:iCs/>
          <w:sz w:val="21"/>
          <w:szCs w:val="21"/>
          <w:lang w:val="hy-AM" w:eastAsia="en-US"/>
        </w:rPr>
      </w:pPr>
    </w:p>
    <w:p w14:paraId="68C57468" w14:textId="77777777" w:rsidR="00027FBF" w:rsidRPr="00A83C94" w:rsidRDefault="00027FBF" w:rsidP="00027FBF">
      <w:pPr>
        <w:spacing w:before="0" w:line="276" w:lineRule="auto"/>
        <w:ind w:firstLine="709"/>
        <w:contextualSpacing w:val="0"/>
        <w:rPr>
          <w:rFonts w:eastAsia="Calibri"/>
          <w:bCs/>
          <w:i/>
          <w:iCs/>
          <w:sz w:val="21"/>
          <w:szCs w:val="21"/>
          <w:lang w:val="hy-AM" w:eastAsia="en-US"/>
        </w:rPr>
      </w:pPr>
    </w:p>
    <w:p w14:paraId="7A0FA959" w14:textId="77777777" w:rsidR="00027FBF" w:rsidRPr="00A83C94" w:rsidRDefault="00027FBF" w:rsidP="00027FBF">
      <w:pPr>
        <w:spacing w:before="0" w:line="276" w:lineRule="auto"/>
        <w:ind w:firstLine="709"/>
        <w:contextualSpacing w:val="0"/>
        <w:rPr>
          <w:rFonts w:eastAsia="Calibri"/>
          <w:bCs/>
          <w:i/>
          <w:iCs/>
          <w:sz w:val="21"/>
          <w:szCs w:val="21"/>
          <w:lang w:val="hy-AM" w:eastAsia="en-US"/>
        </w:rPr>
      </w:pPr>
    </w:p>
    <w:p w14:paraId="45E0A6EE" w14:textId="77777777" w:rsidR="00027FBF" w:rsidRPr="00A83C94" w:rsidRDefault="00027FBF" w:rsidP="00027FBF">
      <w:pPr>
        <w:spacing w:before="0" w:line="276" w:lineRule="auto"/>
        <w:ind w:firstLine="709"/>
        <w:contextualSpacing w:val="0"/>
        <w:rPr>
          <w:rFonts w:eastAsia="Calibri"/>
          <w:bCs/>
          <w:i/>
          <w:iCs/>
          <w:sz w:val="21"/>
          <w:szCs w:val="21"/>
          <w:lang w:val="hy-AM" w:eastAsia="en-US"/>
        </w:rPr>
      </w:pPr>
    </w:p>
    <w:p w14:paraId="5670CC01" w14:textId="77777777" w:rsidR="00027FBF" w:rsidRPr="00A83C94" w:rsidRDefault="00027FBF" w:rsidP="00027FBF">
      <w:pPr>
        <w:spacing w:before="0" w:line="276" w:lineRule="auto"/>
        <w:ind w:firstLine="709"/>
        <w:contextualSpacing w:val="0"/>
        <w:rPr>
          <w:rFonts w:eastAsia="Calibri"/>
          <w:bCs/>
          <w:i/>
          <w:iCs/>
          <w:sz w:val="21"/>
          <w:szCs w:val="21"/>
          <w:lang w:val="hy-AM" w:eastAsia="en-US"/>
        </w:rPr>
      </w:pPr>
    </w:p>
    <w:p w14:paraId="404F3082" w14:textId="77777777" w:rsidR="00027FBF" w:rsidRPr="00A83C94" w:rsidRDefault="00027FBF" w:rsidP="00027FBF">
      <w:pPr>
        <w:spacing w:before="0" w:line="276" w:lineRule="auto"/>
        <w:ind w:firstLine="709"/>
        <w:contextualSpacing w:val="0"/>
        <w:rPr>
          <w:rFonts w:eastAsia="Calibri"/>
          <w:b w:val="0"/>
          <w:i/>
          <w:iCs/>
          <w:sz w:val="21"/>
          <w:szCs w:val="21"/>
          <w:lang w:val="hy-AM" w:eastAsia="en-US"/>
        </w:rPr>
      </w:pPr>
      <w:r w:rsidRPr="00A83C94">
        <w:rPr>
          <w:rFonts w:eastAsia="Calibri"/>
          <w:bCs/>
          <w:i/>
          <w:iCs/>
          <w:sz w:val="21"/>
          <w:szCs w:val="21"/>
          <w:lang w:val="hy-AM" w:eastAsia="en-US"/>
        </w:rPr>
        <w:lastRenderedPageBreak/>
        <w:t>Գծապատկեր 2.4.</w:t>
      </w:r>
      <w:r w:rsidRPr="00A83C94">
        <w:rPr>
          <w:rFonts w:eastAsia="Calibri"/>
          <w:b w:val="0"/>
          <w:i/>
          <w:iCs/>
          <w:sz w:val="21"/>
          <w:szCs w:val="21"/>
          <w:lang w:val="hy-AM" w:eastAsia="en-US"/>
        </w:rPr>
        <w:t xml:space="preserve"> 2022 թվականին վերադարձը «Ոսկե կանոնների» պահպանմանը</w:t>
      </w:r>
    </w:p>
    <w:p w14:paraId="3904C584" w14:textId="77777777" w:rsidR="00027FBF" w:rsidRPr="00A83C94" w:rsidRDefault="00027FBF" w:rsidP="00027FBF">
      <w:pPr>
        <w:spacing w:before="0" w:line="240" w:lineRule="auto"/>
        <w:ind w:firstLine="0"/>
        <w:contextualSpacing w:val="0"/>
        <w:jc w:val="center"/>
        <w:rPr>
          <w:rFonts w:eastAsia="Calibri"/>
          <w:b w:val="0"/>
          <w:noProof/>
          <w:sz w:val="20"/>
          <w:szCs w:val="20"/>
          <w:lang w:val="hy-AM" w:eastAsia="en-US"/>
        </w:rPr>
      </w:pPr>
      <w:r w:rsidRPr="00A83C94">
        <w:rPr>
          <w:rFonts w:eastAsia="Calibri"/>
          <w:b w:val="0"/>
          <w:noProof/>
          <w:sz w:val="20"/>
          <w:szCs w:val="20"/>
          <w:lang w:val="en-US" w:eastAsia="en-US"/>
        </w:rPr>
        <w:drawing>
          <wp:inline distT="0" distB="0" distL="0" distR="0" wp14:anchorId="6D36094F" wp14:editId="4D1019CE">
            <wp:extent cx="2916000" cy="2700000"/>
            <wp:effectExtent l="0" t="0" r="17780" b="5715"/>
            <wp:docPr id="106"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A83C94">
        <w:rPr>
          <w:rFonts w:eastAsia="Calibri"/>
          <w:b w:val="0"/>
          <w:noProof/>
          <w:sz w:val="20"/>
          <w:szCs w:val="20"/>
          <w:lang w:val="hy-AM" w:eastAsia="en-US"/>
        </w:rPr>
        <w:t xml:space="preserve"> </w:t>
      </w:r>
      <w:r w:rsidRPr="00A83C94">
        <w:rPr>
          <w:rFonts w:eastAsia="Calibri"/>
          <w:b w:val="0"/>
          <w:noProof/>
          <w:sz w:val="20"/>
          <w:szCs w:val="20"/>
          <w:lang w:val="en-US" w:eastAsia="en-US"/>
        </w:rPr>
        <w:drawing>
          <wp:inline distT="0" distB="0" distL="0" distR="0" wp14:anchorId="7DBAC248" wp14:editId="00BC4B2E">
            <wp:extent cx="2916000" cy="2700000"/>
            <wp:effectExtent l="0" t="0" r="17780" b="5715"/>
            <wp:docPr id="107"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71A2E13" w14:textId="77777777" w:rsidR="00027FBF" w:rsidRPr="00A83C94" w:rsidRDefault="00027FBF" w:rsidP="0002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r w:rsidRPr="00A83C94">
        <w:rPr>
          <w:rFonts w:eastAsia="Calibri" w:cs="Arial"/>
          <w:b w:val="0"/>
          <w:bCs/>
          <w:i/>
          <w:iCs/>
          <w:sz w:val="20"/>
          <w:szCs w:val="20"/>
          <w:lang w:val="hy-AM" w:eastAsia="en-US"/>
        </w:rPr>
        <w:t>Աղբյուրը՝ ՀՀ ՖՆ</w:t>
      </w:r>
    </w:p>
    <w:p w14:paraId="12664F92" w14:textId="77777777" w:rsidR="00027FBF" w:rsidRPr="00A83C94" w:rsidRDefault="00027FBF" w:rsidP="0002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p>
    <w:p w14:paraId="7A073E25" w14:textId="77777777" w:rsidR="00027FBF" w:rsidRPr="00A83C94" w:rsidRDefault="00027FBF" w:rsidP="00027FBF">
      <w:pPr>
        <w:autoSpaceDE w:val="0"/>
        <w:autoSpaceDN w:val="0"/>
        <w:adjustRightInd w:val="0"/>
        <w:spacing w:before="0" w:after="160" w:line="276" w:lineRule="auto"/>
        <w:ind w:firstLine="709"/>
        <w:contextualSpacing w:val="0"/>
        <w:rPr>
          <w:rFonts w:eastAsia="Calibri" w:cs="GHEA Grapalat"/>
          <w:b w:val="0"/>
          <w:szCs w:val="22"/>
          <w:lang w:val="hy-AM" w:eastAsia="en-US"/>
        </w:rPr>
      </w:pPr>
      <w:r w:rsidRPr="00A83C94">
        <w:rPr>
          <w:rFonts w:eastAsia="Calibri" w:cs="GHEA Grapalat"/>
          <w:szCs w:val="22"/>
          <w:lang w:val="hy-AM" w:eastAsia="en-US"/>
        </w:rPr>
        <w:t>2021թ</w:t>
      </w:r>
      <w:r w:rsidRPr="00A83C94">
        <w:rPr>
          <w:rFonts w:ascii="Cambria Math" w:eastAsia="Calibri" w:hAnsi="Cambria Math" w:cs="Cambria Math"/>
          <w:szCs w:val="22"/>
          <w:lang w:val="hy-AM" w:eastAsia="en-US"/>
        </w:rPr>
        <w:t>․</w:t>
      </w:r>
      <w:r w:rsidRPr="00A83C94">
        <w:rPr>
          <w:rFonts w:eastAsia="Calibri" w:cs="GHEA Grapalat"/>
          <w:szCs w:val="22"/>
          <w:lang w:val="hy-AM" w:eastAsia="en-US"/>
        </w:rPr>
        <w:t>-ից մեկնարկել է ՀՀ հարկաբյուջետային կանոններով պահանջվող հարկաբյուջետային կոնսոլիդացիան, որը կշարունակվի 2022թ</w:t>
      </w:r>
      <w:r w:rsidRPr="00A83C94">
        <w:rPr>
          <w:rFonts w:ascii="Cambria Math" w:eastAsia="Calibri" w:hAnsi="Cambria Math" w:cs="Cambria Math"/>
          <w:szCs w:val="22"/>
          <w:lang w:val="hy-AM" w:eastAsia="en-US"/>
        </w:rPr>
        <w:t>․</w:t>
      </w:r>
      <w:r w:rsidRPr="00A83C94">
        <w:rPr>
          <w:rFonts w:eastAsia="Calibri" w:cs="GHEA Grapalat"/>
          <w:szCs w:val="22"/>
          <w:lang w:val="hy-AM" w:eastAsia="en-US"/>
        </w:rPr>
        <w:t>-ին՝ ինչպես նախատեսված է 2022-2026 թթ</w:t>
      </w:r>
      <w:r w:rsidRPr="00A83C94">
        <w:rPr>
          <w:rFonts w:ascii="Cambria Math" w:eastAsia="Calibri" w:hAnsi="Cambria Math" w:cs="Cambria Math"/>
          <w:szCs w:val="22"/>
          <w:lang w:val="hy-AM" w:eastAsia="en-US"/>
        </w:rPr>
        <w:t>․</w:t>
      </w:r>
      <w:r w:rsidRPr="00A83C94">
        <w:rPr>
          <w:rFonts w:eastAsia="Calibri" w:cs="GHEA Grapalat"/>
          <w:szCs w:val="22"/>
          <w:lang w:val="hy-AM" w:eastAsia="en-US"/>
        </w:rPr>
        <w:t xml:space="preserve"> ՀՀ կառավարության պարտքի բեռի նվազեցման ծրագրով, որով թիրախավորվել է միջնաժամկետ հորիզոնում կառավարության պարտք/ՀՆԱ ցուցանիշը նվազեցնել 60% սահմանային շեմից։</w:t>
      </w:r>
      <w:r w:rsidRPr="00A83C94">
        <w:rPr>
          <w:rFonts w:eastAsia="Calibri" w:cs="GHEA Grapalat"/>
          <w:b w:val="0"/>
          <w:szCs w:val="22"/>
          <w:lang w:val="hy-AM" w:eastAsia="en-US"/>
        </w:rPr>
        <w:t xml:space="preserve"> 2022թ</w:t>
      </w:r>
      <w:r w:rsidRPr="00A83C94">
        <w:rPr>
          <w:rFonts w:ascii="Cambria Math" w:eastAsia="Calibri" w:hAnsi="Cambria Math" w:cs="Cambria Math"/>
          <w:b w:val="0"/>
          <w:szCs w:val="22"/>
          <w:lang w:val="hy-AM" w:eastAsia="en-US"/>
        </w:rPr>
        <w:t>․</w:t>
      </w:r>
      <w:r w:rsidRPr="00A83C94">
        <w:rPr>
          <w:rFonts w:eastAsia="Calibri" w:cs="GHEA Grapalat"/>
          <w:b w:val="0"/>
          <w:szCs w:val="22"/>
          <w:lang w:val="hy-AM" w:eastAsia="en-US"/>
        </w:rPr>
        <w:t>-ին նախատեսված պետական բյուջեի պակասուրդ/ՀՆԱ-ի պայմաններում կառավարության պարտք/ՀՆԱ ցուցանիշը ավելի կմոտենա 60% շեմին՝ հնարավորություն տալով հաջորդ տարիներին ապահովելով պարտքի նվազեցման միջնաժամկետ թիրախը։ ՀՀ կառավարության պարտք/ՀՆԱ ցուցանիշի 0.</w:t>
      </w:r>
      <w:r w:rsidRPr="001E50D2">
        <w:rPr>
          <w:rFonts w:eastAsia="Calibri" w:cs="GHEA Grapalat"/>
          <w:b w:val="0"/>
          <w:szCs w:val="22"/>
          <w:lang w:val="hy-AM" w:eastAsia="en-US"/>
        </w:rPr>
        <w:t>5</w:t>
      </w:r>
      <w:r w:rsidRPr="00A83C94">
        <w:rPr>
          <w:rFonts w:eastAsia="Calibri" w:cs="GHEA Grapalat"/>
          <w:b w:val="0"/>
          <w:szCs w:val="22"/>
          <w:lang w:val="hy-AM" w:eastAsia="en-US"/>
        </w:rPr>
        <w:t xml:space="preserve"> տոկոսային կետով նվազմանը նպաստող հիմնական գործոնը կլինի տնտեսական աճը և հարկաբյուջետային քաղաքականության հետևանքով պետական բյուջեի առաջնային հաշվեկշռի բարելավումը։ </w:t>
      </w:r>
    </w:p>
    <w:p w14:paraId="02E814CB" w14:textId="77777777" w:rsidR="00027FBF" w:rsidRPr="00A83C94" w:rsidRDefault="00027FBF" w:rsidP="00027FBF">
      <w:pPr>
        <w:autoSpaceDE w:val="0"/>
        <w:autoSpaceDN w:val="0"/>
        <w:adjustRightInd w:val="0"/>
        <w:spacing w:before="0" w:after="160" w:line="240" w:lineRule="auto"/>
        <w:ind w:firstLine="709"/>
        <w:contextualSpacing w:val="0"/>
        <w:rPr>
          <w:rFonts w:eastAsia="Calibri" w:cs="GHEA Grapalat"/>
          <w:b w:val="0"/>
          <w:i/>
          <w:szCs w:val="22"/>
          <w:lang w:val="hy-AM" w:eastAsia="en-US"/>
        </w:rPr>
      </w:pPr>
      <w:r w:rsidRPr="00A83C94">
        <w:rPr>
          <w:rFonts w:eastAsia="Calibri" w:cs="GHEA Grapalat"/>
          <w:i/>
          <w:szCs w:val="22"/>
          <w:lang w:val="hy-AM" w:eastAsia="en-US"/>
        </w:rPr>
        <w:t>Գծապատկեր 2.5.</w:t>
      </w:r>
      <w:r w:rsidRPr="00A83C94">
        <w:rPr>
          <w:rFonts w:eastAsia="Calibri" w:cs="GHEA Grapalat"/>
          <w:b w:val="0"/>
          <w:i/>
          <w:szCs w:val="22"/>
          <w:lang w:val="hy-AM" w:eastAsia="en-US"/>
        </w:rPr>
        <w:t xml:space="preserve"> ՀՀ կառավարության պարտքի դինամիկան և այն պայմանավորող գործոնները </w:t>
      </w:r>
    </w:p>
    <w:p w14:paraId="1C727342" w14:textId="77777777" w:rsidR="00027FBF" w:rsidRPr="00A83C94" w:rsidRDefault="00027FBF" w:rsidP="00027FBF">
      <w:pPr>
        <w:autoSpaceDE w:val="0"/>
        <w:autoSpaceDN w:val="0"/>
        <w:adjustRightInd w:val="0"/>
        <w:spacing w:before="0" w:after="160" w:line="240" w:lineRule="auto"/>
        <w:ind w:firstLine="0"/>
        <w:contextualSpacing w:val="0"/>
        <w:rPr>
          <w:rFonts w:eastAsia="Calibri" w:cs="GHEA Grapalat"/>
          <w:b w:val="0"/>
          <w:szCs w:val="22"/>
          <w:lang w:val="hy-AM" w:eastAsia="en-US"/>
        </w:rPr>
      </w:pPr>
      <w:r w:rsidRPr="00A83C94">
        <w:rPr>
          <w:rFonts w:eastAsia="Calibri" w:cs="GHEA Grapalat"/>
          <w:b w:val="0"/>
          <w:szCs w:val="22"/>
          <w:lang w:val="hy-AM" w:eastAsia="en-US"/>
        </w:rPr>
        <w:t xml:space="preserve">  </w:t>
      </w:r>
      <w:r w:rsidRPr="00A83C94">
        <w:rPr>
          <w:rFonts w:ascii="Calibri" w:eastAsia="Calibri" w:hAnsi="Calibri"/>
          <w:noProof/>
          <w:szCs w:val="22"/>
          <w:lang w:val="en-US" w:eastAsia="en-US"/>
        </w:rPr>
        <w:drawing>
          <wp:inline distT="0" distB="0" distL="0" distR="0" wp14:anchorId="529CE379" wp14:editId="67CF88E6">
            <wp:extent cx="2844000" cy="2879725"/>
            <wp:effectExtent l="0" t="0" r="13970" b="15875"/>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A83C94">
        <w:rPr>
          <w:rFonts w:ascii="Calibri" w:eastAsia="Calibri" w:hAnsi="Calibri"/>
          <w:b w:val="0"/>
          <w:noProof/>
          <w:szCs w:val="22"/>
          <w:lang w:val="en-US" w:eastAsia="en-US"/>
        </w:rPr>
        <w:drawing>
          <wp:inline distT="0" distB="0" distL="0" distR="0" wp14:anchorId="1FC3D319" wp14:editId="36861D01">
            <wp:extent cx="2964815" cy="2886075"/>
            <wp:effectExtent l="0" t="0" r="6985" b="9525"/>
            <wp:docPr id="119"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DBC77B4" w14:textId="77777777" w:rsidR="00027FBF" w:rsidRPr="00A83C94" w:rsidRDefault="00027FBF" w:rsidP="00027FBF">
      <w:pPr>
        <w:autoSpaceDE w:val="0"/>
        <w:autoSpaceDN w:val="0"/>
        <w:adjustRightInd w:val="0"/>
        <w:spacing w:before="0" w:after="160" w:line="240" w:lineRule="auto"/>
        <w:ind w:firstLine="0"/>
        <w:contextualSpacing w:val="0"/>
        <w:rPr>
          <w:rFonts w:eastAsia="Calibri" w:cs="GHEA Grapalat"/>
          <w:b w:val="0"/>
          <w:szCs w:val="22"/>
          <w:lang w:val="hy-AM" w:eastAsia="en-US"/>
        </w:rPr>
      </w:pPr>
      <w:r w:rsidRPr="00A83C94">
        <w:rPr>
          <w:rFonts w:eastAsia="Calibri" w:cs="GHEA Grapalat"/>
          <w:b w:val="0"/>
          <w:szCs w:val="22"/>
          <w:lang w:val="hy-AM" w:eastAsia="en-US"/>
        </w:rPr>
        <w:t>Աղբյուրը՝ ՀՀ ՖՆ</w:t>
      </w:r>
    </w:p>
    <w:p w14:paraId="7249253B" w14:textId="77777777" w:rsidR="00027FBF" w:rsidRPr="00A83C94" w:rsidRDefault="00027FBF" w:rsidP="00027FBF">
      <w:pPr>
        <w:spacing w:before="0" w:line="276" w:lineRule="auto"/>
        <w:ind w:firstLine="709"/>
        <w:contextualSpacing w:val="0"/>
        <w:rPr>
          <w:rFonts w:eastAsia="Calibri" w:cs="Arial"/>
          <w:b w:val="0"/>
          <w:bCs/>
          <w:i/>
          <w:iCs/>
          <w:sz w:val="20"/>
          <w:szCs w:val="20"/>
          <w:lang w:val="hy-AM" w:eastAsia="en-US"/>
        </w:rPr>
      </w:pPr>
    </w:p>
    <w:p w14:paraId="7B26378D"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0"/>
        <w:contextualSpacing w:val="0"/>
        <w:rPr>
          <w:rFonts w:eastAsia="Calibri"/>
          <w:bCs/>
          <w:color w:val="000000"/>
          <w:szCs w:val="22"/>
          <w:lang w:val="hy-AM" w:eastAsia="en-US"/>
        </w:rPr>
      </w:pPr>
      <w:bookmarkStart w:id="71" w:name="_Toc45840842"/>
      <w:bookmarkStart w:id="72" w:name="_Toc45841159"/>
      <w:bookmarkEnd w:id="71"/>
      <w:bookmarkEnd w:id="72"/>
      <w:r w:rsidRPr="00A83C94">
        <w:rPr>
          <w:rFonts w:eastAsia="Calibri"/>
          <w:bCs/>
          <w:color w:val="000000"/>
          <w:szCs w:val="22"/>
          <w:lang w:val="hy-AM" w:eastAsia="en-US"/>
        </w:rPr>
        <w:t>Ներդիր 4։ Կորոնավիրուսի ճգնաժամի հաղթահարմանն ուղղված հարկաբյուջետային քաղաքականության միջոցառումները</w:t>
      </w:r>
    </w:p>
    <w:p w14:paraId="042E0474"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hy-AM" w:eastAsia="en-US"/>
        </w:rPr>
      </w:pPr>
      <w:r w:rsidRPr="00A83C94">
        <w:rPr>
          <w:rFonts w:eastAsia="Calibri"/>
          <w:b w:val="0"/>
          <w:color w:val="000000"/>
          <w:szCs w:val="22"/>
          <w:lang w:val="hy-AM" w:eastAsia="en-US"/>
        </w:rPr>
        <w:t xml:space="preserve">COVID-19 համավարակի տարածման բացասական ազդեցությունները ՀՀ տնտեսության վրա արտացոլվել են ինչպես արտաքին աշխարհից փոխանցվող շոկերի այնպես էլ ներքին տնտեսական սահմանափակումների տեսքով: Տնտեսական խորը անկումը կանխելու, ինչպես նաև հետագա վերականգնումը խթանելու համար, կառավարությունը 2020 թվականին նախատեսել էր իրականացնել 150 մլրդ դրամ (ՀՆԱ-ի 2.4%-ի չափով) ընդհանուր գումարի չափով սոցիալ-տնտեսական աջակցության միջոցառումների ծրագիր: </w:t>
      </w:r>
    </w:p>
    <w:p w14:paraId="746D7CBA"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6"/>
        <w:contextualSpacing w:val="0"/>
        <w:rPr>
          <w:rFonts w:eastAsia="Calibri"/>
          <w:b w:val="0"/>
          <w:color w:val="000000"/>
          <w:szCs w:val="22"/>
          <w:lang w:val="hy-AM" w:eastAsia="en-US"/>
        </w:rPr>
      </w:pPr>
      <w:r w:rsidRPr="00A83C94">
        <w:rPr>
          <w:rFonts w:eastAsia="Calibri"/>
          <w:b w:val="0"/>
          <w:color w:val="000000"/>
          <w:szCs w:val="22"/>
          <w:lang w:val="hy-AM" w:eastAsia="en-US"/>
        </w:rPr>
        <w:t>2020 թվականին փաստացի ծախսվել է 39.0</w:t>
      </w:r>
      <w:r w:rsidRPr="00A83C94">
        <w:rPr>
          <w:rFonts w:ascii="Calibri" w:eastAsia="Calibri" w:hAnsi="Calibri" w:cs="Calibri"/>
          <w:b w:val="0"/>
          <w:color w:val="000000"/>
          <w:szCs w:val="22"/>
          <w:lang w:val="hy-AM" w:eastAsia="en-US"/>
        </w:rPr>
        <w:t> </w:t>
      </w:r>
      <w:r w:rsidRPr="00A83C94">
        <w:rPr>
          <w:rFonts w:eastAsia="Calibri"/>
          <w:b w:val="0"/>
          <w:color w:val="000000"/>
          <w:szCs w:val="22"/>
          <w:lang w:val="hy-AM" w:eastAsia="en-US"/>
        </w:rPr>
        <w:t>մլրդ դրամ, իսկ բյուջեից վարկավորումը կազմել է 19.4 մլրդ դրամ, որոնք միասին կազմում են ՀՆԱ-ի 0.95 տոկոսը: Մասնավորապես, սոցիալական աջակցության ծրագրերի գծով հատկացվել է 26.0</w:t>
      </w:r>
      <w:r w:rsidRPr="00A83C94">
        <w:rPr>
          <w:rFonts w:ascii="Calibri" w:eastAsia="Calibri" w:hAnsi="Calibri" w:cs="Calibri"/>
          <w:b w:val="0"/>
          <w:color w:val="000000"/>
          <w:szCs w:val="22"/>
          <w:lang w:val="hy-AM" w:eastAsia="en-US"/>
        </w:rPr>
        <w:t> </w:t>
      </w:r>
      <w:r w:rsidRPr="00A83C94">
        <w:rPr>
          <w:rFonts w:eastAsia="Calibri"/>
          <w:b w:val="0"/>
          <w:color w:val="000000"/>
          <w:szCs w:val="22"/>
          <w:lang w:val="hy-AM" w:eastAsia="en-US"/>
        </w:rPr>
        <w:t>մլրդ դրամ, իսկ տնտեսական հետևանքների չեզոքացման նպատակով տրամադրվել է 32.4</w:t>
      </w:r>
      <w:r w:rsidRPr="00A83C94">
        <w:rPr>
          <w:rFonts w:ascii="Calibri" w:eastAsia="Calibri" w:hAnsi="Calibri" w:cs="Calibri"/>
          <w:b w:val="0"/>
          <w:color w:val="000000"/>
          <w:szCs w:val="22"/>
          <w:lang w:val="hy-AM" w:eastAsia="en-US"/>
        </w:rPr>
        <w:t> </w:t>
      </w:r>
      <w:r w:rsidRPr="00A83C94">
        <w:rPr>
          <w:rFonts w:eastAsia="Calibri"/>
          <w:b w:val="0"/>
          <w:color w:val="000000"/>
          <w:szCs w:val="22"/>
          <w:lang w:val="hy-AM" w:eastAsia="en-US"/>
        </w:rPr>
        <w:t>մլրդ դրամ (որից 13.0 մլրդ դրամը բյուջեի ծախսերի աճի միջոցով, իսկ 19.4 մլրդ դրամը` դեֆիցիտի ֆինանսավորման գործառնությունների (ներքին վարկավորման) միջոցով): Երկարաժամկետ տնտեսական զարգացմանն ուղղված, 80.0 մլրդ դրամ նախապես ծրագրավորված ծավալով միջոցառումները 2020 թվականի ընթացքում չեն իրականացվել: COVID-19 համավարակի տարածման կանխարգելման առողջապահական ազդեցությունների մեղմման նպատակով կառավարությունն իրականացրել է նաև լրացուցիչ առողջապահական ծախսեր, որոնց ծավալը դեկտեմբերի վերջի դրությամբ կազմել է մոտ 36.4 մլրդ դրամ (ներառյալ Համաշխարհային բանկի աջակցությամբ իրականացվող ծրագրերը): Առավել մանրամասն ներկայացված է պետական բյուջեի 2020թ.-ի հաշվետվությունում:</w:t>
      </w:r>
    </w:p>
    <w:p w14:paraId="2756DA51"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6"/>
        <w:contextualSpacing w:val="0"/>
        <w:rPr>
          <w:rFonts w:eastAsia="Calibri"/>
          <w:b w:val="0"/>
          <w:color w:val="000000"/>
          <w:szCs w:val="22"/>
          <w:lang w:val="hy-AM" w:eastAsia="en-US"/>
        </w:rPr>
      </w:pPr>
      <w:r w:rsidRPr="00A83C94">
        <w:rPr>
          <w:rFonts w:eastAsia="Calibri"/>
          <w:b w:val="0"/>
          <w:color w:val="000000"/>
          <w:szCs w:val="22"/>
          <w:lang w:val="hy-AM" w:eastAsia="en-US"/>
        </w:rPr>
        <w:t>Բացի վերոնշյալ ծրագրերից, կառավարության հակաճգնաժամային արձագանքը ներառել է նաև շահութահարկի կանխավճարի գծով հիմնարար փոփոխությունները, որոնց միջոցով աջակցություն է ցուցաբերվել շահութահարկ վճարող տնտեսավարող սուբյեկտներին շրջանառու ֆինանսական միջոցների հետ կապված խնդիրների լուծման նպատակով, որի ընդհանուր ծավալը սկզբնական շրջանում գնահատված 65 մլրդ դրամի փոխարեն ներկայումս գնահատվում է շուրջ 70</w:t>
      </w:r>
      <w:r w:rsidRPr="00A83C94">
        <w:rPr>
          <w:rFonts w:ascii="Calibri" w:eastAsia="Calibri" w:hAnsi="Calibri" w:cs="Calibri"/>
          <w:b w:val="0"/>
          <w:color w:val="000000"/>
          <w:szCs w:val="22"/>
          <w:lang w:val="hy-AM" w:eastAsia="en-US"/>
        </w:rPr>
        <w:t> </w:t>
      </w:r>
      <w:r w:rsidRPr="00A83C94">
        <w:rPr>
          <w:rFonts w:eastAsia="Calibri"/>
          <w:b w:val="0"/>
          <w:color w:val="000000"/>
          <w:szCs w:val="22"/>
          <w:lang w:val="hy-AM" w:eastAsia="en-US"/>
        </w:rPr>
        <w:t>մլրդ դրամի չափ (որից տնտեսության մեջ թողնված շահութահարկի կանխավճարները 2020 թվականին կազմել են մոտ 52.0 մլրդ դրամ):</w:t>
      </w:r>
    </w:p>
    <w:p w14:paraId="4A021AE2"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hy-AM" w:eastAsia="en-US"/>
        </w:rPr>
      </w:pPr>
      <w:r w:rsidRPr="00A83C94">
        <w:rPr>
          <w:rFonts w:eastAsia="Calibri"/>
          <w:b w:val="0"/>
          <w:color w:val="000000"/>
          <w:szCs w:val="22"/>
          <w:lang w:val="hy-AM" w:eastAsia="en-US"/>
        </w:rPr>
        <w:t xml:space="preserve">Արդյունքում հակաճգնաժամային հարկաբյուջետային միջոցառումների չափը 2020 թվականին կազմել է 164.8 մլրդ դրամ կամ ՀՆԱ-ի 2.7%-ը: </w:t>
      </w:r>
    </w:p>
    <w:p w14:paraId="4DCE388D"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hy-AM" w:eastAsia="en-US"/>
        </w:rPr>
      </w:pPr>
      <w:r w:rsidRPr="00A83C94">
        <w:rPr>
          <w:rFonts w:eastAsia="Calibri"/>
          <w:b w:val="0"/>
          <w:color w:val="000000"/>
          <w:szCs w:val="22"/>
          <w:lang w:val="hy-AM" w:eastAsia="en-US"/>
        </w:rPr>
        <w:t>Հակաճգնաժամային հարկաբյուջետային միջոցառումները շարունակել են իրականացվել նաև 2021 թվականին: Կորոնավիրուսի տարածմամբ պայմանավորված՝ սոցիալ-տնտեսական բացասական հետևանքների մեղմման ուղղությամբ ընթացիկ տարվա հունվար-հունիս ամիսներին իրականացվել են շուրջ 19.8 մլրդ դրամի չափով ծրագրեր, որոնց կազմում առողջապահական ծրագրերին ուղղված ծախսերը կազմել են 13.1 մլրդ դրամ, տնտեսական աջակցության ծրագրերը՝ 5.9 մլրդ դրամ, 725.9 մլն դրամ ուղղվել է ընդհանուր բնույթի հանրային ծառայություններին, 1 մլն դրամ՝ սոցիալական պաշտպանությանը:</w:t>
      </w:r>
    </w:p>
    <w:p w14:paraId="7B5C5B00"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hy-AM" w:eastAsia="en-US"/>
        </w:rPr>
      </w:pPr>
      <w:r w:rsidRPr="00A83C94">
        <w:rPr>
          <w:rFonts w:eastAsia="Calibri"/>
          <w:b w:val="0"/>
          <w:color w:val="000000"/>
          <w:szCs w:val="22"/>
          <w:lang w:val="hy-AM" w:eastAsia="en-US"/>
        </w:rPr>
        <w:lastRenderedPageBreak/>
        <w:t>Արցախյան պատերազմի հետևանքների հակազդման ուղղությամբ իրականացված ծախսերը կազմել են շուրջ 41.1 մլրդ դրամ, որից սոցիալական պաշտպանության ոլորտի ծախսերը կազմել են շուրջ 39.0 մլրդ դրամ:</w:t>
      </w:r>
    </w:p>
    <w:p w14:paraId="211C10C7"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jc w:val="left"/>
        <w:rPr>
          <w:rFonts w:eastAsia="Calibri"/>
          <w:bCs/>
          <w:i/>
          <w:iCs/>
          <w:szCs w:val="22"/>
          <w:lang w:val="hy-AM" w:eastAsia="en-US"/>
        </w:rPr>
      </w:pPr>
      <w:r w:rsidRPr="00A83C94">
        <w:rPr>
          <w:rFonts w:eastAsia="Calibri"/>
          <w:bCs/>
          <w:i/>
          <w:iCs/>
          <w:szCs w:val="22"/>
          <w:lang w:val="hy-AM" w:eastAsia="en-US"/>
        </w:rPr>
        <w:t>Գծապատկեր 2.6. Հարկաբյուջետային քաղաքականությունների արձագանքը տնտեսական ճգնաժամերին</w:t>
      </w:r>
    </w:p>
    <w:p w14:paraId="4CBC6CD9"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0"/>
        <w:contextualSpacing w:val="0"/>
        <w:jc w:val="center"/>
        <w:rPr>
          <w:rFonts w:eastAsia="Calibri"/>
          <w:b w:val="0"/>
          <w:color w:val="000000"/>
          <w:szCs w:val="22"/>
          <w:lang w:val="en-US" w:eastAsia="en-US"/>
        </w:rPr>
      </w:pPr>
      <w:r w:rsidRPr="00A83C94">
        <w:rPr>
          <w:rFonts w:eastAsia="Calibri"/>
          <w:b w:val="0"/>
          <w:noProof/>
          <w:szCs w:val="22"/>
          <w:shd w:val="clear" w:color="auto" w:fill="D5DCE4"/>
          <w:lang w:val="en-US" w:eastAsia="en-US"/>
        </w:rPr>
        <w:drawing>
          <wp:inline distT="0" distB="0" distL="0" distR="0" wp14:anchorId="52138EAC" wp14:editId="5355381F">
            <wp:extent cx="3009900" cy="2520000"/>
            <wp:effectExtent l="0" t="0" r="0" b="1397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A83C94">
        <w:rPr>
          <w:rFonts w:eastAsia="Calibri"/>
          <w:b w:val="0"/>
          <w:noProof/>
          <w:szCs w:val="22"/>
          <w:shd w:val="clear" w:color="auto" w:fill="D5DCE4"/>
          <w:lang w:val="en-US" w:eastAsia="en-US"/>
        </w:rPr>
        <w:drawing>
          <wp:inline distT="0" distB="0" distL="0" distR="0" wp14:anchorId="0756DCB9" wp14:editId="2A5E686B">
            <wp:extent cx="2926080" cy="2520000"/>
            <wp:effectExtent l="0" t="0" r="7620" b="1397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3A89067"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jc w:val="left"/>
        <w:rPr>
          <w:rFonts w:eastAsia="Calibri"/>
          <w:bCs/>
          <w:i/>
          <w:iCs/>
          <w:szCs w:val="22"/>
          <w:lang w:val="en-US" w:eastAsia="en-US"/>
        </w:rPr>
      </w:pPr>
      <w:r w:rsidRPr="00A83C94">
        <w:rPr>
          <w:rFonts w:eastAsia="Calibri"/>
          <w:bCs/>
          <w:i/>
          <w:iCs/>
          <w:szCs w:val="22"/>
          <w:lang w:val="en-US" w:eastAsia="en-US"/>
        </w:rPr>
        <w:t>Գծապատկեր 2.7. Հարկաբյուջետային քաղաքականության արձագանքը համավարակի տնտեսական հետևանքներին առանձին երկրներում</w:t>
      </w:r>
    </w:p>
    <w:p w14:paraId="24B8BBE0"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0"/>
        <w:contextualSpacing w:val="0"/>
        <w:jc w:val="left"/>
        <w:rPr>
          <w:rFonts w:eastAsia="Calibri"/>
          <w:b w:val="0"/>
          <w:szCs w:val="22"/>
          <w:lang w:val="en-US" w:eastAsia="en-US"/>
        </w:rPr>
      </w:pPr>
      <w:r w:rsidRPr="00A83C94">
        <w:rPr>
          <w:rFonts w:ascii="Calibri" w:eastAsia="Calibri" w:hAnsi="Calibri"/>
          <w:noProof/>
          <w:sz w:val="18"/>
          <w:szCs w:val="22"/>
          <w:lang w:val="en-US" w:eastAsia="en-US"/>
        </w:rPr>
        <w:drawing>
          <wp:inline distT="0" distB="0" distL="0" distR="0" wp14:anchorId="02D8A817" wp14:editId="4CB53E51">
            <wp:extent cx="5943600" cy="3085465"/>
            <wp:effectExtent l="0" t="0" r="0" b="63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E0C4EF9"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jc w:val="left"/>
        <w:rPr>
          <w:rFonts w:eastAsia="Calibri"/>
          <w:bCs/>
          <w:i/>
          <w:iCs/>
          <w:szCs w:val="22"/>
          <w:lang w:val="en-US" w:eastAsia="en-US"/>
        </w:rPr>
      </w:pPr>
      <w:r w:rsidRPr="00A83C94">
        <w:rPr>
          <w:rFonts w:eastAsia="Calibri"/>
          <w:bCs/>
          <w:i/>
          <w:iCs/>
          <w:szCs w:val="22"/>
          <w:lang w:val="en-US" w:eastAsia="en-US"/>
        </w:rPr>
        <w:t>Գծապատկեր 2.8. Հարկաբյուջետային քաղաքականության արձագանքը համավարակի տնտեսական հետևանքներին առանձին երկրների խմբերում (միայն ծախսային և եկամտային միջոցառումներ)</w:t>
      </w:r>
    </w:p>
    <w:p w14:paraId="193E950E"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0"/>
        <w:contextualSpacing w:val="0"/>
        <w:jc w:val="left"/>
        <w:rPr>
          <w:rFonts w:eastAsia="Calibri"/>
          <w:b w:val="0"/>
          <w:color w:val="000000"/>
          <w:szCs w:val="22"/>
          <w:lang w:val="en-US" w:eastAsia="en-US"/>
        </w:rPr>
      </w:pPr>
      <w:r w:rsidRPr="00A83C94">
        <w:rPr>
          <w:rFonts w:eastAsia="Calibri"/>
          <w:b w:val="0"/>
          <w:noProof/>
          <w:color w:val="000000"/>
          <w:szCs w:val="22"/>
          <w:lang w:val="en-US" w:eastAsia="en-US"/>
        </w:rPr>
        <w:lastRenderedPageBreak/>
        <w:drawing>
          <wp:inline distT="0" distB="0" distL="0" distR="0" wp14:anchorId="6024799A" wp14:editId="7259E10F">
            <wp:extent cx="5943600" cy="231057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5703" cy="2315277"/>
                    </a:xfrm>
                    <a:prstGeom prst="rect">
                      <a:avLst/>
                    </a:prstGeom>
                    <a:noFill/>
                  </pic:spPr>
                </pic:pic>
              </a:graphicData>
            </a:graphic>
          </wp:inline>
        </w:drawing>
      </w:r>
    </w:p>
    <w:p w14:paraId="10E8F176"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en-US" w:eastAsia="en-US"/>
        </w:rPr>
      </w:pPr>
      <w:r w:rsidRPr="00A83C94">
        <w:rPr>
          <w:rFonts w:eastAsia="Calibri"/>
          <w:b w:val="0"/>
          <w:color w:val="000000"/>
          <w:szCs w:val="22"/>
          <w:lang w:val="en-US" w:eastAsia="en-US"/>
        </w:rPr>
        <w:t>Ընդհանուր առմամբ, համավարակին հակազդելու համար մշակված հարկաբյուջետային փաթեթներն աշխարհի մակարդակով գնահատվում են 16</w:t>
      </w:r>
      <w:r w:rsidRPr="00A83C94">
        <w:rPr>
          <w:rFonts w:ascii="Cambria Math" w:eastAsia="Calibri" w:hAnsi="Cambria Math" w:cs="Cambria Math"/>
          <w:b w:val="0"/>
          <w:color w:val="000000"/>
          <w:szCs w:val="22"/>
          <w:lang w:val="hy-AM" w:eastAsia="en-US"/>
        </w:rPr>
        <w:t>․</w:t>
      </w:r>
      <w:r w:rsidRPr="00A83C94">
        <w:rPr>
          <w:rFonts w:eastAsia="Calibri"/>
          <w:b w:val="0"/>
          <w:color w:val="000000"/>
          <w:szCs w:val="22"/>
          <w:lang w:val="hy-AM" w:eastAsia="en-US"/>
        </w:rPr>
        <w:t>5</w:t>
      </w:r>
      <w:r w:rsidRPr="00A83C94">
        <w:rPr>
          <w:rFonts w:eastAsia="Calibri"/>
          <w:b w:val="0"/>
          <w:color w:val="000000"/>
          <w:szCs w:val="22"/>
          <w:lang w:val="en-US" w:eastAsia="en-US"/>
        </w:rPr>
        <w:t xml:space="preserve"> տրիլիոն դոլար (2020, 2021 թվականի </w:t>
      </w:r>
      <w:r w:rsidRPr="00A83C94">
        <w:rPr>
          <w:rFonts w:eastAsia="Calibri"/>
          <w:b w:val="0"/>
          <w:color w:val="000000"/>
          <w:szCs w:val="22"/>
          <w:lang w:val="hy-AM" w:eastAsia="en-US"/>
        </w:rPr>
        <w:t xml:space="preserve">և հաջորդ տարիների </w:t>
      </w:r>
      <w:r w:rsidRPr="00A83C94">
        <w:rPr>
          <w:rFonts w:eastAsia="Calibri"/>
          <w:b w:val="0"/>
          <w:color w:val="000000"/>
          <w:szCs w:val="22"/>
          <w:lang w:val="en-US" w:eastAsia="en-US"/>
        </w:rPr>
        <w:t>համար նախատեսված միջոցառումներ)</w:t>
      </w:r>
      <w:r w:rsidRPr="00A83C94">
        <w:rPr>
          <w:rFonts w:eastAsia="Calibri"/>
          <w:b w:val="0"/>
          <w:color w:val="000000"/>
          <w:szCs w:val="22"/>
          <w:vertAlign w:val="superscript"/>
          <w:lang w:val="en-US" w:eastAsia="en-US"/>
        </w:rPr>
        <w:footnoteReference w:id="17"/>
      </w:r>
      <w:r w:rsidRPr="00A83C94">
        <w:rPr>
          <w:rFonts w:eastAsia="Calibri"/>
          <w:b w:val="0"/>
          <w:color w:val="000000"/>
          <w:szCs w:val="22"/>
          <w:lang w:val="en-US" w:eastAsia="en-US"/>
        </w:rPr>
        <w:t xml:space="preserve">։ Վերջինից 10 տրիլիոնը վերաբերում է ծախսային և հարկային միջոցառումներին, իսկ 6 տրիլիոնը՝ պետական վարկերին, կապիտալի ներարկումներին և վարկային երաշխիքներին։ Առավել խոշոր հակազդման փաթեթներով առանձնանում են </w:t>
      </w:r>
      <w:r w:rsidRPr="00A83C94">
        <w:rPr>
          <w:rFonts w:eastAsia="Calibri"/>
          <w:b w:val="0"/>
          <w:color w:val="000000"/>
          <w:szCs w:val="22"/>
          <w:lang w:val="hy-AM" w:eastAsia="en-US"/>
        </w:rPr>
        <w:t xml:space="preserve">Իտալիան, </w:t>
      </w:r>
      <w:r w:rsidRPr="00A83C94">
        <w:rPr>
          <w:rFonts w:eastAsia="Calibri"/>
          <w:b w:val="0"/>
          <w:color w:val="000000"/>
          <w:szCs w:val="22"/>
          <w:lang w:val="en-US" w:eastAsia="en-US"/>
        </w:rPr>
        <w:t>Ճապոնիան և Գերմանիան, որոնք իրականաց</w:t>
      </w:r>
      <w:r w:rsidRPr="00A83C94">
        <w:rPr>
          <w:rFonts w:eastAsia="Calibri"/>
          <w:b w:val="0"/>
          <w:color w:val="000000"/>
          <w:szCs w:val="22"/>
          <w:lang w:val="hy-AM" w:eastAsia="en-US"/>
        </w:rPr>
        <w:t>ում են</w:t>
      </w:r>
      <w:r w:rsidRPr="00A83C94">
        <w:rPr>
          <w:rFonts w:eastAsia="Calibri"/>
          <w:b w:val="0"/>
          <w:color w:val="000000"/>
          <w:szCs w:val="22"/>
          <w:lang w:val="en-US" w:eastAsia="en-US"/>
        </w:rPr>
        <w:t xml:space="preserve"> ՀՆԱ-ի ավելի քան 40%-ի չափով միջոցառումներ: Հատկանշական է, որ երկրների մեծ մասը կիրառում է պետական վարկավորումը կամ երաշխիքները՝ որպես աջակցության հիմնական գործիքներ: </w:t>
      </w:r>
    </w:p>
    <w:p w14:paraId="5383F842"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en-US" w:eastAsia="en-US"/>
        </w:rPr>
      </w:pPr>
      <w:r w:rsidRPr="00A83C94">
        <w:rPr>
          <w:rFonts w:eastAsia="Calibri"/>
          <w:b w:val="0"/>
          <w:color w:val="000000"/>
          <w:szCs w:val="22"/>
          <w:lang w:val="en-US" w:eastAsia="en-US"/>
        </w:rPr>
        <w:t xml:space="preserve">Սակայն պետք է նշել, որ հակազդման միջոցառումների ծավալները շեշտակիորեն տարբեր են ըստ զարգացող և զարգացած երկրների։ Այսպես, զարգացած երկրների գումարային փաթեթները մոտ են ՀՆԱ </w:t>
      </w:r>
      <w:r w:rsidRPr="00A83C94">
        <w:rPr>
          <w:rFonts w:eastAsia="Calibri"/>
          <w:b w:val="0"/>
          <w:color w:val="000000"/>
          <w:szCs w:val="22"/>
          <w:lang w:val="hy-AM" w:eastAsia="en-US"/>
        </w:rPr>
        <w:t>30</w:t>
      </w:r>
      <w:r w:rsidRPr="00A83C94">
        <w:rPr>
          <w:rFonts w:eastAsia="Calibri"/>
          <w:b w:val="0"/>
          <w:color w:val="000000"/>
          <w:szCs w:val="22"/>
          <w:lang w:val="en-US" w:eastAsia="en-US"/>
        </w:rPr>
        <w:t>%-ին, մինչդեռ զարգացող երկրներում` 7%-ին, իսկ ցածր եկամտային երկրներում՝ 2%</w:t>
      </w:r>
      <w:r w:rsidRPr="00A83C94">
        <w:rPr>
          <w:rFonts w:eastAsia="Calibri"/>
          <w:b w:val="0"/>
          <w:color w:val="000000"/>
          <w:szCs w:val="22"/>
          <w:lang w:val="en-US" w:eastAsia="en-US"/>
        </w:rPr>
        <w:noBreakHyphen/>
        <w:t>ին։ Հայաստանի փաթեթը, որը հանրագումարային առումով գնահատվում է 2020</w:t>
      </w:r>
      <w:r w:rsidRPr="00A83C94">
        <w:rPr>
          <w:rFonts w:eastAsia="Calibri"/>
          <w:b w:val="0"/>
          <w:color w:val="000000"/>
          <w:szCs w:val="22"/>
          <w:lang w:val="hy-AM" w:eastAsia="en-US"/>
        </w:rPr>
        <w:t>թ</w:t>
      </w:r>
      <w:r w:rsidRPr="00A83C94">
        <w:rPr>
          <w:rFonts w:ascii="Cambria Math" w:eastAsia="Calibri" w:hAnsi="Cambria Math" w:cs="Cambria Math"/>
          <w:b w:val="0"/>
          <w:color w:val="000000"/>
          <w:szCs w:val="22"/>
          <w:lang w:val="hy-AM" w:eastAsia="en-US"/>
        </w:rPr>
        <w:t>․</w:t>
      </w:r>
      <w:r w:rsidRPr="00A83C94">
        <w:rPr>
          <w:rFonts w:eastAsia="Calibri"/>
          <w:b w:val="0"/>
          <w:color w:val="000000"/>
          <w:szCs w:val="22"/>
          <w:lang w:val="hy-AM" w:eastAsia="en-US"/>
        </w:rPr>
        <w:t xml:space="preserve">-ի </w:t>
      </w:r>
      <w:r w:rsidRPr="00A83C94">
        <w:rPr>
          <w:rFonts w:eastAsia="Calibri"/>
          <w:b w:val="0"/>
          <w:color w:val="000000"/>
          <w:szCs w:val="22"/>
          <w:lang w:val="en-US" w:eastAsia="en-US"/>
        </w:rPr>
        <w:t>ՀՆԱ 3.</w:t>
      </w:r>
      <w:r w:rsidRPr="00A83C94">
        <w:rPr>
          <w:rFonts w:eastAsia="Calibri"/>
          <w:b w:val="0"/>
          <w:color w:val="000000"/>
          <w:szCs w:val="22"/>
          <w:lang w:val="hy-AM" w:eastAsia="en-US"/>
        </w:rPr>
        <w:t>9</w:t>
      </w:r>
      <w:r w:rsidRPr="00A83C94">
        <w:rPr>
          <w:rFonts w:eastAsia="Calibri"/>
          <w:b w:val="0"/>
          <w:color w:val="000000"/>
          <w:szCs w:val="22"/>
          <w:lang w:val="en-US" w:eastAsia="en-US"/>
        </w:rPr>
        <w:t>%-ի</w:t>
      </w:r>
      <w:r w:rsidRPr="00A83C94">
        <w:rPr>
          <w:rFonts w:eastAsia="Calibri"/>
          <w:b w:val="0"/>
          <w:color w:val="000000"/>
          <w:szCs w:val="22"/>
          <w:vertAlign w:val="superscript"/>
          <w:lang w:val="en-US" w:eastAsia="en-US"/>
        </w:rPr>
        <w:footnoteReference w:id="18"/>
      </w:r>
      <w:r w:rsidRPr="00A83C94">
        <w:rPr>
          <w:rFonts w:eastAsia="Calibri"/>
          <w:b w:val="0"/>
          <w:color w:val="000000"/>
          <w:szCs w:val="22"/>
          <w:vertAlign w:val="superscript"/>
          <w:lang w:val="en-US" w:eastAsia="en-US"/>
        </w:rPr>
        <w:t xml:space="preserve"> </w:t>
      </w:r>
      <w:r w:rsidRPr="00A83C94">
        <w:rPr>
          <w:rFonts w:eastAsia="Calibri"/>
          <w:b w:val="0"/>
          <w:color w:val="000000"/>
          <w:szCs w:val="22"/>
          <w:lang w:val="en-US" w:eastAsia="en-US"/>
        </w:rPr>
        <w:t>շրջանակներում, համադրելի է զարգացող երկրների փաթեթների հետ։</w:t>
      </w:r>
    </w:p>
    <w:p w14:paraId="08D7E541" w14:textId="77777777" w:rsidR="00027FBF" w:rsidRPr="00A83C94" w:rsidRDefault="00027FBF" w:rsidP="00027FBF">
      <w:pPr>
        <w:spacing w:before="0"/>
        <w:rPr>
          <w:lang w:val="hy-AM"/>
        </w:rPr>
      </w:pPr>
    </w:p>
    <w:p w14:paraId="5D82A9F4" w14:textId="77777777" w:rsidR="00027FBF" w:rsidRPr="00A83C94" w:rsidRDefault="00027FBF" w:rsidP="00027FBF">
      <w:pPr>
        <w:keepNext/>
        <w:keepLines/>
        <w:spacing w:before="0" w:line="312" w:lineRule="auto"/>
        <w:contextualSpacing w:val="0"/>
        <w:jc w:val="left"/>
        <w:outlineLvl w:val="2"/>
        <w:rPr>
          <w:sz w:val="24"/>
          <w:lang w:val="hy-AM" w:eastAsia="en-US"/>
        </w:rPr>
      </w:pPr>
      <w:bookmarkStart w:id="73" w:name="_Toc45838526"/>
      <w:bookmarkStart w:id="74" w:name="_Toc46154354"/>
      <w:bookmarkStart w:id="75" w:name="_Toc52452094"/>
      <w:bookmarkStart w:id="76" w:name="_Toc52188795"/>
      <w:bookmarkStart w:id="77" w:name="_Toc57655455"/>
      <w:bookmarkStart w:id="78" w:name="_Toc83199223"/>
      <w:bookmarkStart w:id="79" w:name="_Toc83972839"/>
      <w:bookmarkStart w:id="80" w:name="_Toc89428294"/>
      <w:r w:rsidRPr="00A83C94">
        <w:rPr>
          <w:sz w:val="24"/>
          <w:lang w:val="hy-AM" w:eastAsia="en-US"/>
        </w:rPr>
        <w:t>2.3. ՀԱՐԿԱԲՅՈՒՋԵՏԱՅԻՆ ՌԻՍԿԵՐ</w:t>
      </w:r>
      <w:bookmarkEnd w:id="73"/>
      <w:bookmarkEnd w:id="74"/>
      <w:bookmarkEnd w:id="75"/>
      <w:bookmarkEnd w:id="76"/>
      <w:bookmarkEnd w:id="77"/>
      <w:bookmarkEnd w:id="78"/>
      <w:bookmarkEnd w:id="79"/>
      <w:bookmarkEnd w:id="80"/>
    </w:p>
    <w:p w14:paraId="78BEF072" w14:textId="77777777" w:rsidR="00027FBF" w:rsidRPr="00A83C94" w:rsidRDefault="00027FBF" w:rsidP="00027FBF">
      <w:pPr>
        <w:spacing w:before="0" w:after="120" w:line="276" w:lineRule="auto"/>
        <w:ind w:firstLine="709"/>
        <w:contextualSpacing w:val="0"/>
        <w:rPr>
          <w:rFonts w:eastAsia="Calibri"/>
          <w:b w:val="0"/>
          <w:szCs w:val="22"/>
          <w:lang w:val="hy-AM" w:eastAsia="en-US"/>
        </w:rPr>
      </w:pPr>
      <w:r w:rsidRPr="00A83C94">
        <w:rPr>
          <w:rFonts w:eastAsia="Calibri"/>
          <w:b w:val="0"/>
          <w:szCs w:val="22"/>
          <w:lang w:val="hy-AM" w:eastAsia="en-US"/>
        </w:rPr>
        <w:t>Հարկաբյուջետային կանխատեսումները հիմնված են մի շարք ենթադրությունների և հիմնական դատողությունների վրա,  որոնց համար օգտագործվել է տվյալ պահի դրությամբ առկա և հասանելի ամբողջ տեղեկատվությունը</w:t>
      </w:r>
      <w:r w:rsidRPr="00A83C94">
        <w:rPr>
          <w:rFonts w:eastAsia="Calibri"/>
          <w:b w:val="0"/>
          <w:szCs w:val="22"/>
          <w:vertAlign w:val="superscript"/>
          <w:lang w:val="hy-AM" w:eastAsia="en-US"/>
        </w:rPr>
        <w:footnoteReference w:id="19"/>
      </w:r>
      <w:r w:rsidRPr="00A83C94">
        <w:rPr>
          <w:rFonts w:eastAsia="Calibri"/>
          <w:b w:val="0"/>
          <w:szCs w:val="22"/>
          <w:lang w:val="hy-AM" w:eastAsia="en-US"/>
        </w:rPr>
        <w:t xml:space="preserve">: Ինչպես ցանկացած կանխատեսում, հարկաբյուջետային կանխատեսումները նույնպես պարունակում են ռիսկեր առ այն, որ փաստացի իրադարձությունները կարող են տարբերվել սպասումներից: 2021 թվականի </w:t>
      </w:r>
      <w:r w:rsidRPr="00A83C94">
        <w:rPr>
          <w:rFonts w:eastAsia="Calibri"/>
          <w:b w:val="0"/>
          <w:szCs w:val="22"/>
          <w:lang w:val="hy-AM" w:eastAsia="en-US"/>
        </w:rPr>
        <w:lastRenderedPageBreak/>
        <w:t>պետական բյուջեի հիմքում ընկած հիմնական մակրոտնտեսական հարկաբյուջետային ռիսկերը հետևյալն են՝</w:t>
      </w:r>
    </w:p>
    <w:p w14:paraId="501B3A74" w14:textId="77777777" w:rsidR="00027FBF" w:rsidRPr="00A83C94" w:rsidRDefault="00027FBF" w:rsidP="00027FBF">
      <w:pPr>
        <w:numPr>
          <w:ilvl w:val="0"/>
          <w:numId w:val="50"/>
        </w:numPr>
        <w:spacing w:before="0" w:after="160" w:line="276" w:lineRule="auto"/>
        <w:ind w:left="567" w:hanging="283"/>
        <w:contextualSpacing w:val="0"/>
        <w:rPr>
          <w:b w:val="0"/>
          <w:bCs/>
          <w:lang w:val="hy-AM"/>
        </w:rPr>
      </w:pPr>
      <w:r w:rsidRPr="00A83C94">
        <w:rPr>
          <w:lang w:val="hy-AM"/>
        </w:rPr>
        <w:t>COVID-19 համավարակի անորոշություններ։</w:t>
      </w:r>
      <w:r w:rsidRPr="00A83C94">
        <w:rPr>
          <w:b w:val="0"/>
          <w:bCs/>
          <w:lang w:val="hy-AM"/>
        </w:rPr>
        <w:t xml:space="preserve"> 2020թ. տնտեսական ճգնաժամով պայմանավորված տնտեսական աճի անորոշությունները դեռևս պահպանվում են և առկա են տնտեսական աճի երկկողմանի ռիսկեր: Տնտեսական աճի բացասական ռիսկերի ի հայտ գալու պարագայում հարկային եկամուտները 2022թ. բյուջեի հարկաբյուջետային շրջանակից ավելի ցածր կլինեն: Հաշվի առնելով նաև այն, որ ընթացիկ ծախսերը, համաձայն հարկաբյուջետային կանոնների, 2022թ.-ին սահմանափակված են հարկային եկամուտներով և նախորդ 7 տարիների անվանական ՀՆԱ-ի աճի տեմպով, ապա կառավարության հնարավորությունները ընթացիկ ծախսերի իրականացման գծով տնտեսական աճի՝ կանխատեսումներից ավելի ցածր լինելու պարագայում նույնպես կկրճատվեն: Այդ ռիսկերի առարկայանալու պարագայում պետք է վերանայվեն համապատասխան ծախսային ծրագրերը։</w:t>
      </w:r>
    </w:p>
    <w:p w14:paraId="3F9E437D" w14:textId="77777777" w:rsidR="00027FBF" w:rsidRPr="00A83C94" w:rsidRDefault="00027FBF" w:rsidP="00027FBF">
      <w:pPr>
        <w:numPr>
          <w:ilvl w:val="0"/>
          <w:numId w:val="50"/>
        </w:numPr>
        <w:spacing w:before="0" w:after="160" w:line="276" w:lineRule="auto"/>
        <w:ind w:left="567" w:hanging="283"/>
        <w:contextualSpacing w:val="0"/>
        <w:rPr>
          <w:b w:val="0"/>
          <w:bCs/>
          <w:lang w:val="hy-AM"/>
        </w:rPr>
      </w:pPr>
      <w:r w:rsidRPr="00A83C94">
        <w:rPr>
          <w:lang w:val="hy-AM"/>
        </w:rPr>
        <w:t>Համավարակի և Արցախյան պատերազմի հետևանքների մեղմանն և տնտեսության հետագա վերականգնմանն ուղղված ՀՀ կառավարության միջոցառումների ընթացքը</w:t>
      </w:r>
      <w:r w:rsidRPr="00A83C94">
        <w:rPr>
          <w:b w:val="0"/>
          <w:bCs/>
          <w:lang w:val="hy-AM"/>
        </w:rPr>
        <w:t xml:space="preserve">։ ՀՀ կառավարության կողմից իրականացվող COVID 19-ի հետևանքների չեզոքացման, ինչպես նաև Արցախյան պատերազմի հետևանքների մեղմանն ուղղված միջոցառումների գծով հնարավոր է նախատեսվեն աջակցության նոր ծրագրեր, որոնց արդյունքում հարկաբյուջետային շրջանակի ցուցանիշները վերանայման կարիք կունենան: </w:t>
      </w:r>
    </w:p>
    <w:p w14:paraId="358FF9F6" w14:textId="77777777" w:rsidR="00027FBF" w:rsidRPr="00A83C94" w:rsidRDefault="00027FBF" w:rsidP="00027FBF">
      <w:pPr>
        <w:numPr>
          <w:ilvl w:val="0"/>
          <w:numId w:val="50"/>
        </w:numPr>
        <w:spacing w:before="0" w:after="160" w:line="276" w:lineRule="auto"/>
        <w:ind w:left="567" w:hanging="283"/>
        <w:contextualSpacing w:val="0"/>
        <w:rPr>
          <w:b w:val="0"/>
          <w:bCs/>
          <w:lang w:val="hy-AM"/>
        </w:rPr>
      </w:pPr>
      <w:r w:rsidRPr="00A83C94">
        <w:rPr>
          <w:lang w:val="hy-AM"/>
        </w:rPr>
        <w:t>Հարկային քաղաքականության լրացուցիչ միջոցառումներ:</w:t>
      </w:r>
      <w:r w:rsidRPr="00A83C94">
        <w:rPr>
          <w:b w:val="0"/>
          <w:bCs/>
          <w:lang w:val="hy-AM"/>
        </w:rPr>
        <w:t xml:space="preserve"> Հարկային օրենսդրության փոփոխությունների գծով 2022թ. համար հաշվի են առնվել արդեն իսկ հարկային օրենսգրքով հաստատված փոփոխությունները: Սակայն, հարկային ճեղքի նվազեցման միջոցառումների շրջանակներում քննարկվում են նաև հավելյալ բարեփոխումների իրականացման նպատակահարմարության հարցերը</w:t>
      </w:r>
      <w:r w:rsidRPr="00A83C94">
        <w:rPr>
          <w:rFonts w:ascii="Cambria Math" w:hAnsi="Cambria Math" w:cs="Cambria Math"/>
          <w:b w:val="0"/>
          <w:bCs/>
          <w:lang w:val="hy-AM"/>
        </w:rPr>
        <w:t>․</w:t>
      </w:r>
      <w:r w:rsidRPr="00A83C94">
        <w:rPr>
          <w:b w:val="0"/>
          <w:bCs/>
          <w:lang w:val="hy-AM"/>
        </w:rPr>
        <w:t xml:space="preserve"> շրջանառության հարկի շեմի փոփոխություն և դրույքաչափի ճշգրտում, բնապահպանական հարկի ներդրում, գործող բնապահպանական հարկերի դրույքաչափի բարձրացում, ԱԱՀ արտոնությունների վերացում և այլն՝ ուղղված հարկային քաղաքականության ճեղքի կրճատմանը և հարկային եկամուտների՝ ՀՆԱ-ի նկատմամբ մակարդակի բարձրացմանը: Իրականացման ժամկետների անորոշություններով պայմանավորված դրանք 2022թ. պետական բյուջեի հիմքում դրվող կանխատեսումներում ներառվել են որպես ռիսկեր, որոնք կարող հանգեցնել հարկային եկամուտների կանխատեսումների դեպի վերև շեղմանը: </w:t>
      </w:r>
    </w:p>
    <w:p w14:paraId="6F752D41" w14:textId="77777777" w:rsidR="00027FBF" w:rsidRPr="00A83C94" w:rsidRDefault="00027FBF" w:rsidP="00027FBF">
      <w:pPr>
        <w:numPr>
          <w:ilvl w:val="0"/>
          <w:numId w:val="50"/>
        </w:numPr>
        <w:spacing w:before="0" w:after="160" w:line="276" w:lineRule="auto"/>
        <w:ind w:left="567" w:hanging="283"/>
        <w:contextualSpacing w:val="0"/>
        <w:rPr>
          <w:b w:val="0"/>
          <w:bCs/>
          <w:lang w:val="hy-AM"/>
        </w:rPr>
      </w:pPr>
      <w:r w:rsidRPr="00A83C94">
        <w:rPr>
          <w:lang w:val="hy-AM"/>
        </w:rPr>
        <w:t>Կապիտալ ծախսերի թերակատարում</w:t>
      </w:r>
      <w:r w:rsidRPr="00A83C94">
        <w:rPr>
          <w:b w:val="0"/>
          <w:bCs/>
          <w:lang w:val="hy-AM"/>
        </w:rPr>
        <w:t xml:space="preserve">: 2022թ. պետական բյուջեի սցենարում նախատեսվել է կապիտալ ծախսերի զգալի աճ՝ հասցնելով դրանց մակարդակը ՀՆԱ-ի </w:t>
      </w:r>
      <w:r>
        <w:rPr>
          <w:b w:val="0"/>
          <w:bCs/>
          <w:lang w:val="hy-AM"/>
        </w:rPr>
        <w:t>4.5</w:t>
      </w:r>
      <w:r w:rsidRPr="00A83C94">
        <w:rPr>
          <w:b w:val="0"/>
          <w:bCs/>
          <w:lang w:val="hy-AM"/>
        </w:rPr>
        <w:t>%</w:t>
      </w:r>
      <w:r w:rsidRPr="00A83C94">
        <w:rPr>
          <w:b w:val="0"/>
          <w:bCs/>
          <w:lang w:val="hy-AM"/>
        </w:rPr>
        <w:noBreakHyphen/>
        <w:t xml:space="preserve">ին: Սակայն հաշվի առնելով նախորդ տարիների փաստացի ցածր կատարողականները (չնայած այն հանգամանքին, որ առկա է եղել կատարողականների բարելավման միտում), առկա է ծրագրավորված ցուցանիշների թերակատարման ռիսկ, ինչը կարող է բացասական ազդեցություն ունենալ տնտեսական աճի վրա՝ հետևաբար նաև հարկաբյուջետային շրջանակի ցուցանիշների վրա: </w:t>
      </w:r>
    </w:p>
    <w:p w14:paraId="7D55FD1D" w14:textId="77777777" w:rsidR="00027FBF" w:rsidRPr="00A83C94" w:rsidRDefault="00027FBF" w:rsidP="00027FBF">
      <w:pPr>
        <w:spacing w:before="0" w:after="120" w:line="276" w:lineRule="auto"/>
        <w:ind w:firstLine="709"/>
        <w:contextualSpacing w:val="0"/>
        <w:rPr>
          <w:rFonts w:eastAsia="Calibri"/>
          <w:szCs w:val="22"/>
          <w:lang w:val="hy-AM" w:eastAsia="en-US"/>
        </w:rPr>
      </w:pPr>
      <w:r w:rsidRPr="00A83C94">
        <w:rPr>
          <w:rFonts w:eastAsia="Calibri"/>
          <w:szCs w:val="22"/>
          <w:lang w:val="hy-AM" w:eastAsia="en-US"/>
        </w:rPr>
        <w:lastRenderedPageBreak/>
        <w:t>Հարկաբյուջետային շրջանակի հնարավոր փոփոխությունները մակրոտնտեսական կանխատեսումների շեղումների դեպքում և սթրես թեստերի ներքո</w:t>
      </w:r>
      <w:r w:rsidRPr="00A83C94">
        <w:rPr>
          <w:rFonts w:eastAsia="Calibri"/>
          <w:szCs w:val="22"/>
          <w:vertAlign w:val="superscript"/>
          <w:lang w:val="en-US" w:eastAsia="en-US"/>
        </w:rPr>
        <w:footnoteReference w:id="20"/>
      </w:r>
      <w:r w:rsidRPr="00A83C94">
        <w:rPr>
          <w:rFonts w:eastAsia="Calibri"/>
          <w:szCs w:val="22"/>
          <w:lang w:val="hy-AM" w:eastAsia="en-US"/>
        </w:rPr>
        <w:t>.</w:t>
      </w:r>
    </w:p>
    <w:p w14:paraId="66DC2DF4" w14:textId="77777777" w:rsidR="00027FBF" w:rsidRPr="00A83C94" w:rsidRDefault="00027FBF" w:rsidP="00027FBF">
      <w:pPr>
        <w:numPr>
          <w:ilvl w:val="1"/>
          <w:numId w:val="38"/>
        </w:numPr>
        <w:spacing w:before="0" w:after="120" w:line="276" w:lineRule="auto"/>
        <w:ind w:left="567" w:hanging="283"/>
        <w:contextualSpacing w:val="0"/>
        <w:rPr>
          <w:rFonts w:eastAsia="Calibri"/>
          <w:b w:val="0"/>
          <w:szCs w:val="22"/>
          <w:lang w:val="hy-AM" w:eastAsia="en-US"/>
        </w:rPr>
      </w:pPr>
      <w:r w:rsidRPr="00A83C94">
        <w:rPr>
          <w:rFonts w:eastAsia="Calibri"/>
          <w:szCs w:val="22"/>
          <w:lang w:val="hy-AM" w:eastAsia="en-US"/>
        </w:rPr>
        <w:t>Հարկային եկամուտներ:</w:t>
      </w:r>
      <w:r w:rsidRPr="00A83C94">
        <w:rPr>
          <w:rFonts w:eastAsia="Calibri"/>
          <w:b w:val="0"/>
          <w:szCs w:val="22"/>
          <w:lang w:val="hy-AM" w:eastAsia="en-US"/>
        </w:rPr>
        <w:t xml:space="preserve"> Կանխատեսվող հորիզոնում ՀՀ պետական բյուջեի հարկային եկամուտների վրա գնահատված է մակրոտնտեսական ցուցանիշների՝ իրական ՀՆԱ-ի աճի, գնաճի, փոխարժեքի տատանողականության և ներմուծման ռիսկերի շեղման ամփոփ գնահատականը: Հարկային եկամուտների վրա ազդող վերոնշյալ ռիսկերի միաժամանակյա ի հայտ գալու պարագայում հարկային եկամուտների ծրագրված մակարդակից շեղումը 2022 թվականին կկազմի շուրջ 27.0 մլրդ ՀՀ դրամ:</w:t>
      </w:r>
    </w:p>
    <w:p w14:paraId="27DBE38D" w14:textId="77777777" w:rsidR="00027FBF" w:rsidRPr="00A83C94" w:rsidRDefault="00027FBF" w:rsidP="00027FBF">
      <w:pPr>
        <w:numPr>
          <w:ilvl w:val="1"/>
          <w:numId w:val="38"/>
        </w:numPr>
        <w:spacing w:before="0" w:after="120" w:line="276" w:lineRule="auto"/>
        <w:ind w:left="567" w:hanging="283"/>
        <w:contextualSpacing w:val="0"/>
        <w:rPr>
          <w:rFonts w:eastAsia="Calibri"/>
          <w:b w:val="0"/>
          <w:szCs w:val="22"/>
          <w:lang w:val="hy-AM" w:eastAsia="en-US"/>
        </w:rPr>
      </w:pPr>
      <w:r w:rsidRPr="00A83C94">
        <w:rPr>
          <w:rFonts w:eastAsia="Calibri"/>
          <w:szCs w:val="22"/>
          <w:lang w:val="hy-AM" w:eastAsia="en-US"/>
        </w:rPr>
        <w:t>Պետական բյուջեի ծախսեր:</w:t>
      </w:r>
      <w:r w:rsidRPr="00A83C94">
        <w:rPr>
          <w:rFonts w:eastAsia="Calibri"/>
          <w:b w:val="0"/>
          <w:szCs w:val="22"/>
          <w:lang w:val="hy-AM" w:eastAsia="en-US"/>
        </w:rPr>
        <w:t xml:space="preserve"> 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 ՀՀ պետական բյուջեի ծախսերի վրա գնահատված է մակրոտնտեսական ցուցանիշների՝ իրական ՀՆԱ-ի աճի, գնաճի, փոխարժեքի տատանողականության և ներմուծման ռիսկերի շեղման ամփոփ գնահատականը, որոնց միաժամանակյա ի հայտ գալու պարագայում 2022 թվականին ՀՀ պետական բյուջեի դեֆիցիտի լրացուցիչ ֆինանսավորման պահանջը կկազմի շուրջ 22</w:t>
      </w:r>
      <w:r w:rsidRPr="00A83C94">
        <w:rPr>
          <w:rFonts w:eastAsia="Calibri" w:cs="Sylfaen"/>
          <w:b w:val="0"/>
          <w:szCs w:val="22"/>
          <w:lang w:val="hy-AM" w:eastAsia="en-US"/>
        </w:rPr>
        <w:t>.4 մլրդ ՀՀ դրամ կամ ՀՆԱ-ի 0.3%-ը:</w:t>
      </w:r>
      <w:r w:rsidRPr="00A83C94">
        <w:rPr>
          <w:rFonts w:eastAsia="Calibri"/>
          <w:b w:val="0"/>
          <w:szCs w:val="22"/>
          <w:lang w:val="hy-AM" w:eastAsia="en-US"/>
        </w:rPr>
        <w:t xml:space="preserve"> Ընդ որում` ՀՀ կառա</w:t>
      </w:r>
      <w:r w:rsidRPr="00A83C94">
        <w:rPr>
          <w:rFonts w:eastAsia="Calibri"/>
          <w:b w:val="0"/>
          <w:szCs w:val="22"/>
          <w:lang w:val="hy-AM" w:eastAsia="en-US"/>
        </w:rPr>
        <w:softHyphen/>
        <w:t>վարու</w:t>
      </w:r>
      <w:r w:rsidRPr="00A83C94">
        <w:rPr>
          <w:rFonts w:eastAsia="Calibri"/>
          <w:b w:val="0"/>
          <w:szCs w:val="22"/>
          <w:lang w:val="hy-AM" w:eastAsia="en-US"/>
        </w:rPr>
        <w:softHyphen/>
        <w:t>թյան տնտեսական քաղաքականության հիմնական նպատակադրումը լինելու է սոցիալական բնույթի ծախսերի կրճատման բացառումը, իսկ հնարավորության դեպքում` բյուջեի ծախսերի ամբողջական իրականացումը:</w:t>
      </w:r>
    </w:p>
    <w:p w14:paraId="39B56001" w14:textId="77777777" w:rsidR="00027FBF" w:rsidRPr="00A83C94" w:rsidRDefault="00027FBF" w:rsidP="00027FBF">
      <w:pPr>
        <w:numPr>
          <w:ilvl w:val="1"/>
          <w:numId w:val="38"/>
        </w:numPr>
        <w:spacing w:before="0" w:after="120" w:line="276" w:lineRule="auto"/>
        <w:ind w:left="567" w:hanging="283"/>
        <w:contextualSpacing w:val="0"/>
        <w:rPr>
          <w:rFonts w:eastAsia="Calibri"/>
          <w:b w:val="0"/>
          <w:szCs w:val="22"/>
          <w:lang w:val="hy-AM" w:eastAsia="en-US"/>
        </w:rPr>
      </w:pPr>
      <w:r w:rsidRPr="00A83C94">
        <w:rPr>
          <w:rFonts w:eastAsia="Calibri"/>
          <w:szCs w:val="22"/>
          <w:lang w:val="hy-AM" w:eastAsia="en-US"/>
        </w:rPr>
        <w:t>ՀՀ կառավարության պարտք։</w:t>
      </w:r>
      <w:r w:rsidRPr="00A83C94">
        <w:rPr>
          <w:rFonts w:eastAsia="Calibri"/>
          <w:b w:val="0"/>
          <w:szCs w:val="22"/>
          <w:lang w:val="hy-AM" w:eastAsia="en-US"/>
        </w:rPr>
        <w:t xml:space="preserve"> </w:t>
      </w:r>
      <w:r w:rsidRPr="00A83C94">
        <w:rPr>
          <w:rFonts w:eastAsia="Calibri" w:cs="Sylfaen"/>
          <w:b w:val="0"/>
          <w:szCs w:val="22"/>
          <w:lang w:val="hy-AM" w:eastAsia="en-US"/>
        </w:rPr>
        <w:t>ՀՀ կառավարության պարտքը շարունակում է գնահատվել կայուն և կառավարելի, սակայն բավականին շոշափելի են պարտքի բեռի ներկա մակարդակից բխող ռիսկերը: Մասնավորապես, չնայած՝ պարտք</w:t>
      </w:r>
      <w:r w:rsidRPr="00E011D0">
        <w:rPr>
          <w:rFonts w:eastAsia="Calibri" w:cs="Sylfaen"/>
          <w:b w:val="0"/>
          <w:szCs w:val="22"/>
          <w:lang w:val="hy-AM" w:eastAsia="en-US"/>
        </w:rPr>
        <w:t>ն</w:t>
      </w:r>
      <w:r w:rsidRPr="00A83C94">
        <w:rPr>
          <w:rFonts w:eastAsia="Calibri" w:cs="Sylfaen"/>
          <w:b w:val="0"/>
          <w:szCs w:val="22"/>
          <w:lang w:val="hy-AM" w:eastAsia="en-US"/>
        </w:rPr>
        <w:t xml:space="preserve"> ըստ ԱՄՀ և ՀԲ մեթոդաբանության գնահատվում է ցածր ռիսկային (բայց միևնույն ժամանակ խիստ մոտ միջին ռիսկայնության սահմանագծին), սակայն տնտեսական աճի և փոխարժեքի շոկերի դեպքում պարտք/ՀՆԱ ցուցանիշը բարձր է մնում ՀՀ հարկաբյուջետային կանոններով սահմանված 60% սահմանային շեմից։</w:t>
      </w:r>
      <w:r w:rsidRPr="00A83C94">
        <w:rPr>
          <w:rFonts w:eastAsia="Calibri"/>
          <w:b w:val="0"/>
          <w:szCs w:val="22"/>
          <w:lang w:val="hy-AM" w:eastAsia="en-US"/>
        </w:rPr>
        <w:t xml:space="preserve"> Բացի այդ, </w:t>
      </w:r>
      <w:r w:rsidRPr="00A83C94">
        <w:rPr>
          <w:rFonts w:eastAsia="Calibri" w:cs="Sylfaen"/>
          <w:b w:val="0"/>
          <w:szCs w:val="22"/>
          <w:lang w:val="hy-AM" w:eastAsia="en-US"/>
        </w:rPr>
        <w:t>ՀՀ</w:t>
      </w:r>
      <w:r w:rsidRPr="00A83C94">
        <w:rPr>
          <w:rFonts w:eastAsia="Calibri"/>
          <w:b w:val="0"/>
          <w:szCs w:val="22"/>
          <w:lang w:val="hy-AM" w:eastAsia="en-US"/>
        </w:rPr>
        <w:t xml:space="preserve"> </w:t>
      </w:r>
      <w:r w:rsidRPr="00A83C94">
        <w:rPr>
          <w:rFonts w:eastAsia="Calibri" w:cs="Sylfaen"/>
          <w:b w:val="0"/>
          <w:szCs w:val="22"/>
          <w:lang w:val="hy-AM" w:eastAsia="en-US"/>
        </w:rPr>
        <w:t>կառավարության</w:t>
      </w:r>
      <w:r w:rsidRPr="00A83C94">
        <w:rPr>
          <w:rFonts w:eastAsia="Calibri"/>
          <w:b w:val="0"/>
          <w:szCs w:val="22"/>
          <w:lang w:val="hy-AM" w:eastAsia="en-US"/>
        </w:rPr>
        <w:t xml:space="preserve"> </w:t>
      </w:r>
      <w:r w:rsidRPr="00A83C94">
        <w:rPr>
          <w:rFonts w:eastAsia="Calibri" w:cs="Sylfaen"/>
          <w:b w:val="0"/>
          <w:szCs w:val="22"/>
          <w:lang w:val="hy-AM" w:eastAsia="en-US"/>
        </w:rPr>
        <w:t>պարտքի</w:t>
      </w:r>
      <w:r w:rsidRPr="00A83C94">
        <w:rPr>
          <w:rFonts w:eastAsia="Calibri"/>
          <w:b w:val="0"/>
          <w:szCs w:val="22"/>
          <w:lang w:val="hy-AM" w:eastAsia="en-US"/>
        </w:rPr>
        <w:t xml:space="preserve"> </w:t>
      </w:r>
      <w:r w:rsidRPr="00A83C94">
        <w:rPr>
          <w:rFonts w:eastAsia="Calibri" w:cs="Sylfaen"/>
          <w:b w:val="0"/>
          <w:szCs w:val="22"/>
          <w:lang w:val="hy-AM" w:eastAsia="en-US"/>
        </w:rPr>
        <w:t>պորտֆելը</w:t>
      </w:r>
      <w:r w:rsidRPr="00A83C94">
        <w:rPr>
          <w:rFonts w:eastAsia="Calibri"/>
          <w:b w:val="0"/>
          <w:szCs w:val="22"/>
          <w:lang w:val="hy-AM" w:eastAsia="en-US"/>
        </w:rPr>
        <w:t xml:space="preserve"> </w:t>
      </w:r>
      <w:r w:rsidRPr="00A83C94">
        <w:rPr>
          <w:rFonts w:eastAsia="Calibri" w:cs="Sylfaen"/>
          <w:b w:val="0"/>
          <w:szCs w:val="22"/>
          <w:lang w:val="hy-AM" w:eastAsia="en-US"/>
        </w:rPr>
        <w:t>շարունակում</w:t>
      </w:r>
      <w:r w:rsidRPr="00A83C94">
        <w:rPr>
          <w:rFonts w:eastAsia="Calibri"/>
          <w:b w:val="0"/>
          <w:szCs w:val="22"/>
          <w:lang w:val="hy-AM" w:eastAsia="en-US"/>
        </w:rPr>
        <w:t xml:space="preserve"> </w:t>
      </w:r>
      <w:r w:rsidRPr="00A83C94">
        <w:rPr>
          <w:rFonts w:eastAsia="Calibri" w:cs="Sylfaen"/>
          <w:b w:val="0"/>
          <w:szCs w:val="22"/>
          <w:lang w:val="hy-AM" w:eastAsia="en-US"/>
        </w:rPr>
        <w:t>է</w:t>
      </w:r>
      <w:r w:rsidRPr="00A83C94">
        <w:rPr>
          <w:rFonts w:eastAsia="Calibri"/>
          <w:b w:val="0"/>
          <w:szCs w:val="22"/>
          <w:lang w:val="hy-AM" w:eastAsia="en-US"/>
        </w:rPr>
        <w:t xml:space="preserve"> </w:t>
      </w:r>
      <w:r w:rsidRPr="00A83C94">
        <w:rPr>
          <w:rFonts w:eastAsia="Calibri" w:cs="Sylfaen"/>
          <w:b w:val="0"/>
          <w:szCs w:val="22"/>
          <w:lang w:val="hy-AM" w:eastAsia="en-US"/>
        </w:rPr>
        <w:t>մնալ</w:t>
      </w:r>
      <w:r w:rsidRPr="00A83C94">
        <w:rPr>
          <w:rFonts w:eastAsia="Calibri"/>
          <w:b w:val="0"/>
          <w:szCs w:val="22"/>
          <w:lang w:val="hy-AM" w:eastAsia="en-US"/>
        </w:rPr>
        <w:t xml:space="preserve"> </w:t>
      </w:r>
      <w:r w:rsidRPr="00A83C94">
        <w:rPr>
          <w:rFonts w:eastAsia="Calibri" w:cs="Sylfaen"/>
          <w:b w:val="0"/>
          <w:szCs w:val="22"/>
          <w:lang w:val="hy-AM" w:eastAsia="en-US"/>
        </w:rPr>
        <w:t>խոցելի՝</w:t>
      </w:r>
      <w:r w:rsidRPr="00A83C94">
        <w:rPr>
          <w:rFonts w:eastAsia="Calibri"/>
          <w:b w:val="0"/>
          <w:szCs w:val="22"/>
          <w:lang w:val="hy-AM" w:eastAsia="en-US"/>
        </w:rPr>
        <w:t xml:space="preserve"> </w:t>
      </w:r>
      <w:r w:rsidRPr="00A83C94">
        <w:rPr>
          <w:rFonts w:eastAsia="Calibri" w:cs="Sylfaen"/>
          <w:b w:val="0"/>
          <w:szCs w:val="22"/>
          <w:lang w:val="hy-AM" w:eastAsia="en-US"/>
        </w:rPr>
        <w:t>պայմանավորված</w:t>
      </w:r>
      <w:r w:rsidRPr="00A83C94">
        <w:rPr>
          <w:rFonts w:eastAsia="Calibri"/>
          <w:b w:val="0"/>
          <w:szCs w:val="22"/>
          <w:lang w:val="hy-AM" w:eastAsia="en-US"/>
        </w:rPr>
        <w:t xml:space="preserve"> </w:t>
      </w:r>
      <w:r w:rsidRPr="00A83C94">
        <w:rPr>
          <w:rFonts w:eastAsia="Calibri" w:cs="Sylfaen"/>
          <w:b w:val="0"/>
          <w:szCs w:val="22"/>
          <w:lang w:val="hy-AM" w:eastAsia="en-US"/>
        </w:rPr>
        <w:t>արտարժութային</w:t>
      </w:r>
      <w:r w:rsidRPr="00A83C94">
        <w:rPr>
          <w:rFonts w:eastAsia="Calibri"/>
          <w:b w:val="0"/>
          <w:szCs w:val="22"/>
          <w:lang w:val="hy-AM" w:eastAsia="en-US"/>
        </w:rPr>
        <w:t xml:space="preserve"> </w:t>
      </w:r>
      <w:r w:rsidRPr="00A83C94">
        <w:rPr>
          <w:rFonts w:eastAsia="Calibri" w:cs="Sylfaen"/>
          <w:b w:val="0"/>
          <w:szCs w:val="22"/>
          <w:lang w:val="hy-AM" w:eastAsia="en-US"/>
        </w:rPr>
        <w:t>և</w:t>
      </w:r>
      <w:r w:rsidRPr="00A83C94">
        <w:rPr>
          <w:rFonts w:eastAsia="Calibri"/>
          <w:b w:val="0"/>
          <w:szCs w:val="22"/>
          <w:lang w:val="hy-AM" w:eastAsia="en-US"/>
        </w:rPr>
        <w:t xml:space="preserve"> </w:t>
      </w:r>
      <w:r w:rsidRPr="00A83C94">
        <w:rPr>
          <w:rFonts w:eastAsia="Calibri" w:cs="Sylfaen"/>
          <w:b w:val="0"/>
          <w:szCs w:val="22"/>
          <w:lang w:val="hy-AM" w:eastAsia="en-US"/>
        </w:rPr>
        <w:t>ոչ</w:t>
      </w:r>
      <w:r w:rsidRPr="00A83C94">
        <w:rPr>
          <w:rFonts w:eastAsia="Calibri"/>
          <w:b w:val="0"/>
          <w:szCs w:val="22"/>
          <w:lang w:val="hy-AM" w:eastAsia="en-US"/>
        </w:rPr>
        <w:t xml:space="preserve"> </w:t>
      </w:r>
      <w:r w:rsidRPr="00A83C94">
        <w:rPr>
          <w:rFonts w:eastAsia="Calibri" w:cs="Sylfaen"/>
          <w:b w:val="0"/>
          <w:szCs w:val="22"/>
          <w:lang w:val="hy-AM" w:eastAsia="en-US"/>
        </w:rPr>
        <w:t>ռեզիդետների</w:t>
      </w:r>
      <w:r w:rsidRPr="00A83C94">
        <w:rPr>
          <w:rFonts w:eastAsia="Calibri"/>
          <w:b w:val="0"/>
          <w:szCs w:val="22"/>
          <w:lang w:val="hy-AM" w:eastAsia="en-US"/>
        </w:rPr>
        <w:t xml:space="preserve"> </w:t>
      </w:r>
      <w:r w:rsidRPr="00A83C94">
        <w:rPr>
          <w:rFonts w:eastAsia="Calibri" w:cs="Sylfaen"/>
          <w:b w:val="0"/>
          <w:szCs w:val="22"/>
          <w:lang w:val="hy-AM" w:eastAsia="en-US"/>
        </w:rPr>
        <w:t>նկատմամբ</w:t>
      </w:r>
      <w:r w:rsidRPr="00A83C94">
        <w:rPr>
          <w:rFonts w:eastAsia="Calibri"/>
          <w:b w:val="0"/>
          <w:szCs w:val="22"/>
          <w:lang w:val="hy-AM" w:eastAsia="en-US"/>
        </w:rPr>
        <w:t xml:space="preserve"> </w:t>
      </w:r>
      <w:r w:rsidRPr="00A83C94">
        <w:rPr>
          <w:rFonts w:eastAsia="Calibri" w:cs="Sylfaen"/>
          <w:b w:val="0"/>
          <w:szCs w:val="22"/>
          <w:lang w:val="hy-AM" w:eastAsia="en-US"/>
        </w:rPr>
        <w:t>պարտքի</w:t>
      </w:r>
      <w:r w:rsidRPr="00A83C94">
        <w:rPr>
          <w:rFonts w:eastAsia="Calibri"/>
          <w:b w:val="0"/>
          <w:szCs w:val="22"/>
          <w:lang w:val="hy-AM" w:eastAsia="en-US"/>
        </w:rPr>
        <w:t xml:space="preserve"> </w:t>
      </w:r>
      <w:r w:rsidRPr="00A83C94">
        <w:rPr>
          <w:rFonts w:eastAsia="Calibri" w:cs="Sylfaen"/>
          <w:b w:val="0"/>
          <w:szCs w:val="22"/>
          <w:lang w:val="hy-AM" w:eastAsia="en-US"/>
        </w:rPr>
        <w:t>բարձր</w:t>
      </w:r>
      <w:r w:rsidRPr="00A83C94">
        <w:rPr>
          <w:rFonts w:eastAsia="Calibri"/>
          <w:b w:val="0"/>
          <w:szCs w:val="22"/>
          <w:lang w:val="hy-AM" w:eastAsia="en-US"/>
        </w:rPr>
        <w:t xml:space="preserve"> </w:t>
      </w:r>
      <w:r w:rsidRPr="00A83C94">
        <w:rPr>
          <w:rFonts w:eastAsia="Calibri" w:cs="Sylfaen"/>
          <w:b w:val="0"/>
          <w:szCs w:val="22"/>
          <w:lang w:val="hy-AM" w:eastAsia="en-US"/>
        </w:rPr>
        <w:t xml:space="preserve">մասնաբաժիններով։ </w:t>
      </w:r>
      <w:r w:rsidRPr="00A83C94">
        <w:rPr>
          <w:rFonts w:eastAsia="Calibri"/>
          <w:b w:val="0"/>
          <w:szCs w:val="22"/>
          <w:lang w:val="hy-AM" w:eastAsia="en-US"/>
        </w:rPr>
        <w:t xml:space="preserve">Պարտքի կայունության ապահովման համար հրամայական է հարկաբյուջետային կոնսոլիդացիայի իրականացումը և պարտքի բեռի նվազեցումը պարտք/ՀՆԱ սահմանային 60%-ի շեմից։ </w:t>
      </w:r>
    </w:p>
    <w:p w14:paraId="7E30E0A6" w14:textId="77777777" w:rsidR="00027FBF" w:rsidRPr="00A83C94" w:rsidRDefault="00027FBF" w:rsidP="00027FBF">
      <w:pPr>
        <w:spacing w:before="0" w:after="160" w:line="276" w:lineRule="auto"/>
        <w:ind w:firstLine="709"/>
        <w:contextualSpacing w:val="0"/>
        <w:rPr>
          <w:rFonts w:eastAsia="Calibri"/>
          <w:b w:val="0"/>
          <w:szCs w:val="22"/>
          <w:lang w:val="hy-AM" w:eastAsia="en-US"/>
        </w:rPr>
      </w:pPr>
      <w:r w:rsidRPr="00A83C94">
        <w:rPr>
          <w:rFonts w:eastAsia="Calibri"/>
          <w:b w:val="0"/>
          <w:szCs w:val="22"/>
          <w:lang w:val="hy-AM" w:eastAsia="en-US"/>
        </w:rPr>
        <w:t xml:space="preserve">Ամփոփելով հարկաբյուջետային ռիսկերի նկարագրությունը կարող ենք նշել, որ 2020թ. ճգնաժամային իրավիճակով և դրա դրսևորումների շարունակությամբ պայմանավորված ռիսկերն առավելապես վերաբերում են առկա անորոշություններին: Մասնավորապես, անորոշություններ են առկա ինչպես տնտեսության վերականգնման ընթացքի և տևողության հետ կապված, այնպես էլ հարկաբյուջետային քաղաքականության միջոցառումների չափի և ժամկետների, ինչպես նաև վերջիններիս արդյունավետության գծով: Նշված ռիսկերի ի հայտ </w:t>
      </w:r>
      <w:r w:rsidRPr="00A83C94">
        <w:rPr>
          <w:rFonts w:eastAsia="Calibri"/>
          <w:b w:val="0"/>
          <w:szCs w:val="22"/>
          <w:lang w:val="hy-AM" w:eastAsia="en-US"/>
        </w:rPr>
        <w:lastRenderedPageBreak/>
        <w:t>գալու կամ անորոշությունների վերաբերյալ նոր տեղեկատվության առկայության պայմաններում, առաջիկա տարիների հարկաբյուջետային շրջանակը կարող է վերանայվել։</w:t>
      </w:r>
    </w:p>
    <w:p w14:paraId="34273BCA" w14:textId="77777777" w:rsidR="00027FBF" w:rsidRPr="00A83C94" w:rsidRDefault="00027FBF" w:rsidP="00027FBF">
      <w:pPr>
        <w:keepNext/>
        <w:keepLines/>
        <w:spacing w:before="0" w:after="160" w:line="276" w:lineRule="auto"/>
        <w:ind w:firstLine="0"/>
        <w:contextualSpacing w:val="0"/>
        <w:outlineLvl w:val="2"/>
        <w:rPr>
          <w:rFonts w:eastAsia="Calibri"/>
          <w:sz w:val="24"/>
          <w:lang w:val="hy-AM" w:eastAsia="en-US"/>
        </w:rPr>
      </w:pPr>
      <w:bookmarkStart w:id="81" w:name="_Toc83972840"/>
      <w:bookmarkStart w:id="82" w:name="_Toc89428295"/>
      <w:r w:rsidRPr="00A83C94">
        <w:rPr>
          <w:rFonts w:eastAsia="Calibri"/>
          <w:sz w:val="24"/>
          <w:lang w:val="hy-AM" w:eastAsia="en-US"/>
        </w:rPr>
        <w:t>2.4. ՀԱՐԿԱԲՅՈՒՋԵՏԱՅԻՆ  ՔԱՂԱՔԱԿԱՆՈՒԹՅԱՆ ՀԱՄԱՊԱՏԱՍԽԱՆՈՒԹՅՈՒՆԸ ՀԱՐԿԱԲՅՈՒՋԵՏԱՅԻՆ ԿԱՆՈՆՆԵՐԻՆ</w:t>
      </w:r>
      <w:bookmarkEnd w:id="81"/>
      <w:bookmarkEnd w:id="82"/>
    </w:p>
    <w:p w14:paraId="602D750B" w14:textId="77777777" w:rsidR="00027FBF" w:rsidRPr="00A83C94" w:rsidRDefault="00027FBF" w:rsidP="00027FBF">
      <w:pPr>
        <w:spacing w:before="0" w:line="276" w:lineRule="auto"/>
        <w:ind w:firstLine="709"/>
        <w:contextualSpacing w:val="0"/>
        <w:rPr>
          <w:rFonts w:eastAsia="Calibri"/>
          <w:szCs w:val="22"/>
          <w:lang w:val="hy-AM" w:eastAsia="en-US"/>
        </w:rPr>
      </w:pPr>
      <w:r w:rsidRPr="00A83C94">
        <w:rPr>
          <w:rFonts w:eastAsia="Calibri"/>
          <w:b w:val="0"/>
          <w:szCs w:val="22"/>
          <w:lang w:val="hy-AM" w:eastAsia="en-US"/>
        </w:rPr>
        <w:t>ՀՀ հարկաբյուջետային կանոնների ներկա համակարգը գործարկվել է ՀՀ Ազգային ժողովի կողմից 2017 թվականի դեկտեմբերի 20-ին ՀՀ բյուջետային համակարգի մասին և Պետական պարտքի մասին ՀՀ օրենքներում փոփոխություններ և լրացումն</w:t>
      </w:r>
      <w:r w:rsidRPr="00A83C94">
        <w:rPr>
          <w:rFonts w:eastAsia="Calibri"/>
          <w:b w:val="0"/>
          <w:szCs w:val="22"/>
          <w:lang w:val="hy-AM" w:eastAsia="en-US"/>
        </w:rPr>
        <w:softHyphen/>
        <w:t>եր կատարող օրենքների, ինչպես նաև են ՀՀ Կառավարության՝ 2018 թվականի օգոստոսի 23-ի N 942-Ն որոշման ընդունմամբ: Կանոնների համակարգը ներառում է ծախսային կանոններ, որոնք ուժի մեջ են մտնում պարտքի սահմանված շեմերը գերազանցելիս։ Մասնավորապես</w:t>
      </w:r>
      <w:r w:rsidRPr="00A83C94">
        <w:rPr>
          <w:rFonts w:ascii="Cambria Math" w:eastAsia="Calibri" w:hAnsi="Cambria Math" w:cs="Cambria Math"/>
          <w:b w:val="0"/>
          <w:szCs w:val="22"/>
          <w:lang w:val="hy-AM" w:eastAsia="en-US"/>
        </w:rPr>
        <w:t>․</w:t>
      </w:r>
    </w:p>
    <w:p w14:paraId="4AF01DD5" w14:textId="77777777" w:rsidR="00027FBF" w:rsidRPr="00A83C94" w:rsidRDefault="00027FBF" w:rsidP="00027FBF">
      <w:pPr>
        <w:numPr>
          <w:ilvl w:val="0"/>
          <w:numId w:val="39"/>
        </w:numPr>
        <w:spacing w:before="0" w:line="276" w:lineRule="auto"/>
        <w:ind w:left="709" w:hanging="283"/>
        <w:contextualSpacing w:val="0"/>
        <w:rPr>
          <w:rFonts w:eastAsia="Calibri"/>
          <w:szCs w:val="22"/>
          <w:lang w:val="hy-AM" w:eastAsia="en-US"/>
        </w:rPr>
      </w:pPr>
      <w:r w:rsidRPr="00A83C94">
        <w:rPr>
          <w:rFonts w:eastAsia="Calibri"/>
          <w:b w:val="0"/>
          <w:szCs w:val="22"/>
          <w:lang w:val="hy-AM" w:eastAsia="en-US"/>
        </w:rPr>
        <w:t>Երբ կառավարության պարտք/ՀՆԱ հարաբերակցությունը գերազանցում է 40%-ը, պետական բյուջեի կապիտալ ծախսերը չպետք է փոքր լինեն բյուջեի պակասուրդից:</w:t>
      </w:r>
    </w:p>
    <w:p w14:paraId="78B5515D" w14:textId="77777777" w:rsidR="00027FBF" w:rsidRPr="00A83C94" w:rsidRDefault="00027FBF" w:rsidP="00027FBF">
      <w:pPr>
        <w:numPr>
          <w:ilvl w:val="0"/>
          <w:numId w:val="39"/>
        </w:numPr>
        <w:spacing w:before="0" w:line="276" w:lineRule="auto"/>
        <w:ind w:left="709" w:hanging="283"/>
        <w:contextualSpacing w:val="0"/>
        <w:rPr>
          <w:rFonts w:eastAsia="Calibri"/>
          <w:szCs w:val="22"/>
          <w:lang w:val="hy-AM" w:eastAsia="en-US"/>
        </w:rPr>
      </w:pPr>
      <w:r w:rsidRPr="00A83C94">
        <w:rPr>
          <w:rFonts w:eastAsia="Calibri"/>
          <w:b w:val="0"/>
          <w:szCs w:val="22"/>
          <w:lang w:val="hy-AM" w:eastAsia="en-US"/>
        </w:rPr>
        <w:t>Կառավարության պարտք/ՀՆԱ հարաբերակցության՝ 50-60% միջակայքում գտնվելու դեպքում, ընթացիկ առաջնային ծախսերի աճի տեմպը սահմանափակվում է նախորդ 7 տարիների ՀՆԱ-ների միջին աճով, ինչպես նաև հաջորդ տարում կազմվող պետական միջնաժամկետ ծախսերի ծրագրում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14:paraId="5EFF4695" w14:textId="77777777" w:rsidR="00027FBF" w:rsidRPr="00A83C94" w:rsidRDefault="00027FBF" w:rsidP="00027FBF">
      <w:pPr>
        <w:numPr>
          <w:ilvl w:val="0"/>
          <w:numId w:val="39"/>
        </w:numPr>
        <w:spacing w:before="0" w:line="276" w:lineRule="auto"/>
        <w:ind w:left="709" w:hanging="283"/>
        <w:contextualSpacing w:val="0"/>
        <w:rPr>
          <w:rFonts w:eastAsia="Calibri"/>
          <w:szCs w:val="22"/>
          <w:lang w:val="hy-AM" w:eastAsia="en-US"/>
        </w:rPr>
      </w:pPr>
      <w:r w:rsidRPr="00A83C94">
        <w:rPr>
          <w:rFonts w:eastAsia="Calibri"/>
          <w:b w:val="0"/>
          <w:szCs w:val="22"/>
          <w:lang w:val="hy-AM" w:eastAsia="en-US"/>
        </w:rPr>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14:paraId="0243AE41" w14:textId="77777777" w:rsidR="00027FBF" w:rsidRPr="00A83C94" w:rsidRDefault="00027FBF" w:rsidP="00027FBF">
      <w:pPr>
        <w:numPr>
          <w:ilvl w:val="0"/>
          <w:numId w:val="39"/>
        </w:numPr>
        <w:spacing w:before="0" w:line="276" w:lineRule="auto"/>
        <w:ind w:left="709" w:hanging="283"/>
        <w:contextualSpacing w:val="0"/>
        <w:rPr>
          <w:rFonts w:eastAsia="Calibri"/>
          <w:szCs w:val="22"/>
          <w:lang w:val="hy-AM" w:eastAsia="en-US"/>
        </w:rPr>
      </w:pPr>
      <w:r w:rsidRPr="00A83C94">
        <w:rPr>
          <w:rFonts w:eastAsia="Calibri"/>
          <w:b w:val="0"/>
          <w:szCs w:val="22"/>
          <w:lang w:val="hy-AM" w:eastAsia="en-US"/>
        </w:rPr>
        <w:t>Ներկայացված սահմանափակումները չեն գործում կառավարության որոշմամբ սահմանված բացառիկ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պարագայում:</w:t>
      </w:r>
    </w:p>
    <w:p w14:paraId="7980AB35" w14:textId="77777777" w:rsidR="00027FBF" w:rsidRPr="00A83C94" w:rsidRDefault="00027FBF" w:rsidP="00027FBF">
      <w:pPr>
        <w:spacing w:before="0" w:line="276" w:lineRule="auto"/>
        <w:ind w:firstLine="709"/>
        <w:contextualSpacing w:val="0"/>
        <w:rPr>
          <w:rFonts w:eastAsia="Calibri"/>
          <w:szCs w:val="22"/>
          <w:lang w:val="hy-AM" w:eastAsia="en-US"/>
        </w:rPr>
      </w:pPr>
      <w:r w:rsidRPr="00A83C94">
        <w:rPr>
          <w:rFonts w:eastAsia="Calibri"/>
          <w:szCs w:val="22"/>
          <w:lang w:val="hy-AM" w:eastAsia="en-US"/>
        </w:rPr>
        <w:t>2020թ</w:t>
      </w:r>
      <w:r w:rsidRPr="00A83C94">
        <w:rPr>
          <w:rFonts w:eastAsia="Calibri" w:cs="Cambria Math"/>
          <w:szCs w:val="22"/>
          <w:lang w:val="hy-AM" w:eastAsia="en-US"/>
        </w:rPr>
        <w:t>.</w:t>
      </w:r>
      <w:r w:rsidRPr="00A83C94">
        <w:rPr>
          <w:rFonts w:eastAsia="Calibri"/>
          <w:szCs w:val="22"/>
          <w:lang w:val="hy-AM" w:eastAsia="en-US"/>
        </w:rPr>
        <w:t>-ի պետական բյուջեի ինչպես վերանայված ծրագրային ցուցանիշները, այնպես էլ փաստացի ցուցանիշները շեղվել են ծախսային կանոններով բնականոն իրավիճակի համար սահմանված պահանջներից՝ մնալով օրենսդրության շրջանակում, քանի որ տնտեսական ցնցումներով պայմանավորված՝ իրավիճակը ճանաչվել է բացառիկ։</w:t>
      </w:r>
      <w:r w:rsidRPr="00A83C94">
        <w:rPr>
          <w:rFonts w:eastAsia="Calibri"/>
          <w:b w:val="0"/>
          <w:szCs w:val="22"/>
          <w:lang w:val="hy-AM" w:eastAsia="en-US"/>
        </w:rPr>
        <w:t xml:space="preserve"> Վերջինիս իրավական հիմքերը ձևավորված են «ՀՀ բյուջետային համակարգի մասին» ՀՀ օրենքի 21</w:t>
      </w:r>
      <w:r w:rsidRPr="00A83C94">
        <w:rPr>
          <w:rFonts w:eastAsia="Calibri"/>
          <w:b w:val="0"/>
          <w:szCs w:val="22"/>
          <w:lang w:val="hy-AM" w:eastAsia="en-US"/>
        </w:rPr>
        <w:noBreakHyphen/>
        <w:t>րդ հոդվածի 8.3 կետով և ՀՀ կառավարության N 942-Ն որոշման 3-րդ կետով նախատեսված դրույթներով, իսկ իրավիճակը բացառիկ է ճանաչվել ՀՀ կառավարության 2020թ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-ի ապրիլի 23-ի </w:t>
      </w:r>
      <w:r w:rsidRPr="00A83C94">
        <w:rPr>
          <w:rFonts w:eastAsia="Calibri" w:cs="GHEA Grapalat"/>
          <w:b w:val="0"/>
          <w:szCs w:val="22"/>
          <w:lang w:val="hy-AM" w:eastAsia="en-US"/>
        </w:rPr>
        <w:t>587-Ա և սեպտեմբերի 29</w:t>
      </w:r>
      <w:r w:rsidRPr="00A83C94">
        <w:rPr>
          <w:rFonts w:eastAsia="Calibri" w:cs="GHEA Grapalat"/>
          <w:b w:val="0"/>
          <w:szCs w:val="22"/>
          <w:lang w:val="hy-AM" w:eastAsia="en-US"/>
        </w:rPr>
        <w:noBreakHyphen/>
        <w:t>ի 1600</w:t>
      </w:r>
      <w:r w:rsidRPr="00A83C94">
        <w:rPr>
          <w:rFonts w:eastAsia="Calibri" w:cs="GHEA Grapalat"/>
          <w:b w:val="0"/>
          <w:szCs w:val="22"/>
          <w:lang w:val="hy-AM" w:eastAsia="en-US"/>
        </w:rPr>
        <w:noBreakHyphen/>
        <w:t xml:space="preserve">Ա </w:t>
      </w:r>
      <w:r w:rsidRPr="00A83C94">
        <w:rPr>
          <w:rFonts w:eastAsia="Calibri"/>
          <w:b w:val="0"/>
          <w:szCs w:val="22"/>
          <w:lang w:val="hy-AM" w:eastAsia="en-US"/>
        </w:rPr>
        <w:t>որոշումներով։ Այս հանգամանքը հանգեցրել է 2020թ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-ին </w:t>
      </w:r>
      <w:r w:rsidRPr="00A83C94">
        <w:rPr>
          <w:rFonts w:eastAsia="Calibri"/>
          <w:b w:val="0"/>
          <w:szCs w:val="22"/>
          <w:lang w:val="hy-AM" w:eastAsia="en-US"/>
        </w:rPr>
        <w:lastRenderedPageBreak/>
        <w:t>իրականցված հարկաբյուջետային խթանող քաղաքականության արդյունքում ՀՀ կառավարության պարտքի բեռի շեղմանը 60% սահմանային շեմից, որի պայմաններում կառավարությունը պետք է ծրագրի հարկաբյուջետային կոնսոլիդացիա՝ պարտքի բեռը այդ շեմային ցուցանիշից նվազեցնելու նպատակադրմամբ։</w:t>
      </w:r>
    </w:p>
    <w:p w14:paraId="583507EA" w14:textId="77777777" w:rsidR="00027FBF" w:rsidRPr="00A83C94" w:rsidRDefault="00027FBF" w:rsidP="00027FBF">
      <w:pPr>
        <w:spacing w:before="0" w:line="276" w:lineRule="auto"/>
        <w:ind w:firstLine="706"/>
        <w:contextualSpacing w:val="0"/>
        <w:rPr>
          <w:rFonts w:eastAsia="Calibri"/>
          <w:szCs w:val="22"/>
          <w:lang w:val="hy-AM" w:eastAsia="en-US"/>
        </w:rPr>
      </w:pPr>
      <w:r w:rsidRPr="00A83C94">
        <w:rPr>
          <w:rFonts w:eastAsia="Calibri"/>
          <w:szCs w:val="22"/>
          <w:lang w:val="hy-AM" w:eastAsia="en-US"/>
        </w:rPr>
        <w:t>2021թ</w:t>
      </w:r>
      <w:r w:rsidRPr="00A83C94">
        <w:rPr>
          <w:rFonts w:ascii="Cambria Math" w:eastAsia="Calibri" w:hAnsi="Cambria Math" w:cs="Cambria Math"/>
          <w:szCs w:val="22"/>
          <w:lang w:val="hy-AM" w:eastAsia="en-US"/>
        </w:rPr>
        <w:t>․</w:t>
      </w:r>
      <w:r w:rsidRPr="00A83C94">
        <w:rPr>
          <w:rFonts w:eastAsia="Calibri"/>
          <w:szCs w:val="22"/>
          <w:lang w:val="hy-AM" w:eastAsia="en-US"/>
        </w:rPr>
        <w:t>-ի սկսել է իրականացվել սահուն հարկաբյուջետային կոնսոլիդացիա՝ համահունչ 2022-2026 թվականների ՀՀ կառավարության պարտքի բեռի նվազեցման ծրագրի նպատակադրումներին։</w:t>
      </w:r>
      <w:r w:rsidRPr="00A83C94">
        <w:rPr>
          <w:rFonts w:eastAsia="Calibri"/>
          <w:b w:val="0"/>
          <w:szCs w:val="22"/>
          <w:lang w:val="hy-AM" w:eastAsia="en-US"/>
        </w:rPr>
        <w:t xml:space="preserve"> Մասնավորապես, բյուջեի պակասուրդը կրճատվում է աստիճանական եղանակով՝ նպատակ դնելով չխաթարել վերականգնման փուլում տնտեսական ակտիվությունը և կառուցվածքային բարեփոխումների ընթացքը: Արդյունքում կառավարության պարտք/ՀՆԱ ցուցանիշը կնվազի  2.7 տոկոսային կետով՝ հիմք կհանդիսանա միջնաժամկետ հատվածում հարկաբյուջետային կանոններին համահունչ «առավել անվտանգ մակարդակներ» պարտքի բեռի նվազեցման ճանապարհով պետական պարտքի կայունության ամրապնդման համար։ Միևնույն ժամանակ սպասվում է, որ 2021թ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-ին պետական բյուջեի կատարումը շարունակելու է շեղվել հարկաբյուջետային կանոններից, քանի որ 2020թ.-ի տնտեսական ցնցման հետևանքների պահպանմամբ պայմանավորված, ՀՀ օրենսդրությանը համապատասխան կարգով, 2021թ.-ին ևս կպահպանվեն բացառիկ իրավիճակի կարգավորումները (որն ամրագրված է նաև 2021թ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-ի պետական բյուջեի ուղերձում): Սակայն նախատեսվում է 2021թ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-ին որոշակիորեն կրճատել կանոններից շեղման չափը, ինչը հնարավորություն կտա 2022թ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-ից վերադառնալ հարկաբյուջետային կանոնների ամբողջական պահպանմանը։ </w:t>
      </w:r>
    </w:p>
    <w:p w14:paraId="057D8FED" w14:textId="77777777" w:rsidR="00027FBF" w:rsidRPr="00A83C94" w:rsidRDefault="00027FBF" w:rsidP="00027FBF">
      <w:pPr>
        <w:spacing w:before="0" w:line="276" w:lineRule="auto"/>
        <w:ind w:firstLine="706"/>
        <w:contextualSpacing w:val="0"/>
        <w:rPr>
          <w:rFonts w:eastAsia="Calibri"/>
          <w:b w:val="0"/>
          <w:szCs w:val="22"/>
          <w:lang w:val="hy-AM" w:eastAsia="en-US"/>
        </w:rPr>
      </w:pPr>
      <w:r w:rsidRPr="00A83C94">
        <w:rPr>
          <w:rFonts w:eastAsia="Calibri"/>
          <w:szCs w:val="22"/>
          <w:lang w:val="hy-AM" w:eastAsia="en-US"/>
        </w:rPr>
        <w:t>2022թ</w:t>
      </w:r>
      <w:r w:rsidRPr="00A83C94">
        <w:rPr>
          <w:rFonts w:ascii="Cambria Math" w:eastAsia="Calibri" w:hAnsi="Cambria Math" w:cs="Cambria Math"/>
          <w:szCs w:val="22"/>
          <w:lang w:val="hy-AM" w:eastAsia="en-US"/>
        </w:rPr>
        <w:t>․</w:t>
      </w:r>
      <w:r w:rsidRPr="00A83C94">
        <w:rPr>
          <w:rFonts w:eastAsia="Calibri"/>
          <w:szCs w:val="22"/>
          <w:lang w:val="hy-AM" w:eastAsia="en-US"/>
        </w:rPr>
        <w:t>-ին ՀՀ Կառավարությունը վերադարձ կկատարի ՀՀ օրենսդրությամբ բնականոն իրավիճակների համար սահմանված ծախսային կանոնների, այդ թվում՝ պետական ֆինանսների «ոսկե կանոնների» և ընթացիկ առաջնային ծախսերի աճի տեմպի՝ երկարաժամկետ տնտեսական աճի միջին տեմպով սահմանափակման կանոնի ամբողջական պահպանմանը, միաժամանակ ապահովելով պարտք/ՀՆԱ հարաբերակցության նվազող հետագիծը և ծախսերի կառուցվածքի բարելավում:</w:t>
      </w:r>
      <w:r w:rsidRPr="00A83C94">
        <w:rPr>
          <w:rFonts w:eastAsia="Calibri"/>
          <w:b w:val="0"/>
          <w:szCs w:val="22"/>
          <w:lang w:val="hy-AM" w:eastAsia="en-US"/>
        </w:rPr>
        <w:t xml:space="preserve"> Ծախսային կանոնների պահպանումը հնարավորություն է տալիս զսպել եկամուտ գեներացնելու կարողություններին պարտավորությունների (ընթացիկ ծախսերի գծով ստանձնվող օրենսդրական պարտավորությունների և պարտքային պարտավորությունների ձևով) առաջանցիկ ավելացումը։ Ավելին, պլանավորված կապիտալ ծախսերը գերազանցում են բյուջեի պակասուրդը շուրջ </w:t>
      </w:r>
      <w:r>
        <w:rPr>
          <w:rFonts w:eastAsia="Calibri"/>
          <w:b w:val="0"/>
          <w:szCs w:val="22"/>
          <w:lang w:val="hy-AM" w:eastAsia="en-US"/>
        </w:rPr>
        <w:t>1</w:t>
      </w:r>
      <w:r w:rsidRPr="008413F5">
        <w:rPr>
          <w:rFonts w:eastAsia="Calibri"/>
          <w:b w:val="0"/>
          <w:szCs w:val="22"/>
          <w:lang w:val="hy-AM" w:eastAsia="en-US"/>
        </w:rPr>
        <w:t>05</w:t>
      </w:r>
      <w:r>
        <w:rPr>
          <w:rFonts w:eastAsia="Calibri"/>
          <w:b w:val="0"/>
          <w:szCs w:val="22"/>
          <w:lang w:val="hy-AM" w:eastAsia="en-US"/>
        </w:rPr>
        <w:t>.</w:t>
      </w:r>
      <w:r w:rsidRPr="003C0DA9">
        <w:rPr>
          <w:rFonts w:eastAsia="Calibri"/>
          <w:b w:val="0"/>
          <w:szCs w:val="22"/>
          <w:lang w:val="hy-AM" w:eastAsia="en-US"/>
        </w:rPr>
        <w:t>6</w:t>
      </w:r>
      <w:r w:rsidRPr="00A83C94">
        <w:rPr>
          <w:rFonts w:eastAsia="Calibri"/>
          <w:b w:val="0"/>
          <w:szCs w:val="22"/>
          <w:lang w:val="hy-AM" w:eastAsia="en-US"/>
        </w:rPr>
        <w:t xml:space="preserve"> մլրդ դրամով՝ ապահովելով պարտքի զուտ ներգրավմանն առաջանցիկ պետական ակտիվներ ավելացում և կառավարելի պահելով երկրի իրական պարտքային դիրքը և հետևաբար՝ երկարաժամկետ հարկաբյուջետային ռիսկերը։ Միաժամանակ կառավարության պարտք/ՀՆԱ ցուցանիշը կկազմի 60.</w:t>
      </w:r>
      <w:r w:rsidRPr="0011745F">
        <w:rPr>
          <w:rFonts w:eastAsia="Calibri"/>
          <w:b w:val="0"/>
          <w:szCs w:val="22"/>
          <w:lang w:val="hy-AM" w:eastAsia="en-US"/>
        </w:rPr>
        <w:t>2</w:t>
      </w:r>
      <w:r w:rsidRPr="00A83C94">
        <w:rPr>
          <w:rFonts w:eastAsia="Calibri"/>
          <w:b w:val="0"/>
          <w:szCs w:val="22"/>
          <w:lang w:val="hy-AM" w:eastAsia="en-US"/>
        </w:rPr>
        <w:t>%` ցածր լինելով 2020թ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-ի ցուցանիշից </w:t>
      </w:r>
      <w:r w:rsidRPr="0011745F">
        <w:rPr>
          <w:rFonts w:eastAsia="Calibri"/>
          <w:b w:val="0"/>
          <w:szCs w:val="22"/>
          <w:lang w:val="hy-AM" w:eastAsia="en-US"/>
        </w:rPr>
        <w:t>3.2</w:t>
      </w:r>
      <w:r w:rsidRPr="00A83C94">
        <w:rPr>
          <w:rFonts w:eastAsia="Calibri"/>
          <w:b w:val="0"/>
          <w:szCs w:val="22"/>
          <w:lang w:val="hy-AM" w:eastAsia="en-US"/>
        </w:rPr>
        <w:t xml:space="preserve"> տոկոսային կետով։ 2022 թվականի համար ծրագրված հարկաբյուջետային զարգացումները հնարավորություն կտան շարունակել հարկաբյուջետային կոնսոլիդացիան ՀՀ կառավարության պարտքի նվազեցման ծրագրի ամբողջ հորիզոնում՝ մինչև 2026 թվականը, և ապահովել կառավարության պարտք/ՀՆԱ ցուցանիշի 60%-ից ցածր մակարդակ Ծրագրով նախատեսվող ժամանակահատվածում։ (առավել մանրամասն տես՝ «Հարկաբյուջետային քաղաքականության հիմնական ուղղությունները և կանխատեսումները հատվածում»):</w:t>
      </w:r>
    </w:p>
    <w:p w14:paraId="3D072A80" w14:textId="77777777" w:rsidR="00027FBF" w:rsidRPr="00A83C94" w:rsidRDefault="00027FBF" w:rsidP="00027FBF">
      <w:pPr>
        <w:keepNext/>
        <w:keepLines/>
        <w:spacing w:before="0" w:after="120" w:line="276" w:lineRule="auto"/>
        <w:ind w:firstLine="0"/>
        <w:contextualSpacing w:val="0"/>
        <w:rPr>
          <w:rFonts w:eastAsia="Calibri"/>
          <w:b w:val="0"/>
          <w:i/>
          <w:iCs/>
          <w:szCs w:val="22"/>
          <w:lang w:val="hy-AM" w:eastAsia="en-US"/>
        </w:rPr>
      </w:pPr>
      <w:r w:rsidRPr="00A83C94">
        <w:rPr>
          <w:rFonts w:eastAsia="Calibri"/>
          <w:i/>
          <w:iCs/>
          <w:szCs w:val="22"/>
          <w:lang w:val="hy-AM" w:eastAsia="en-US"/>
        </w:rPr>
        <w:lastRenderedPageBreak/>
        <w:t>Աղյուսակ 2.4.</w:t>
      </w:r>
      <w:r w:rsidRPr="00A83C94">
        <w:rPr>
          <w:rFonts w:eastAsia="Calibri"/>
          <w:b w:val="0"/>
          <w:i/>
          <w:iCs/>
          <w:szCs w:val="22"/>
          <w:lang w:val="hy-AM" w:eastAsia="en-US"/>
        </w:rPr>
        <w:t xml:space="preserve"> </w:t>
      </w:r>
      <w:r w:rsidRPr="00A83C94">
        <w:rPr>
          <w:rFonts w:eastAsia="Calibri"/>
          <w:b w:val="0"/>
          <w:bCs/>
          <w:i/>
          <w:iCs/>
          <w:szCs w:val="22"/>
          <w:lang w:val="hy-AM" w:eastAsia="en-US"/>
        </w:rPr>
        <w:t>Փաստացի և ծրագրավորված հարկաբյուջետային քաղաքականության համապատասխանությունը հարկաբյուջետային կանոններին</w:t>
      </w:r>
    </w:p>
    <w:tbl>
      <w:tblPr>
        <w:tblW w:w="10206" w:type="dxa"/>
        <w:tblInd w:w="-23" w:type="dxa"/>
        <w:tblBorders>
          <w:top w:val="single" w:sz="18" w:space="0" w:color="4472C4"/>
          <w:left w:val="single" w:sz="18" w:space="0" w:color="4472C4"/>
          <w:bottom w:val="single" w:sz="18" w:space="0" w:color="4472C4"/>
          <w:right w:val="single" w:sz="18" w:space="0" w:color="4472C4"/>
          <w:insideH w:val="single" w:sz="6" w:space="0" w:color="4472C4"/>
          <w:insideV w:val="single" w:sz="6" w:space="0" w:color="4472C4"/>
        </w:tblBorders>
        <w:tblLayout w:type="fixed"/>
        <w:tblLook w:val="04A0" w:firstRow="1" w:lastRow="0" w:firstColumn="1" w:lastColumn="0" w:noHBand="0" w:noVBand="1"/>
      </w:tblPr>
      <w:tblGrid>
        <w:gridCol w:w="1402"/>
        <w:gridCol w:w="1575"/>
        <w:gridCol w:w="992"/>
        <w:gridCol w:w="851"/>
        <w:gridCol w:w="992"/>
        <w:gridCol w:w="851"/>
        <w:gridCol w:w="992"/>
        <w:gridCol w:w="850"/>
        <w:gridCol w:w="787"/>
        <w:gridCol w:w="914"/>
      </w:tblGrid>
      <w:tr w:rsidR="00027FBF" w:rsidRPr="00A83C94" w14:paraId="1B1A5B8B" w14:textId="77777777" w:rsidTr="00027FBF">
        <w:trPr>
          <w:trHeight w:val="466"/>
          <w:tblHeader/>
        </w:trPr>
        <w:tc>
          <w:tcPr>
            <w:tcW w:w="1402" w:type="dxa"/>
            <w:vMerge w:val="restart"/>
            <w:tcBorders>
              <w:top w:val="single" w:sz="18" w:space="0" w:color="4472C4"/>
              <w:bottom w:val="single" w:sz="2" w:space="0" w:color="4472C4"/>
              <w:right w:val="single" w:sz="2" w:space="0" w:color="4472C4"/>
            </w:tcBorders>
            <w:shd w:val="clear" w:color="auto" w:fill="5B9BD5"/>
            <w:vAlign w:val="center"/>
            <w:hideMark/>
          </w:tcPr>
          <w:p w14:paraId="56F63B34"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Կանոնի ցուցանիշ</w:t>
            </w:r>
          </w:p>
        </w:tc>
        <w:tc>
          <w:tcPr>
            <w:tcW w:w="1575" w:type="dxa"/>
            <w:vMerge w:val="restart"/>
            <w:tcBorders>
              <w:top w:val="single" w:sz="18" w:space="0" w:color="4472C4"/>
              <w:left w:val="single" w:sz="2" w:space="0" w:color="4472C4"/>
              <w:bottom w:val="single" w:sz="2" w:space="0" w:color="4472C4"/>
              <w:right w:val="single" w:sz="2" w:space="0" w:color="4472C4"/>
            </w:tcBorders>
            <w:shd w:val="clear" w:color="auto" w:fill="5B9BD5"/>
            <w:vAlign w:val="center"/>
            <w:hideMark/>
          </w:tcPr>
          <w:p w14:paraId="3F4A1767"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Ուղենի-շային ցուցանիշ</w:t>
            </w:r>
          </w:p>
        </w:tc>
        <w:tc>
          <w:tcPr>
            <w:tcW w:w="1843"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18709845" w14:textId="77777777" w:rsidR="00027FBF" w:rsidRPr="00A83C94" w:rsidRDefault="00027FBF" w:rsidP="00027FBF">
            <w:pPr>
              <w:spacing w:before="0" w:after="160" w:line="276" w:lineRule="auto"/>
              <w:ind w:firstLine="5"/>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2019</w:t>
            </w:r>
          </w:p>
        </w:tc>
        <w:tc>
          <w:tcPr>
            <w:tcW w:w="1843"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328E5E57" w14:textId="77777777" w:rsidR="00027FBF" w:rsidRPr="00A83C94" w:rsidRDefault="00027FBF" w:rsidP="00027FBF">
            <w:pPr>
              <w:spacing w:before="0" w:after="160" w:line="276" w:lineRule="auto"/>
              <w:ind w:firstLine="5"/>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2020</w:t>
            </w:r>
          </w:p>
        </w:tc>
        <w:tc>
          <w:tcPr>
            <w:tcW w:w="1842"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1AC61031" w14:textId="77777777" w:rsidR="00027FBF" w:rsidRPr="00A83C94" w:rsidRDefault="00027FBF" w:rsidP="00027FBF">
            <w:pPr>
              <w:spacing w:before="0" w:after="160" w:line="276" w:lineRule="auto"/>
              <w:ind w:firstLine="5"/>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2021</w:t>
            </w:r>
          </w:p>
        </w:tc>
        <w:tc>
          <w:tcPr>
            <w:tcW w:w="1701"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3B67E072" w14:textId="77777777" w:rsidR="00027FBF" w:rsidRPr="00A83C94" w:rsidRDefault="00027FBF" w:rsidP="00027FBF">
            <w:pPr>
              <w:spacing w:before="0" w:after="160" w:line="276" w:lineRule="auto"/>
              <w:ind w:firstLine="5"/>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2022</w:t>
            </w:r>
          </w:p>
        </w:tc>
      </w:tr>
      <w:tr w:rsidR="00027FBF" w:rsidRPr="00A83C94" w14:paraId="385922C7" w14:textId="77777777" w:rsidTr="00027FBF">
        <w:trPr>
          <w:cantSplit/>
          <w:trHeight w:val="850"/>
          <w:tblHeader/>
        </w:trPr>
        <w:tc>
          <w:tcPr>
            <w:tcW w:w="1402" w:type="dxa"/>
            <w:vMerge/>
            <w:tcBorders>
              <w:top w:val="single" w:sz="2" w:space="0" w:color="4472C4"/>
              <w:bottom w:val="single" w:sz="2" w:space="0" w:color="4472C4"/>
              <w:right w:val="single" w:sz="2" w:space="0" w:color="4472C4"/>
            </w:tcBorders>
            <w:shd w:val="clear" w:color="auto" w:fill="5B9BD5"/>
            <w:vAlign w:val="center"/>
            <w:hideMark/>
          </w:tcPr>
          <w:p w14:paraId="5D36AD13" w14:textId="77777777" w:rsidR="00027FBF" w:rsidRPr="00A83C94" w:rsidRDefault="00027FBF" w:rsidP="00027FBF">
            <w:pPr>
              <w:spacing w:before="0" w:after="160" w:line="276" w:lineRule="auto"/>
              <w:ind w:firstLine="0"/>
              <w:contextualSpacing w:val="0"/>
              <w:jc w:val="left"/>
              <w:rPr>
                <w:rFonts w:eastAsia="Calibri" w:cs="Arial"/>
                <w:b w:val="0"/>
                <w:color w:val="FFFFFF"/>
                <w:szCs w:val="22"/>
                <w:lang w:val="en-US" w:eastAsia="en-US"/>
              </w:rPr>
            </w:pPr>
          </w:p>
        </w:tc>
        <w:tc>
          <w:tcPr>
            <w:tcW w:w="1575" w:type="dxa"/>
            <w:vMerge/>
            <w:tcBorders>
              <w:top w:val="single" w:sz="2" w:space="0" w:color="4472C4"/>
              <w:left w:val="single" w:sz="2" w:space="0" w:color="4472C4"/>
              <w:bottom w:val="single" w:sz="2" w:space="0" w:color="4472C4"/>
              <w:right w:val="single" w:sz="2" w:space="0" w:color="4472C4"/>
            </w:tcBorders>
            <w:shd w:val="clear" w:color="auto" w:fill="5B9BD5"/>
            <w:vAlign w:val="center"/>
            <w:hideMark/>
          </w:tcPr>
          <w:p w14:paraId="159A99FB" w14:textId="77777777" w:rsidR="00027FBF" w:rsidRPr="00A83C94" w:rsidRDefault="00027FBF" w:rsidP="00027FBF">
            <w:pPr>
              <w:spacing w:before="0" w:after="160" w:line="276" w:lineRule="auto"/>
              <w:ind w:firstLine="0"/>
              <w:contextualSpacing w:val="0"/>
              <w:jc w:val="left"/>
              <w:rPr>
                <w:rFonts w:eastAsia="Calibri" w:cs="Arial"/>
                <w:b w:val="0"/>
                <w:color w:val="FFFFFF"/>
                <w:szCs w:val="22"/>
                <w:lang w:val="en-US" w:eastAsia="en-US"/>
              </w:rPr>
            </w:pPr>
          </w:p>
        </w:tc>
        <w:tc>
          <w:tcPr>
            <w:tcW w:w="99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6711F11F" w14:textId="77777777" w:rsidR="00027FBF" w:rsidRPr="00A83C94" w:rsidRDefault="00027FBF" w:rsidP="00027FBF">
            <w:pPr>
              <w:spacing w:before="0" w:after="160" w:line="276" w:lineRule="auto"/>
              <w:ind w:left="6" w:right="113"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Սահմ</w:t>
            </w:r>
            <w:r w:rsidRPr="00A83C94">
              <w:rPr>
                <w:rFonts w:ascii="Cambria Math" w:eastAsia="Calibri" w:hAnsi="Cambria Math" w:cs="Cambria Math"/>
                <w:b w:val="0"/>
                <w:color w:val="FFFFFF"/>
                <w:szCs w:val="22"/>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365C2248"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Փաստ</w:t>
            </w:r>
            <w:r w:rsidRPr="00A83C94">
              <w:rPr>
                <w:rFonts w:ascii="Cambria Math" w:eastAsia="Calibri" w:hAnsi="Cambria Math" w:cs="Cambria Math"/>
                <w:b w:val="0"/>
                <w:color w:val="FFFFFF"/>
                <w:szCs w:val="22"/>
                <w:lang w:val="en-US" w:eastAsia="en-US"/>
              </w:rPr>
              <w:t>․</w:t>
            </w:r>
          </w:p>
        </w:tc>
        <w:tc>
          <w:tcPr>
            <w:tcW w:w="99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079BECD7"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Սահմ</w:t>
            </w:r>
            <w:r w:rsidRPr="00A83C94">
              <w:rPr>
                <w:rFonts w:ascii="Cambria Math" w:eastAsia="Calibri" w:hAnsi="Cambria Math" w:cs="Cambria Math"/>
                <w:b w:val="0"/>
                <w:color w:val="FFFFFF"/>
                <w:szCs w:val="22"/>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03D9AEEE"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Փաստ</w:t>
            </w:r>
            <w:r w:rsidRPr="00A83C94">
              <w:rPr>
                <w:rFonts w:ascii="Cambria Math" w:eastAsia="Calibri" w:hAnsi="Cambria Math" w:cs="Cambria Math"/>
                <w:b w:val="0"/>
                <w:color w:val="FFFFFF"/>
                <w:szCs w:val="22"/>
                <w:lang w:val="en-US" w:eastAsia="en-US"/>
              </w:rPr>
              <w:t>․</w:t>
            </w:r>
          </w:p>
        </w:tc>
        <w:tc>
          <w:tcPr>
            <w:tcW w:w="99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51188420"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Սահմ</w:t>
            </w:r>
            <w:r w:rsidRPr="00A83C94">
              <w:rPr>
                <w:rFonts w:ascii="Cambria Math" w:eastAsia="Calibri" w:hAnsi="Cambria Math" w:cs="Cambria Math"/>
                <w:b w:val="0"/>
                <w:color w:val="FFFFFF"/>
                <w:szCs w:val="22"/>
                <w:lang w:val="en-US" w:eastAsia="en-US"/>
              </w:rPr>
              <w:t>․</w:t>
            </w:r>
          </w:p>
        </w:tc>
        <w:tc>
          <w:tcPr>
            <w:tcW w:w="85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3491AB26"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Պլան</w:t>
            </w:r>
          </w:p>
        </w:tc>
        <w:tc>
          <w:tcPr>
            <w:tcW w:w="787"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535F9D61"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Սահմ</w:t>
            </w:r>
            <w:r w:rsidRPr="00A83C94">
              <w:rPr>
                <w:rFonts w:ascii="Cambria Math" w:eastAsia="Calibri" w:hAnsi="Cambria Math" w:cs="Cambria Math"/>
                <w:b w:val="0"/>
                <w:color w:val="FFFFFF"/>
                <w:szCs w:val="22"/>
                <w:lang w:val="en-US" w:eastAsia="en-US"/>
              </w:rPr>
              <w:t>․</w:t>
            </w:r>
          </w:p>
        </w:tc>
        <w:tc>
          <w:tcPr>
            <w:tcW w:w="914"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16258482"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Պլան</w:t>
            </w:r>
          </w:p>
        </w:tc>
      </w:tr>
      <w:tr w:rsidR="00027FBF" w:rsidRPr="00A83C94" w14:paraId="65CA84AE" w14:textId="77777777" w:rsidTr="00027FBF">
        <w:trPr>
          <w:trHeight w:val="954"/>
        </w:trPr>
        <w:tc>
          <w:tcPr>
            <w:tcW w:w="1402" w:type="dxa"/>
            <w:tcBorders>
              <w:top w:val="single" w:sz="2" w:space="0" w:color="4472C4"/>
              <w:bottom w:val="single" w:sz="2" w:space="0" w:color="4472C4"/>
              <w:right w:val="single" w:sz="2" w:space="0" w:color="4472C4"/>
            </w:tcBorders>
            <w:shd w:val="clear" w:color="auto" w:fill="auto"/>
            <w:vAlign w:val="center"/>
            <w:hideMark/>
          </w:tcPr>
          <w:p w14:paraId="4E9804EF" w14:textId="77777777" w:rsidR="00027FBF" w:rsidRPr="00A83C94" w:rsidRDefault="00027FBF" w:rsidP="00027FBF">
            <w:pPr>
              <w:spacing w:before="0" w:after="160" w:line="276" w:lineRule="auto"/>
              <w:ind w:firstLine="0"/>
              <w:contextualSpacing w:val="0"/>
              <w:jc w:val="left"/>
              <w:rPr>
                <w:rFonts w:eastAsia="Calibri" w:cs="Arial"/>
                <w:b w:val="0"/>
                <w:color w:val="000000"/>
                <w:sz w:val="16"/>
                <w:szCs w:val="16"/>
                <w:lang w:eastAsia="en-US"/>
              </w:rPr>
            </w:pPr>
            <w:r w:rsidRPr="00A83C94">
              <w:rPr>
                <w:rFonts w:eastAsia="Calibri" w:cs="Arial"/>
                <w:b w:val="0"/>
                <w:color w:val="000000"/>
                <w:sz w:val="16"/>
                <w:szCs w:val="16"/>
                <w:lang w:val="en-US" w:eastAsia="en-US"/>
              </w:rPr>
              <w:t>Պետական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բյուջեի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ոչ</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ֆինանսական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ակտիվների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գծով</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ծախսեր</w:t>
            </w:r>
          </w:p>
        </w:tc>
        <w:tc>
          <w:tcPr>
            <w:tcW w:w="1575"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39021A18"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eastAsia="en-US"/>
              </w:rPr>
            </w:pPr>
            <w:r w:rsidRPr="00A83C94">
              <w:rPr>
                <w:rFonts w:eastAsia="Calibri" w:cs="Arial"/>
                <w:b w:val="0"/>
                <w:color w:val="000000"/>
                <w:sz w:val="16"/>
                <w:szCs w:val="16"/>
                <w:lang w:eastAsia="en-US"/>
              </w:rPr>
              <w:t xml:space="preserve">&gt;/= </w:t>
            </w:r>
            <w:r w:rsidRPr="00A83C94">
              <w:rPr>
                <w:rFonts w:eastAsia="Calibri" w:cs="Arial"/>
                <w:b w:val="0"/>
                <w:color w:val="000000"/>
                <w:sz w:val="16"/>
                <w:szCs w:val="16"/>
                <w:lang w:val="en-US" w:eastAsia="en-US"/>
              </w:rPr>
              <w:t>պետական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բյուջեի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պակասուրդ</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մլրդ</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դրամ</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20AFD952"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64</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1530E706"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193</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101B888E"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334.0</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0B526BFB"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22</w:t>
            </w:r>
            <w:r>
              <w:rPr>
                <w:rFonts w:eastAsia="Calibri" w:cs="Arial"/>
                <w:b w:val="0"/>
                <w:color w:val="000000"/>
                <w:sz w:val="16"/>
                <w:szCs w:val="16"/>
                <w:lang w:val="en-US" w:eastAsia="en-US"/>
              </w:rPr>
              <w:t>7</w:t>
            </w:r>
            <w:r w:rsidRPr="00A83C94">
              <w:rPr>
                <w:rFonts w:eastAsia="Calibri" w:cs="Arial"/>
                <w:b w:val="0"/>
                <w:color w:val="000000"/>
                <w:sz w:val="16"/>
                <w:szCs w:val="16"/>
                <w:lang w:val="en-US" w:eastAsia="en-US"/>
              </w:rPr>
              <w:t>.</w:t>
            </w:r>
            <w:r>
              <w:rPr>
                <w:rFonts w:eastAsia="Calibri" w:cs="Arial"/>
                <w:b w:val="0"/>
                <w:color w:val="000000"/>
                <w:sz w:val="16"/>
                <w:szCs w:val="16"/>
                <w:lang w:val="en-US" w:eastAsia="en-US"/>
              </w:rPr>
              <w:t>7</w:t>
            </w:r>
          </w:p>
        </w:tc>
        <w:tc>
          <w:tcPr>
            <w:tcW w:w="992"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74053F17"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329.1</w:t>
            </w:r>
          </w:p>
        </w:tc>
        <w:tc>
          <w:tcPr>
            <w:tcW w:w="85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08525D6E"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223.8</w:t>
            </w:r>
          </w:p>
        </w:tc>
        <w:tc>
          <w:tcPr>
            <w:tcW w:w="787"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5AD6F30A" w14:textId="77777777" w:rsidR="00027FBF" w:rsidRPr="005D3017"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Pr>
                <w:rFonts w:eastAsia="Calibri" w:cs="Arial"/>
                <w:b w:val="0"/>
                <w:color w:val="000000"/>
                <w:sz w:val="16"/>
                <w:szCs w:val="16"/>
                <w:lang w:val="hy-AM" w:eastAsia="en-US"/>
              </w:rPr>
              <w:t>2</w:t>
            </w:r>
            <w:r>
              <w:rPr>
                <w:rFonts w:eastAsia="Calibri" w:cs="Arial"/>
                <w:b w:val="0"/>
                <w:color w:val="000000"/>
                <w:sz w:val="16"/>
                <w:szCs w:val="16"/>
                <w:lang w:val="en-US" w:eastAsia="en-US"/>
              </w:rPr>
              <w:t>36</w:t>
            </w:r>
            <w:r>
              <w:rPr>
                <w:rFonts w:eastAsia="Calibri" w:cs="Arial"/>
                <w:b w:val="0"/>
                <w:color w:val="000000"/>
                <w:sz w:val="16"/>
                <w:szCs w:val="16"/>
                <w:lang w:val="hy-AM" w:eastAsia="en-US"/>
              </w:rPr>
              <w:t>.</w:t>
            </w:r>
            <w:r>
              <w:rPr>
                <w:rFonts w:eastAsia="Calibri" w:cs="Arial"/>
                <w:b w:val="0"/>
                <w:color w:val="000000"/>
                <w:sz w:val="16"/>
                <w:szCs w:val="16"/>
                <w:lang w:val="en-US" w:eastAsia="en-US"/>
              </w:rPr>
              <w:t>3</w:t>
            </w:r>
          </w:p>
        </w:tc>
        <w:tc>
          <w:tcPr>
            <w:tcW w:w="914"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0336BBAD" w14:textId="77777777" w:rsidR="00027FBF" w:rsidRPr="001A1206"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Pr>
                <w:rFonts w:eastAsia="Calibri" w:cs="Arial"/>
                <w:b w:val="0"/>
                <w:color w:val="000000"/>
                <w:sz w:val="16"/>
                <w:szCs w:val="16"/>
                <w:lang w:val="hy-AM" w:eastAsia="en-US"/>
              </w:rPr>
              <w:t>3</w:t>
            </w:r>
            <w:r>
              <w:rPr>
                <w:rFonts w:eastAsia="Calibri" w:cs="Arial"/>
                <w:b w:val="0"/>
                <w:color w:val="000000"/>
                <w:sz w:val="16"/>
                <w:szCs w:val="16"/>
                <w:lang w:val="en-US" w:eastAsia="en-US"/>
              </w:rPr>
              <w:t>41</w:t>
            </w:r>
            <w:r>
              <w:rPr>
                <w:rFonts w:eastAsia="Calibri" w:cs="Arial"/>
                <w:b w:val="0"/>
                <w:color w:val="000000"/>
                <w:sz w:val="16"/>
                <w:szCs w:val="16"/>
                <w:lang w:val="hy-AM" w:eastAsia="en-US"/>
              </w:rPr>
              <w:t>.</w:t>
            </w:r>
            <w:r>
              <w:rPr>
                <w:rFonts w:eastAsia="Calibri" w:cs="Arial"/>
                <w:b w:val="0"/>
                <w:color w:val="000000"/>
                <w:sz w:val="16"/>
                <w:szCs w:val="16"/>
                <w:lang w:val="en-US" w:eastAsia="en-US"/>
              </w:rPr>
              <w:t>9</w:t>
            </w:r>
          </w:p>
        </w:tc>
      </w:tr>
      <w:tr w:rsidR="00027FBF" w:rsidRPr="00A83C94" w14:paraId="50216E73" w14:textId="77777777" w:rsidTr="00027FBF">
        <w:trPr>
          <w:trHeight w:val="954"/>
        </w:trPr>
        <w:tc>
          <w:tcPr>
            <w:tcW w:w="1402" w:type="dxa"/>
            <w:tcBorders>
              <w:top w:val="single" w:sz="2" w:space="0" w:color="4472C4"/>
              <w:bottom w:val="single" w:sz="2" w:space="0" w:color="4472C4"/>
              <w:right w:val="single" w:sz="2" w:space="0" w:color="4472C4"/>
            </w:tcBorders>
            <w:shd w:val="clear" w:color="auto" w:fill="auto"/>
            <w:vAlign w:val="center"/>
            <w:hideMark/>
          </w:tcPr>
          <w:p w14:paraId="25510731" w14:textId="77777777" w:rsidR="00027FBF" w:rsidRPr="00A83C94" w:rsidRDefault="00027FBF" w:rsidP="00027FBF">
            <w:pPr>
              <w:spacing w:before="0" w:after="160" w:line="276" w:lineRule="auto"/>
              <w:ind w:firstLine="0"/>
              <w:contextualSpacing w:val="0"/>
              <w:jc w:val="left"/>
              <w:rPr>
                <w:rFonts w:eastAsia="Calibri" w:cs="Arial"/>
                <w:b w:val="0"/>
                <w:color w:val="000000"/>
                <w:sz w:val="16"/>
                <w:szCs w:val="16"/>
                <w:lang w:eastAsia="en-US"/>
              </w:rPr>
            </w:pPr>
            <w:r w:rsidRPr="00A83C94">
              <w:rPr>
                <w:rFonts w:eastAsia="Calibri" w:cs="Arial"/>
                <w:b w:val="0"/>
                <w:color w:val="000000"/>
                <w:sz w:val="16"/>
                <w:szCs w:val="16"/>
                <w:lang w:val="en-US" w:eastAsia="en-US"/>
              </w:rPr>
              <w:t>Պետական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բյուջեի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ընթացիկ</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առաջնային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ծախսերի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աճի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տեմպ</w:t>
            </w:r>
          </w:p>
        </w:tc>
        <w:tc>
          <w:tcPr>
            <w:tcW w:w="1575"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308DB692"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eastAsia="en-US"/>
              </w:rPr>
            </w:pPr>
            <w:r w:rsidRPr="00A83C94">
              <w:rPr>
                <w:rFonts w:eastAsia="Calibri" w:cs="Arial"/>
                <w:b w:val="0"/>
                <w:color w:val="000000"/>
                <w:sz w:val="16"/>
                <w:szCs w:val="16"/>
                <w:lang w:eastAsia="en-US"/>
              </w:rPr>
              <w:t xml:space="preserve">&lt;/= </w:t>
            </w:r>
            <w:r w:rsidRPr="00A83C94">
              <w:rPr>
                <w:rFonts w:eastAsia="Calibri" w:cs="Arial"/>
                <w:b w:val="0"/>
                <w:color w:val="000000"/>
                <w:sz w:val="16"/>
                <w:szCs w:val="16"/>
                <w:lang w:val="en-US" w:eastAsia="en-US"/>
              </w:rPr>
              <w:t>նախորդ</w:t>
            </w:r>
            <w:r w:rsidRPr="00A83C94">
              <w:rPr>
                <w:rFonts w:eastAsia="Calibri" w:cs="Arial"/>
                <w:b w:val="0"/>
                <w:color w:val="000000"/>
                <w:sz w:val="16"/>
                <w:szCs w:val="16"/>
                <w:lang w:eastAsia="en-US"/>
              </w:rPr>
              <w:t xml:space="preserve"> 7 </w:t>
            </w:r>
            <w:r w:rsidRPr="00A83C94">
              <w:rPr>
                <w:rFonts w:eastAsia="Calibri" w:cs="Arial"/>
                <w:b w:val="0"/>
                <w:color w:val="000000"/>
                <w:sz w:val="16"/>
                <w:szCs w:val="16"/>
                <w:lang w:val="en-US" w:eastAsia="en-US"/>
              </w:rPr>
              <w:t>տարիների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անվանական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ՀՆԱ</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աճի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միջին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տեմպ</w:t>
            </w:r>
            <w:r w:rsidRPr="00A83C94">
              <w:rPr>
                <w:rFonts w:eastAsia="Calibri" w:cs="Arial"/>
                <w:b w:val="0"/>
                <w:color w:val="000000"/>
                <w:sz w:val="16"/>
                <w:szCs w:val="16"/>
                <w:lang w:eastAsia="en-US"/>
              </w:rPr>
              <w:t>, %</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47A1DBBA"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6.1</w:t>
            </w:r>
          </w:p>
        </w:tc>
        <w:tc>
          <w:tcPr>
            <w:tcW w:w="851"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14:paraId="27773C7F"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5.9</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2458AA62"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5.9</w:t>
            </w:r>
          </w:p>
        </w:tc>
        <w:tc>
          <w:tcPr>
            <w:tcW w:w="851"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14:paraId="788D27B2"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14.8</w:t>
            </w:r>
          </w:p>
        </w:tc>
        <w:tc>
          <w:tcPr>
            <w:tcW w:w="992"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5A38DD69"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6.4</w:t>
            </w:r>
          </w:p>
        </w:tc>
        <w:tc>
          <w:tcPr>
            <w:tcW w:w="85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5292E7D3"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11.6</w:t>
            </w:r>
          </w:p>
        </w:tc>
        <w:tc>
          <w:tcPr>
            <w:tcW w:w="787"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68D46BF5"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4.1</w:t>
            </w:r>
          </w:p>
        </w:tc>
        <w:tc>
          <w:tcPr>
            <w:tcW w:w="914"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383E7BD5"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4.1</w:t>
            </w:r>
          </w:p>
        </w:tc>
      </w:tr>
      <w:tr w:rsidR="00027FBF" w:rsidRPr="00A83C94" w14:paraId="1F24F232" w14:textId="77777777" w:rsidTr="00027FBF">
        <w:trPr>
          <w:trHeight w:val="954"/>
        </w:trPr>
        <w:tc>
          <w:tcPr>
            <w:tcW w:w="1402" w:type="dxa"/>
            <w:tcBorders>
              <w:top w:val="single" w:sz="2" w:space="0" w:color="4472C4"/>
              <w:bottom w:val="single" w:sz="2" w:space="0" w:color="4472C4"/>
              <w:right w:val="single" w:sz="2" w:space="0" w:color="4472C4"/>
            </w:tcBorders>
            <w:shd w:val="clear" w:color="auto" w:fill="auto"/>
            <w:vAlign w:val="center"/>
            <w:hideMark/>
          </w:tcPr>
          <w:p w14:paraId="2D9703FA" w14:textId="77777777" w:rsidR="00027FBF" w:rsidRPr="00A83C94" w:rsidRDefault="00027FBF" w:rsidP="00027FBF">
            <w:pPr>
              <w:spacing w:before="0" w:after="160" w:line="276" w:lineRule="auto"/>
              <w:ind w:firstLine="0"/>
              <w:contextualSpacing w:val="0"/>
              <w:jc w:val="left"/>
              <w:rPr>
                <w:rFonts w:eastAsia="Calibri" w:cs="Arial"/>
                <w:b w:val="0"/>
                <w:color w:val="000000"/>
                <w:sz w:val="16"/>
                <w:szCs w:val="16"/>
                <w:lang w:val="en-US" w:eastAsia="en-US"/>
              </w:rPr>
            </w:pPr>
            <w:r w:rsidRPr="00A83C94">
              <w:rPr>
                <w:rFonts w:eastAsia="Calibri" w:cs="Arial"/>
                <w:b w:val="0"/>
                <w:color w:val="000000"/>
                <w:sz w:val="16"/>
                <w:szCs w:val="16"/>
                <w:lang w:val="en-US" w:eastAsia="en-US"/>
              </w:rPr>
              <w:t>Պետական բյուջեի ընթացիկ ծախսեր</w:t>
            </w:r>
          </w:p>
        </w:tc>
        <w:tc>
          <w:tcPr>
            <w:tcW w:w="1575"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15804B44"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&lt;/= հարկային եկամուտների և տուրքերի ծավալ, մլրդ դրամ**</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75D42114"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6605F100"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1437.1</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0CFB8D35"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auto"/>
            <w:noWrap/>
            <w:vAlign w:val="center"/>
            <w:hideMark/>
          </w:tcPr>
          <w:p w14:paraId="2964D590"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1668.5</w:t>
            </w:r>
          </w:p>
        </w:tc>
        <w:tc>
          <w:tcPr>
            <w:tcW w:w="992"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1C61CEB4"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w:t>
            </w:r>
          </w:p>
        </w:tc>
        <w:tc>
          <w:tcPr>
            <w:tcW w:w="850" w:type="dxa"/>
            <w:tcBorders>
              <w:top w:val="single" w:sz="2" w:space="0" w:color="4472C4"/>
              <w:left w:val="single" w:sz="2" w:space="0" w:color="4472C4"/>
              <w:bottom w:val="single" w:sz="2" w:space="0" w:color="4472C4"/>
              <w:right w:val="single" w:sz="2" w:space="0" w:color="4472C4"/>
            </w:tcBorders>
            <w:shd w:val="clear" w:color="000000" w:fill="D9E2F3"/>
            <w:noWrap/>
            <w:vAlign w:val="center"/>
            <w:hideMark/>
          </w:tcPr>
          <w:p w14:paraId="6F439D9D"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1762.2</w:t>
            </w:r>
          </w:p>
        </w:tc>
        <w:tc>
          <w:tcPr>
            <w:tcW w:w="787"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10028227"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1843.</w:t>
            </w:r>
            <w:r>
              <w:rPr>
                <w:rFonts w:eastAsia="Calibri" w:cs="Arial"/>
                <w:b w:val="0"/>
                <w:color w:val="000000"/>
                <w:sz w:val="16"/>
                <w:szCs w:val="16"/>
                <w:lang w:val="en-US" w:eastAsia="en-US"/>
              </w:rPr>
              <w:t>9</w:t>
            </w:r>
          </w:p>
        </w:tc>
        <w:tc>
          <w:tcPr>
            <w:tcW w:w="914" w:type="dxa"/>
            <w:tcBorders>
              <w:top w:val="single" w:sz="2" w:space="0" w:color="4472C4"/>
              <w:left w:val="single" w:sz="2" w:space="0" w:color="4472C4"/>
              <w:bottom w:val="single" w:sz="2" w:space="0" w:color="4472C4"/>
              <w:right w:val="single" w:sz="2" w:space="0" w:color="4472C4"/>
            </w:tcBorders>
            <w:shd w:val="clear" w:color="000000" w:fill="D9E2F3"/>
            <w:noWrap/>
            <w:vAlign w:val="center"/>
            <w:hideMark/>
          </w:tcPr>
          <w:p w14:paraId="4B47DE38"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1842.</w:t>
            </w:r>
            <w:r>
              <w:rPr>
                <w:rFonts w:eastAsia="Calibri" w:cs="Arial"/>
                <w:b w:val="0"/>
                <w:color w:val="000000"/>
                <w:sz w:val="16"/>
                <w:szCs w:val="16"/>
                <w:lang w:val="en-US" w:eastAsia="en-US"/>
              </w:rPr>
              <w:t>2</w:t>
            </w:r>
          </w:p>
        </w:tc>
      </w:tr>
      <w:tr w:rsidR="00027FBF" w:rsidRPr="00A83C94" w14:paraId="186C9D77" w14:textId="77777777" w:rsidTr="00027FBF">
        <w:trPr>
          <w:trHeight w:val="445"/>
        </w:trPr>
        <w:tc>
          <w:tcPr>
            <w:tcW w:w="2977" w:type="dxa"/>
            <w:gridSpan w:val="2"/>
            <w:tcBorders>
              <w:top w:val="single" w:sz="2" w:space="0" w:color="4472C4"/>
              <w:bottom w:val="single" w:sz="18" w:space="0" w:color="4472C4"/>
              <w:right w:val="single" w:sz="2" w:space="0" w:color="4472C4"/>
            </w:tcBorders>
            <w:shd w:val="clear" w:color="auto" w:fill="auto"/>
            <w:vAlign w:val="center"/>
            <w:hideMark/>
          </w:tcPr>
          <w:p w14:paraId="676C388F" w14:textId="77777777" w:rsidR="00027FBF" w:rsidRPr="00A83C94" w:rsidRDefault="00027FBF" w:rsidP="00027FBF">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Կառավարության պարտք/ՀՆԱ, %</w:t>
            </w:r>
          </w:p>
        </w:tc>
        <w:tc>
          <w:tcPr>
            <w:tcW w:w="1843" w:type="dxa"/>
            <w:gridSpan w:val="2"/>
            <w:tcBorders>
              <w:top w:val="single" w:sz="2" w:space="0" w:color="4472C4"/>
              <w:left w:val="single" w:sz="2" w:space="0" w:color="4472C4"/>
              <w:bottom w:val="single" w:sz="18" w:space="0" w:color="4472C4"/>
              <w:right w:val="single" w:sz="2" w:space="0" w:color="4472C4"/>
            </w:tcBorders>
            <w:shd w:val="clear" w:color="auto" w:fill="auto"/>
            <w:vAlign w:val="center"/>
            <w:hideMark/>
          </w:tcPr>
          <w:p w14:paraId="3DC2C255" w14:textId="77777777" w:rsidR="00027FBF" w:rsidRPr="00A83C94" w:rsidRDefault="00027FBF" w:rsidP="00027FBF">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50.1</w:t>
            </w:r>
          </w:p>
        </w:tc>
        <w:tc>
          <w:tcPr>
            <w:tcW w:w="1843" w:type="dxa"/>
            <w:gridSpan w:val="2"/>
            <w:tcBorders>
              <w:top w:val="single" w:sz="2" w:space="0" w:color="4472C4"/>
              <w:left w:val="single" w:sz="2" w:space="0" w:color="4472C4"/>
              <w:bottom w:val="single" w:sz="18" w:space="0" w:color="4472C4"/>
              <w:right w:val="single" w:sz="2" w:space="0" w:color="4472C4"/>
            </w:tcBorders>
            <w:shd w:val="clear" w:color="auto" w:fill="FFFFFF"/>
            <w:noWrap/>
            <w:vAlign w:val="center"/>
            <w:hideMark/>
          </w:tcPr>
          <w:p w14:paraId="73A5FE6F" w14:textId="77777777" w:rsidR="00027FBF" w:rsidRPr="00A83C94" w:rsidRDefault="00027FBF" w:rsidP="00027FBF">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63.5</w:t>
            </w:r>
          </w:p>
        </w:tc>
        <w:tc>
          <w:tcPr>
            <w:tcW w:w="1842"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14:paraId="421ED412" w14:textId="77777777" w:rsidR="00027FBF" w:rsidRPr="00A83C94" w:rsidRDefault="00027FBF" w:rsidP="00027FBF">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60.8</w:t>
            </w:r>
          </w:p>
        </w:tc>
        <w:tc>
          <w:tcPr>
            <w:tcW w:w="1701"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14:paraId="33BA982C" w14:textId="77777777" w:rsidR="00027FBF" w:rsidRPr="00A83C94" w:rsidRDefault="00027FBF" w:rsidP="00027FBF">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60</w:t>
            </w:r>
            <w:r w:rsidRPr="00A83C94">
              <w:rPr>
                <w:rFonts w:ascii="Cambria Math" w:eastAsia="Calibri" w:hAnsi="Cambria Math" w:cs="Cambria Math"/>
                <w:b w:val="0"/>
                <w:color w:val="000000"/>
                <w:sz w:val="20"/>
                <w:szCs w:val="20"/>
                <w:lang w:val="en-US" w:eastAsia="en-US"/>
              </w:rPr>
              <w:t>․</w:t>
            </w:r>
            <w:r>
              <w:rPr>
                <w:rFonts w:eastAsia="Calibri" w:cs="Arial"/>
                <w:b w:val="0"/>
                <w:color w:val="000000"/>
                <w:sz w:val="20"/>
                <w:szCs w:val="20"/>
                <w:lang w:val="en-US" w:eastAsia="en-US"/>
              </w:rPr>
              <w:t>2</w:t>
            </w:r>
          </w:p>
        </w:tc>
      </w:tr>
    </w:tbl>
    <w:p w14:paraId="19E18AAA" w14:textId="77777777" w:rsidR="00027FBF" w:rsidRPr="00A83C94" w:rsidRDefault="00027FBF" w:rsidP="00027FBF">
      <w:pPr>
        <w:spacing w:before="0" w:line="240" w:lineRule="auto"/>
        <w:ind w:left="284" w:firstLine="0"/>
        <w:contextualSpacing w:val="0"/>
        <w:jc w:val="left"/>
        <w:rPr>
          <w:rFonts w:eastAsia="Calibri"/>
          <w:i/>
          <w:szCs w:val="22"/>
          <w:lang w:val="hy-AM" w:eastAsia="en-US"/>
        </w:rPr>
      </w:pPr>
      <w:r w:rsidRPr="00A83C94">
        <w:rPr>
          <w:rFonts w:eastAsia="Calibri"/>
          <w:b w:val="0"/>
          <w:i/>
          <w:szCs w:val="22"/>
          <w:lang w:val="hy-AM" w:eastAsia="en-US"/>
        </w:rPr>
        <w:t>*Հաշվարկված է որպես երկու տարի առաջ (t-2) արձանագրված ցուցանիշի նկատմամբ համապատասխան տարվա (t) հավելաճի տեմպի կես</w:t>
      </w:r>
    </w:p>
    <w:p w14:paraId="7C916A94" w14:textId="77777777" w:rsidR="00027FBF" w:rsidRPr="00A83C94" w:rsidRDefault="00027FBF" w:rsidP="00027FBF">
      <w:pPr>
        <w:spacing w:before="0" w:line="240" w:lineRule="auto"/>
        <w:ind w:left="284" w:firstLine="0"/>
        <w:contextualSpacing w:val="0"/>
        <w:jc w:val="left"/>
        <w:rPr>
          <w:rFonts w:eastAsia="Calibri"/>
          <w:szCs w:val="22"/>
          <w:lang w:val="hy-AM" w:eastAsia="en-US"/>
        </w:rPr>
      </w:pPr>
      <w:r w:rsidRPr="00A83C94">
        <w:rPr>
          <w:rFonts w:eastAsia="Calibri"/>
          <w:b w:val="0"/>
          <w:i/>
          <w:szCs w:val="22"/>
          <w:lang w:val="hy-AM" w:eastAsia="en-US"/>
        </w:rPr>
        <w:t>**Պետական պարտքի առկա չափի դեպքում կիրառելի չէ</w:t>
      </w:r>
    </w:p>
    <w:p w14:paraId="71B2B343" w14:textId="77777777" w:rsidR="00027FBF" w:rsidRPr="00A83C94" w:rsidRDefault="00027FBF" w:rsidP="00027FBF">
      <w:pPr>
        <w:spacing w:before="0" w:after="120"/>
        <w:ind w:firstLine="720"/>
        <w:contextualSpacing w:val="0"/>
        <w:rPr>
          <w:rFonts w:eastAsia="Calibri"/>
          <w:i/>
          <w:iCs/>
          <w:szCs w:val="22"/>
          <w:lang w:val="hy-AM" w:eastAsia="en-US"/>
        </w:rPr>
      </w:pPr>
    </w:p>
    <w:p w14:paraId="6F940926" w14:textId="77777777" w:rsidR="00027FBF" w:rsidRPr="00A83C94" w:rsidRDefault="00027FBF" w:rsidP="00027FBF">
      <w:pPr>
        <w:spacing w:before="0" w:after="120"/>
        <w:ind w:firstLine="720"/>
        <w:contextualSpacing w:val="0"/>
        <w:rPr>
          <w:rFonts w:eastAsia="Calibri"/>
          <w:i/>
          <w:iCs/>
          <w:szCs w:val="22"/>
          <w:lang w:val="hy-AM" w:eastAsia="en-US"/>
        </w:rPr>
      </w:pPr>
    </w:p>
    <w:p w14:paraId="1D2FE1BB" w14:textId="77777777" w:rsidR="00027FBF" w:rsidRPr="00A83C94" w:rsidRDefault="00027FBF" w:rsidP="00027FBF">
      <w:pPr>
        <w:spacing w:before="0" w:after="120"/>
        <w:ind w:firstLine="720"/>
        <w:contextualSpacing w:val="0"/>
        <w:rPr>
          <w:rFonts w:eastAsia="Calibri"/>
          <w:i/>
          <w:iCs/>
          <w:szCs w:val="22"/>
          <w:lang w:val="hy-AM" w:eastAsia="en-US"/>
        </w:rPr>
      </w:pPr>
    </w:p>
    <w:p w14:paraId="50F37E33" w14:textId="77777777" w:rsidR="00027FBF" w:rsidRPr="00A83C94" w:rsidRDefault="00027FBF" w:rsidP="00027FBF">
      <w:pPr>
        <w:spacing w:before="0" w:after="120"/>
        <w:ind w:firstLine="720"/>
        <w:contextualSpacing w:val="0"/>
        <w:rPr>
          <w:rFonts w:eastAsia="Calibri"/>
          <w:i/>
          <w:iCs/>
          <w:szCs w:val="22"/>
          <w:lang w:val="hy-AM" w:eastAsia="en-US"/>
        </w:rPr>
      </w:pPr>
    </w:p>
    <w:p w14:paraId="283D5E5E" w14:textId="77777777" w:rsidR="00027FBF" w:rsidRPr="00A83C94" w:rsidRDefault="00027FBF" w:rsidP="00027FBF">
      <w:pPr>
        <w:spacing w:before="0" w:after="120"/>
        <w:ind w:firstLine="720"/>
        <w:contextualSpacing w:val="0"/>
        <w:rPr>
          <w:rFonts w:eastAsia="Calibri"/>
          <w:i/>
          <w:iCs/>
          <w:szCs w:val="22"/>
          <w:lang w:val="hy-AM" w:eastAsia="en-US"/>
        </w:rPr>
      </w:pPr>
    </w:p>
    <w:p w14:paraId="555A0EF1" w14:textId="77777777" w:rsidR="00027FBF" w:rsidRPr="00A83C94" w:rsidRDefault="00027FBF" w:rsidP="00027FBF">
      <w:pPr>
        <w:spacing w:before="0" w:after="120"/>
        <w:ind w:firstLine="720"/>
        <w:contextualSpacing w:val="0"/>
        <w:rPr>
          <w:rFonts w:eastAsia="Calibri"/>
          <w:i/>
          <w:iCs/>
          <w:szCs w:val="22"/>
          <w:lang w:val="hy-AM" w:eastAsia="en-US"/>
        </w:rPr>
      </w:pPr>
    </w:p>
    <w:p w14:paraId="7AFC28BC" w14:textId="77777777" w:rsidR="00027FBF" w:rsidRPr="00A83C94" w:rsidRDefault="00027FBF" w:rsidP="00027FBF">
      <w:pPr>
        <w:spacing w:before="0" w:after="120"/>
        <w:ind w:firstLine="720"/>
        <w:contextualSpacing w:val="0"/>
        <w:rPr>
          <w:rFonts w:eastAsia="Calibri"/>
          <w:i/>
          <w:iCs/>
          <w:szCs w:val="22"/>
          <w:lang w:val="hy-AM" w:eastAsia="en-US"/>
        </w:rPr>
      </w:pPr>
    </w:p>
    <w:p w14:paraId="36B3B7CC" w14:textId="77777777" w:rsidR="00027FBF" w:rsidRPr="00A83C94" w:rsidRDefault="00027FBF" w:rsidP="00027FBF">
      <w:pPr>
        <w:spacing w:before="0" w:after="120"/>
        <w:ind w:firstLine="720"/>
        <w:contextualSpacing w:val="0"/>
        <w:rPr>
          <w:rFonts w:eastAsia="Calibri"/>
          <w:i/>
          <w:iCs/>
          <w:szCs w:val="22"/>
          <w:lang w:val="hy-AM" w:eastAsia="en-US"/>
        </w:rPr>
      </w:pPr>
    </w:p>
    <w:p w14:paraId="279EDE8F" w14:textId="77777777" w:rsidR="00027FBF" w:rsidRPr="00A83C94" w:rsidRDefault="00027FBF" w:rsidP="00027FBF">
      <w:pPr>
        <w:spacing w:before="0" w:after="120"/>
        <w:ind w:firstLine="720"/>
        <w:contextualSpacing w:val="0"/>
        <w:rPr>
          <w:rFonts w:eastAsia="Calibri"/>
          <w:i/>
          <w:iCs/>
          <w:szCs w:val="22"/>
          <w:lang w:val="hy-AM" w:eastAsia="en-US"/>
        </w:rPr>
      </w:pPr>
    </w:p>
    <w:p w14:paraId="14CCD870" w14:textId="77777777" w:rsidR="00027FBF" w:rsidRPr="00A83C94" w:rsidRDefault="00027FBF" w:rsidP="00027FBF">
      <w:pPr>
        <w:keepNext/>
        <w:keepLines/>
        <w:spacing w:before="0" w:line="276" w:lineRule="auto"/>
        <w:ind w:firstLine="0"/>
        <w:outlineLvl w:val="2"/>
        <w:rPr>
          <w:sz w:val="24"/>
          <w:lang w:val="hy-AM" w:eastAsia="en-US"/>
        </w:rPr>
      </w:pPr>
      <w:bookmarkStart w:id="83" w:name="_Toc45838555"/>
      <w:bookmarkStart w:id="84" w:name="_Toc46154356"/>
      <w:bookmarkStart w:id="85" w:name="_Toc52452096"/>
      <w:bookmarkStart w:id="86" w:name="_Toc57655457"/>
      <w:bookmarkStart w:id="87" w:name="_Toc83972841"/>
      <w:bookmarkStart w:id="88" w:name="_Toc89428296"/>
      <w:r w:rsidRPr="00A83C94">
        <w:rPr>
          <w:sz w:val="24"/>
          <w:lang w:val="hy-AM" w:eastAsia="en-US"/>
        </w:rPr>
        <w:lastRenderedPageBreak/>
        <w:t>2.5. ՊԵՏԱԿԱՆ ԲՅՈՒՋԵԻ ՑՈՒՑԱՆԻՇՆԵՐԻ ԿԱՆԽԱՏԵՍՈՒՄՆԵՐԻ ՀԱՄԵՄԱՏԱԿԱՆ ԱՂՅՈՒՍԱԿՆԵՐ</w:t>
      </w:r>
      <w:bookmarkEnd w:id="83"/>
      <w:bookmarkEnd w:id="84"/>
      <w:bookmarkEnd w:id="85"/>
      <w:bookmarkEnd w:id="86"/>
      <w:bookmarkEnd w:id="87"/>
      <w:bookmarkEnd w:id="88"/>
    </w:p>
    <w:p w14:paraId="1197F4EA" w14:textId="77777777" w:rsidR="00027FBF" w:rsidRPr="00A83C94" w:rsidRDefault="00027FBF" w:rsidP="00027FBF">
      <w:pPr>
        <w:keepNext/>
        <w:keepLines/>
        <w:spacing w:before="0" w:line="276" w:lineRule="auto"/>
        <w:ind w:firstLine="0"/>
        <w:outlineLvl w:val="2"/>
        <w:rPr>
          <w:sz w:val="28"/>
          <w:szCs w:val="28"/>
          <w:lang w:val="hy-AM" w:eastAsia="en-US"/>
        </w:rPr>
      </w:pPr>
    </w:p>
    <w:p w14:paraId="0D9B7FA4" w14:textId="77777777" w:rsidR="00027FBF" w:rsidRPr="00A83C94" w:rsidRDefault="00027FBF" w:rsidP="00027FBF">
      <w:pPr>
        <w:spacing w:before="0" w:line="276"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 xml:space="preserve">Աղյուսակ 2.5.1. </w:t>
      </w:r>
      <w:r w:rsidRPr="00A83C94">
        <w:rPr>
          <w:rFonts w:eastAsia="Calibri" w:cs="Sylfaen"/>
          <w:b w:val="0"/>
          <w:bCs/>
          <w:i/>
          <w:iCs/>
          <w:color w:val="000000"/>
          <w:sz w:val="20"/>
          <w:szCs w:val="20"/>
          <w:lang w:val="hy-AM" w:eastAsia="en-US"/>
        </w:rPr>
        <w:t>Պետական բյուջեի եկամուտների կանխատեսումների համեմատական աղյուսակը (մլրդ դրամ)</w:t>
      </w:r>
    </w:p>
    <w:tbl>
      <w:tblPr>
        <w:tblW w:w="7400" w:type="dxa"/>
        <w:tblInd w:w="1160" w:type="dxa"/>
        <w:tblLook w:val="04A0" w:firstRow="1" w:lastRow="0" w:firstColumn="1" w:lastColumn="0" w:noHBand="0" w:noVBand="1"/>
      </w:tblPr>
      <w:tblGrid>
        <w:gridCol w:w="1360"/>
        <w:gridCol w:w="3220"/>
        <w:gridCol w:w="940"/>
        <w:gridCol w:w="940"/>
        <w:gridCol w:w="940"/>
      </w:tblGrid>
      <w:tr w:rsidR="00027FBF" w:rsidRPr="00A83C94" w14:paraId="6D5CEC14" w14:textId="77777777" w:rsidTr="00027FBF">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217C66C2"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3C7EF273"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6D27F4AD"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30E274F4"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7AAD81E3"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027FBF" w:rsidRPr="00A83C94" w14:paraId="3EC8B499" w14:textId="77777777" w:rsidTr="00027FBF">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20D9BCF8"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5C3339C1"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343B7BC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1,560.7</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690852E3"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7F60C73F"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267E49F4" w14:textId="77777777" w:rsidTr="00027FBF">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34C51D09"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8F7B8BE"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276F5AA"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25.2%</w:t>
            </w:r>
          </w:p>
        </w:tc>
        <w:tc>
          <w:tcPr>
            <w:tcW w:w="940" w:type="dxa"/>
            <w:tcBorders>
              <w:top w:val="nil"/>
              <w:left w:val="nil"/>
              <w:bottom w:val="single" w:sz="8" w:space="0" w:color="2F75B5"/>
              <w:right w:val="single" w:sz="8" w:space="0" w:color="2F75B5"/>
            </w:tcBorders>
            <w:shd w:val="clear" w:color="auto" w:fill="auto"/>
            <w:noWrap/>
            <w:vAlign w:val="center"/>
            <w:hideMark/>
          </w:tcPr>
          <w:p w14:paraId="48BB4DC7"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4A3AF06"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0267610C"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55E7E823"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3CC16008"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618DDA2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1,710.6</w:t>
            </w:r>
          </w:p>
        </w:tc>
        <w:tc>
          <w:tcPr>
            <w:tcW w:w="940" w:type="dxa"/>
            <w:tcBorders>
              <w:top w:val="nil"/>
              <w:left w:val="nil"/>
              <w:bottom w:val="single" w:sz="8" w:space="0" w:color="2F75B5"/>
              <w:right w:val="single" w:sz="8" w:space="0" w:color="2F75B5"/>
            </w:tcBorders>
            <w:shd w:val="clear" w:color="auto" w:fill="auto"/>
            <w:noWrap/>
            <w:vAlign w:val="center"/>
            <w:hideMark/>
          </w:tcPr>
          <w:p w14:paraId="19F74D2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1,858.8</w:t>
            </w:r>
          </w:p>
        </w:tc>
        <w:tc>
          <w:tcPr>
            <w:tcW w:w="940" w:type="dxa"/>
            <w:tcBorders>
              <w:top w:val="nil"/>
              <w:left w:val="nil"/>
              <w:bottom w:val="single" w:sz="8" w:space="0" w:color="2F75B5"/>
              <w:right w:val="single" w:sz="8" w:space="0" w:color="2F75B5"/>
            </w:tcBorders>
            <w:shd w:val="clear" w:color="auto" w:fill="auto"/>
            <w:noWrap/>
            <w:vAlign w:val="center"/>
            <w:hideMark/>
          </w:tcPr>
          <w:p w14:paraId="3F56DCF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2,051.1</w:t>
            </w:r>
          </w:p>
        </w:tc>
      </w:tr>
      <w:tr w:rsidR="00027FBF" w:rsidRPr="00A83C94" w14:paraId="0F0A4E29"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302CC1F"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D5D9509"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A2B4798"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24.5%</w:t>
            </w:r>
          </w:p>
        </w:tc>
        <w:tc>
          <w:tcPr>
            <w:tcW w:w="940" w:type="dxa"/>
            <w:tcBorders>
              <w:top w:val="nil"/>
              <w:left w:val="nil"/>
              <w:bottom w:val="single" w:sz="8" w:space="0" w:color="2F75B5"/>
              <w:right w:val="single" w:sz="8" w:space="0" w:color="2F75B5"/>
            </w:tcBorders>
            <w:shd w:val="clear" w:color="auto" w:fill="auto"/>
            <w:noWrap/>
            <w:vAlign w:val="center"/>
            <w:hideMark/>
          </w:tcPr>
          <w:p w14:paraId="69667D7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24.4%</w:t>
            </w:r>
          </w:p>
        </w:tc>
        <w:tc>
          <w:tcPr>
            <w:tcW w:w="940" w:type="dxa"/>
            <w:tcBorders>
              <w:top w:val="nil"/>
              <w:left w:val="nil"/>
              <w:bottom w:val="single" w:sz="8" w:space="0" w:color="2F75B5"/>
              <w:right w:val="single" w:sz="8" w:space="0" w:color="2F75B5"/>
            </w:tcBorders>
            <w:shd w:val="clear" w:color="auto" w:fill="auto"/>
            <w:noWrap/>
            <w:vAlign w:val="center"/>
            <w:hideMark/>
          </w:tcPr>
          <w:p w14:paraId="1BE72F3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24.7%</w:t>
            </w:r>
          </w:p>
        </w:tc>
      </w:tr>
      <w:tr w:rsidR="00027FBF" w:rsidRPr="00A83C94" w14:paraId="64184FE0"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96528D4"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8DC0DC1"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0D087C8F"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1,695.0</w:t>
            </w:r>
          </w:p>
        </w:tc>
        <w:tc>
          <w:tcPr>
            <w:tcW w:w="940" w:type="dxa"/>
            <w:tcBorders>
              <w:top w:val="nil"/>
              <w:left w:val="nil"/>
              <w:bottom w:val="single" w:sz="8" w:space="0" w:color="2F75B5"/>
              <w:right w:val="single" w:sz="8" w:space="0" w:color="2F75B5"/>
            </w:tcBorders>
            <w:shd w:val="clear" w:color="auto" w:fill="auto"/>
            <w:noWrap/>
            <w:vAlign w:val="center"/>
            <w:hideMark/>
          </w:tcPr>
          <w:p w14:paraId="199F2C7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A7921F4"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1AA7A29B"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3BD3419"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C844FE3"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5AF9A92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23.9%</w:t>
            </w:r>
          </w:p>
        </w:tc>
        <w:tc>
          <w:tcPr>
            <w:tcW w:w="940" w:type="dxa"/>
            <w:tcBorders>
              <w:top w:val="nil"/>
              <w:left w:val="nil"/>
              <w:bottom w:val="single" w:sz="8" w:space="0" w:color="2F75B5"/>
              <w:right w:val="single" w:sz="8" w:space="0" w:color="2F75B5"/>
            </w:tcBorders>
            <w:shd w:val="clear" w:color="auto" w:fill="auto"/>
            <w:noWrap/>
            <w:vAlign w:val="center"/>
            <w:hideMark/>
          </w:tcPr>
          <w:p w14:paraId="36DA45E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6EB7C258"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7AEF1CC0"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2C15D8DF"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5D2D9E34"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3A1B1DC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1,488.7</w:t>
            </w:r>
          </w:p>
        </w:tc>
        <w:tc>
          <w:tcPr>
            <w:tcW w:w="940" w:type="dxa"/>
            <w:tcBorders>
              <w:top w:val="nil"/>
              <w:left w:val="nil"/>
              <w:bottom w:val="single" w:sz="8" w:space="0" w:color="2F75B5"/>
              <w:right w:val="single" w:sz="8" w:space="0" w:color="2F75B5"/>
            </w:tcBorders>
            <w:shd w:val="clear" w:color="auto" w:fill="auto"/>
            <w:noWrap/>
            <w:vAlign w:val="center"/>
            <w:hideMark/>
          </w:tcPr>
          <w:p w14:paraId="3D5198C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1,669.9</w:t>
            </w:r>
          </w:p>
        </w:tc>
        <w:tc>
          <w:tcPr>
            <w:tcW w:w="940" w:type="dxa"/>
            <w:tcBorders>
              <w:top w:val="nil"/>
              <w:left w:val="nil"/>
              <w:bottom w:val="single" w:sz="8" w:space="0" w:color="2F75B5"/>
              <w:right w:val="single" w:sz="8" w:space="0" w:color="2F75B5"/>
            </w:tcBorders>
            <w:shd w:val="clear" w:color="auto" w:fill="auto"/>
            <w:noWrap/>
            <w:vAlign w:val="center"/>
            <w:hideMark/>
          </w:tcPr>
          <w:p w14:paraId="7E5E18E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1,885.9</w:t>
            </w:r>
          </w:p>
        </w:tc>
      </w:tr>
      <w:tr w:rsidR="00027FBF" w:rsidRPr="00A83C94" w14:paraId="6C7CD7EB"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22EFE3E"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FDC5A2E"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37C5F6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22.9%</w:t>
            </w: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564608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23.4%</w:t>
            </w:r>
          </w:p>
        </w:tc>
        <w:tc>
          <w:tcPr>
            <w:tcW w:w="940" w:type="dxa"/>
            <w:tcBorders>
              <w:top w:val="nil"/>
              <w:left w:val="nil"/>
              <w:bottom w:val="single" w:sz="8" w:space="0" w:color="2F75B5"/>
              <w:right w:val="single" w:sz="8" w:space="0" w:color="2F75B5"/>
            </w:tcBorders>
            <w:shd w:val="clear" w:color="auto" w:fill="auto"/>
            <w:noWrap/>
            <w:vAlign w:val="center"/>
            <w:hideMark/>
          </w:tcPr>
          <w:p w14:paraId="66D74B9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24.0%</w:t>
            </w:r>
          </w:p>
        </w:tc>
      </w:tr>
      <w:tr w:rsidR="00027FBF" w:rsidRPr="00A83C94" w14:paraId="4327C765"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C744551"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393DA1D"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3A23726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1,477.7</w:t>
            </w:r>
          </w:p>
        </w:tc>
        <w:tc>
          <w:tcPr>
            <w:tcW w:w="940" w:type="dxa"/>
            <w:tcBorders>
              <w:top w:val="nil"/>
              <w:left w:val="nil"/>
              <w:bottom w:val="single" w:sz="8" w:space="0" w:color="2F75B5"/>
              <w:right w:val="single" w:sz="8" w:space="0" w:color="2F75B5"/>
            </w:tcBorders>
            <w:shd w:val="clear" w:color="auto" w:fill="auto"/>
            <w:noWrap/>
            <w:vAlign w:val="center"/>
            <w:hideMark/>
          </w:tcPr>
          <w:p w14:paraId="7CE8105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1,509.5</w:t>
            </w:r>
          </w:p>
        </w:tc>
        <w:tc>
          <w:tcPr>
            <w:tcW w:w="940" w:type="dxa"/>
            <w:tcBorders>
              <w:top w:val="nil"/>
              <w:left w:val="nil"/>
              <w:bottom w:val="single" w:sz="8" w:space="0" w:color="2F75B5"/>
              <w:right w:val="single" w:sz="8" w:space="0" w:color="2F75B5"/>
            </w:tcBorders>
            <w:shd w:val="clear" w:color="auto" w:fill="auto"/>
            <w:noWrap/>
            <w:vAlign w:val="center"/>
            <w:hideMark/>
          </w:tcPr>
          <w:p w14:paraId="6DC895C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027FBF" w:rsidRPr="00A83C94" w14:paraId="0713F770"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8193326"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9CC2142"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7249C66"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24.3%</w:t>
            </w:r>
          </w:p>
        </w:tc>
        <w:tc>
          <w:tcPr>
            <w:tcW w:w="940" w:type="dxa"/>
            <w:tcBorders>
              <w:top w:val="nil"/>
              <w:left w:val="nil"/>
              <w:bottom w:val="single" w:sz="8" w:space="0" w:color="2F75B5"/>
              <w:right w:val="single" w:sz="8" w:space="0" w:color="2F75B5"/>
            </w:tcBorders>
            <w:shd w:val="clear" w:color="auto" w:fill="auto"/>
            <w:noWrap/>
            <w:vAlign w:val="center"/>
            <w:hideMark/>
          </w:tcPr>
          <w:p w14:paraId="7290AA1A"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23.6%</w:t>
            </w:r>
          </w:p>
        </w:tc>
        <w:tc>
          <w:tcPr>
            <w:tcW w:w="940" w:type="dxa"/>
            <w:tcBorders>
              <w:top w:val="nil"/>
              <w:left w:val="nil"/>
              <w:bottom w:val="single" w:sz="8" w:space="0" w:color="2F75B5"/>
              <w:right w:val="single" w:sz="8" w:space="0" w:color="2F75B5"/>
            </w:tcBorders>
            <w:shd w:val="clear" w:color="auto" w:fill="auto"/>
            <w:noWrap/>
            <w:vAlign w:val="center"/>
            <w:hideMark/>
          </w:tcPr>
          <w:p w14:paraId="32DA985D"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027FBF" w:rsidRPr="00A83C94" w14:paraId="13331C04"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24083A63"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6AB4B25E"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312BA826"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72DE982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1,617.3</w:t>
            </w:r>
          </w:p>
        </w:tc>
        <w:tc>
          <w:tcPr>
            <w:tcW w:w="940" w:type="dxa"/>
            <w:tcBorders>
              <w:top w:val="nil"/>
              <w:left w:val="nil"/>
              <w:bottom w:val="single" w:sz="8" w:space="0" w:color="2F75B5"/>
              <w:right w:val="single" w:sz="8" w:space="0" w:color="2F75B5"/>
            </w:tcBorders>
            <w:shd w:val="clear" w:color="auto" w:fill="auto"/>
            <w:noWrap/>
            <w:vAlign w:val="center"/>
            <w:hideMark/>
          </w:tcPr>
          <w:p w14:paraId="607F6ADA"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1,819.2</w:t>
            </w:r>
          </w:p>
        </w:tc>
      </w:tr>
      <w:tr w:rsidR="00027FBF" w:rsidRPr="00A83C94" w14:paraId="73E5335F"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AC691BB"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ED18954"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78E1F8C"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25D3B5D"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23.5%</w:t>
            </w:r>
          </w:p>
        </w:tc>
        <w:tc>
          <w:tcPr>
            <w:tcW w:w="940" w:type="dxa"/>
            <w:tcBorders>
              <w:top w:val="nil"/>
              <w:left w:val="nil"/>
              <w:bottom w:val="single" w:sz="8" w:space="0" w:color="2F75B5"/>
              <w:right w:val="single" w:sz="8" w:space="0" w:color="2F75B5"/>
            </w:tcBorders>
            <w:shd w:val="clear" w:color="auto" w:fill="auto"/>
            <w:noWrap/>
            <w:vAlign w:val="center"/>
            <w:hideMark/>
          </w:tcPr>
          <w:p w14:paraId="5DBB422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24.0%</w:t>
            </w:r>
          </w:p>
        </w:tc>
      </w:tr>
      <w:tr w:rsidR="00027FBF" w:rsidRPr="00A83C94" w14:paraId="7D8BFBC3"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AF0AA9D"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DCE207A"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27C0C130"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8C01240"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1,656.9</w:t>
            </w:r>
          </w:p>
        </w:tc>
        <w:tc>
          <w:tcPr>
            <w:tcW w:w="940" w:type="dxa"/>
            <w:tcBorders>
              <w:top w:val="nil"/>
              <w:left w:val="nil"/>
              <w:bottom w:val="single" w:sz="8" w:space="0" w:color="2F75B5"/>
              <w:right w:val="single" w:sz="8" w:space="0" w:color="2F75B5"/>
            </w:tcBorders>
            <w:shd w:val="clear" w:color="auto" w:fill="auto"/>
            <w:noWrap/>
            <w:vAlign w:val="center"/>
            <w:hideMark/>
          </w:tcPr>
          <w:p w14:paraId="6B88E37C" w14:textId="77777777" w:rsidR="00027FBF" w:rsidRPr="001538BF" w:rsidRDefault="00027FBF" w:rsidP="00027FBF">
            <w:pPr>
              <w:spacing w:before="0" w:line="240" w:lineRule="auto"/>
              <w:ind w:firstLine="0"/>
              <w:contextualSpacing w:val="0"/>
              <w:jc w:val="right"/>
              <w:rPr>
                <w:rFonts w:cs="Calibri"/>
                <w:b w:val="0"/>
                <w:color w:val="000000"/>
                <w:sz w:val="20"/>
                <w:szCs w:val="20"/>
                <w:lang w:val="hy-AM" w:eastAsia="en-US"/>
              </w:rPr>
            </w:pPr>
            <w:r w:rsidRPr="00A83C94">
              <w:rPr>
                <w:rFonts w:cs="Calibri"/>
                <w:b w:val="0"/>
                <w:color w:val="000000"/>
                <w:sz w:val="20"/>
                <w:szCs w:val="20"/>
                <w:lang w:val="en-US" w:eastAsia="en-US"/>
              </w:rPr>
              <w:t>1,94</w:t>
            </w:r>
            <w:r>
              <w:rPr>
                <w:rFonts w:cs="Calibri"/>
                <w:b w:val="0"/>
                <w:color w:val="000000"/>
                <w:sz w:val="20"/>
                <w:szCs w:val="20"/>
                <w:lang w:val="hy-AM" w:eastAsia="en-US"/>
              </w:rPr>
              <w:t>7</w:t>
            </w:r>
            <w:r w:rsidRPr="00A83C94">
              <w:rPr>
                <w:rFonts w:cs="Calibri"/>
                <w:b w:val="0"/>
                <w:color w:val="000000"/>
                <w:sz w:val="20"/>
                <w:szCs w:val="20"/>
                <w:lang w:val="en-US" w:eastAsia="en-US"/>
              </w:rPr>
              <w:t>.</w:t>
            </w:r>
            <w:r>
              <w:rPr>
                <w:rFonts w:cs="Calibri"/>
                <w:b w:val="0"/>
                <w:color w:val="000000"/>
                <w:sz w:val="20"/>
                <w:szCs w:val="20"/>
                <w:lang w:val="hy-AM" w:eastAsia="en-US"/>
              </w:rPr>
              <w:t>8</w:t>
            </w:r>
          </w:p>
        </w:tc>
      </w:tr>
      <w:tr w:rsidR="00027FBF" w:rsidRPr="00A83C94" w14:paraId="1078ECE3"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E466172"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D154B1F"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4EFD613"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FF493C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23.6%</w:t>
            </w:r>
          </w:p>
        </w:tc>
        <w:tc>
          <w:tcPr>
            <w:tcW w:w="940" w:type="dxa"/>
            <w:tcBorders>
              <w:top w:val="nil"/>
              <w:left w:val="nil"/>
              <w:bottom w:val="single" w:sz="8" w:space="0" w:color="2F75B5"/>
              <w:right w:val="single" w:sz="8" w:space="0" w:color="2F75B5"/>
            </w:tcBorders>
            <w:shd w:val="clear" w:color="auto" w:fill="auto"/>
            <w:noWrap/>
            <w:vAlign w:val="center"/>
            <w:hideMark/>
          </w:tcPr>
          <w:p w14:paraId="44D73E2C"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w:t>
            </w:r>
            <w:r>
              <w:rPr>
                <w:rFonts w:cs="Calibri"/>
                <w:b w:val="0"/>
                <w:i/>
                <w:iCs/>
                <w:color w:val="000000"/>
                <w:sz w:val="20"/>
                <w:szCs w:val="20"/>
                <w:lang w:val="hy-AM" w:eastAsia="en-US"/>
              </w:rPr>
              <w:t>8</w:t>
            </w:r>
            <w:r w:rsidRPr="00A83C94">
              <w:rPr>
                <w:rFonts w:cs="Calibri"/>
                <w:b w:val="0"/>
                <w:i/>
                <w:iCs/>
                <w:color w:val="000000"/>
                <w:sz w:val="20"/>
                <w:szCs w:val="20"/>
                <w:lang w:val="en-US" w:eastAsia="en-US"/>
              </w:rPr>
              <w:t>%</w:t>
            </w:r>
          </w:p>
        </w:tc>
      </w:tr>
    </w:tbl>
    <w:p w14:paraId="0A247E36" w14:textId="77777777" w:rsidR="00027FBF" w:rsidRPr="00A83C94" w:rsidRDefault="00027FBF" w:rsidP="00027FBF">
      <w:pPr>
        <w:spacing w:before="0" w:line="276" w:lineRule="auto"/>
        <w:ind w:firstLine="0"/>
        <w:contextualSpacing w:val="0"/>
        <w:rPr>
          <w:rFonts w:eastAsia="Calibri"/>
          <w:bCs/>
          <w:i/>
          <w:iCs/>
          <w:color w:val="000000"/>
          <w:szCs w:val="22"/>
          <w:lang w:val="hy-AM" w:eastAsia="en-US"/>
        </w:rPr>
      </w:pPr>
    </w:p>
    <w:p w14:paraId="350A8482"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2.5.2.</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հարկային եկամուտների կանխատեսումների համեմատական աղյուսակը (մլրդ դրամ)</w:t>
      </w:r>
    </w:p>
    <w:p w14:paraId="6F8A2D1D" w14:textId="77777777" w:rsidR="00027FBF" w:rsidRPr="00A83C94" w:rsidRDefault="00027FBF" w:rsidP="00027FBF">
      <w:pPr>
        <w:spacing w:before="0" w:line="259" w:lineRule="auto"/>
        <w:ind w:firstLine="0"/>
        <w:contextualSpacing w:val="0"/>
        <w:rPr>
          <w:rFonts w:eastAsia="Calibri"/>
          <w:bCs/>
          <w:i/>
          <w:iCs/>
          <w:sz w:val="20"/>
          <w:szCs w:val="20"/>
          <w:lang w:val="hy-AM" w:eastAsia="en-US"/>
        </w:rPr>
      </w:pPr>
    </w:p>
    <w:tbl>
      <w:tblPr>
        <w:tblW w:w="7400" w:type="dxa"/>
        <w:tblInd w:w="1160" w:type="dxa"/>
        <w:tblLook w:val="04A0" w:firstRow="1" w:lastRow="0" w:firstColumn="1" w:lastColumn="0" w:noHBand="0" w:noVBand="1"/>
      </w:tblPr>
      <w:tblGrid>
        <w:gridCol w:w="1360"/>
        <w:gridCol w:w="3220"/>
        <w:gridCol w:w="940"/>
        <w:gridCol w:w="940"/>
        <w:gridCol w:w="940"/>
      </w:tblGrid>
      <w:tr w:rsidR="00027FBF" w:rsidRPr="00A83C94" w14:paraId="1EEBD8AA" w14:textId="77777777" w:rsidTr="00027FBF">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22F1B317"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2D702F15"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43CAF52C"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5C2C69D5"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2EE4E9D8"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027FBF" w:rsidRPr="00A83C94" w14:paraId="73B04B62" w14:textId="77777777" w:rsidTr="00027FBF">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58E3B963"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334BFDAE"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054FD99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1,385.2</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635A9C50"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262BA6F2"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4DA99DE3" w14:textId="77777777" w:rsidTr="00027FBF">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4D48D4A7"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7E12F3CA"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81F868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22.4%</w:t>
            </w:r>
          </w:p>
        </w:tc>
        <w:tc>
          <w:tcPr>
            <w:tcW w:w="940" w:type="dxa"/>
            <w:tcBorders>
              <w:top w:val="nil"/>
              <w:left w:val="nil"/>
              <w:bottom w:val="single" w:sz="8" w:space="0" w:color="2F75B5"/>
              <w:right w:val="single" w:sz="8" w:space="0" w:color="2F75B5"/>
            </w:tcBorders>
            <w:shd w:val="clear" w:color="auto" w:fill="auto"/>
            <w:noWrap/>
            <w:vAlign w:val="center"/>
            <w:hideMark/>
          </w:tcPr>
          <w:p w14:paraId="2C7852CA"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F0CEB3F"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0D7132F4"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7F1AEAAC"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46A9C730"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7A4B5C4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1,621.2</w:t>
            </w:r>
          </w:p>
        </w:tc>
        <w:tc>
          <w:tcPr>
            <w:tcW w:w="940" w:type="dxa"/>
            <w:tcBorders>
              <w:top w:val="nil"/>
              <w:left w:val="nil"/>
              <w:bottom w:val="single" w:sz="8" w:space="0" w:color="2F75B5"/>
              <w:right w:val="single" w:sz="8" w:space="0" w:color="2F75B5"/>
            </w:tcBorders>
            <w:shd w:val="clear" w:color="auto" w:fill="auto"/>
            <w:noWrap/>
            <w:vAlign w:val="center"/>
            <w:hideMark/>
          </w:tcPr>
          <w:p w14:paraId="381FA91F"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1,787.5</w:t>
            </w:r>
          </w:p>
        </w:tc>
        <w:tc>
          <w:tcPr>
            <w:tcW w:w="940" w:type="dxa"/>
            <w:tcBorders>
              <w:top w:val="nil"/>
              <w:left w:val="nil"/>
              <w:bottom w:val="single" w:sz="8" w:space="0" w:color="2F75B5"/>
              <w:right w:val="single" w:sz="8" w:space="0" w:color="2F75B5"/>
            </w:tcBorders>
            <w:shd w:val="clear" w:color="auto" w:fill="auto"/>
            <w:noWrap/>
            <w:vAlign w:val="center"/>
            <w:hideMark/>
          </w:tcPr>
          <w:p w14:paraId="31A7CD06"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1,988.8</w:t>
            </w:r>
          </w:p>
        </w:tc>
      </w:tr>
      <w:tr w:rsidR="00027FBF" w:rsidRPr="00A83C94" w14:paraId="243DDD3A"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ABC70F7"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A4681A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DE8E046"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23.2%</w:t>
            </w:r>
          </w:p>
        </w:tc>
        <w:tc>
          <w:tcPr>
            <w:tcW w:w="940" w:type="dxa"/>
            <w:tcBorders>
              <w:top w:val="nil"/>
              <w:left w:val="nil"/>
              <w:bottom w:val="single" w:sz="8" w:space="0" w:color="2F75B5"/>
              <w:right w:val="single" w:sz="8" w:space="0" w:color="2F75B5"/>
            </w:tcBorders>
            <w:shd w:val="clear" w:color="auto" w:fill="auto"/>
            <w:noWrap/>
            <w:vAlign w:val="center"/>
            <w:hideMark/>
          </w:tcPr>
          <w:p w14:paraId="29F0B9E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23.5%</w:t>
            </w:r>
          </w:p>
        </w:tc>
        <w:tc>
          <w:tcPr>
            <w:tcW w:w="940" w:type="dxa"/>
            <w:tcBorders>
              <w:top w:val="nil"/>
              <w:left w:val="nil"/>
              <w:bottom w:val="single" w:sz="8" w:space="0" w:color="2F75B5"/>
              <w:right w:val="single" w:sz="8" w:space="0" w:color="2F75B5"/>
            </w:tcBorders>
            <w:shd w:val="clear" w:color="auto" w:fill="auto"/>
            <w:noWrap/>
            <w:vAlign w:val="center"/>
            <w:hideMark/>
          </w:tcPr>
          <w:p w14:paraId="13183F3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23.9%</w:t>
            </w:r>
          </w:p>
        </w:tc>
      </w:tr>
      <w:tr w:rsidR="00027FBF" w:rsidRPr="00A83C94" w14:paraId="565F09E3"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45CAF0B"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2B422F2"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73AD71C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1,602.3</w:t>
            </w:r>
          </w:p>
        </w:tc>
        <w:tc>
          <w:tcPr>
            <w:tcW w:w="940" w:type="dxa"/>
            <w:tcBorders>
              <w:top w:val="nil"/>
              <w:left w:val="nil"/>
              <w:bottom w:val="single" w:sz="8" w:space="0" w:color="2F75B5"/>
              <w:right w:val="single" w:sz="8" w:space="0" w:color="2F75B5"/>
            </w:tcBorders>
            <w:shd w:val="clear" w:color="auto" w:fill="auto"/>
            <w:noWrap/>
            <w:vAlign w:val="center"/>
            <w:hideMark/>
          </w:tcPr>
          <w:p w14:paraId="5FF20321"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626EF94E"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7966F0BA"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70B4087"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5B74693"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31B2C7B"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22.6%</w:t>
            </w:r>
          </w:p>
        </w:tc>
        <w:tc>
          <w:tcPr>
            <w:tcW w:w="940" w:type="dxa"/>
            <w:tcBorders>
              <w:top w:val="nil"/>
              <w:left w:val="nil"/>
              <w:bottom w:val="single" w:sz="8" w:space="0" w:color="2F75B5"/>
              <w:right w:val="single" w:sz="8" w:space="0" w:color="2F75B5"/>
            </w:tcBorders>
            <w:shd w:val="clear" w:color="auto" w:fill="auto"/>
            <w:noWrap/>
            <w:vAlign w:val="center"/>
            <w:hideMark/>
          </w:tcPr>
          <w:p w14:paraId="44860B3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65689D49"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27FF119C"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7D2E0F65"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6B119165"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1C03CBB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1,395.9</w:t>
            </w: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8AA5D2E"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1,600.3</w:t>
            </w:r>
          </w:p>
        </w:tc>
        <w:tc>
          <w:tcPr>
            <w:tcW w:w="940" w:type="dxa"/>
            <w:tcBorders>
              <w:top w:val="nil"/>
              <w:left w:val="nil"/>
              <w:bottom w:val="single" w:sz="8" w:space="0" w:color="2F75B5"/>
              <w:right w:val="single" w:sz="8" w:space="0" w:color="2F75B5"/>
            </w:tcBorders>
            <w:shd w:val="clear" w:color="auto" w:fill="auto"/>
            <w:noWrap/>
            <w:vAlign w:val="center"/>
            <w:hideMark/>
          </w:tcPr>
          <w:p w14:paraId="1AC58EA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1,819.7</w:t>
            </w:r>
          </w:p>
        </w:tc>
      </w:tr>
      <w:tr w:rsidR="00027FBF" w:rsidRPr="00A83C94" w14:paraId="3A964ADF"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F535F31"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C77CC9E"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5AF19FF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21.5%</w:t>
            </w:r>
            <w:r w:rsidRPr="00A83C94">
              <w:rPr>
                <w:rFonts w:ascii="Calibri" w:hAnsi="Calibri" w:cs="Calibri"/>
                <w:b w:val="0"/>
                <w:i/>
                <w:iCs/>
                <w:color w:val="000000"/>
                <w:sz w:val="18"/>
                <w:szCs w:val="18"/>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291B28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22.4%</w:t>
            </w:r>
          </w:p>
        </w:tc>
        <w:tc>
          <w:tcPr>
            <w:tcW w:w="940" w:type="dxa"/>
            <w:tcBorders>
              <w:top w:val="nil"/>
              <w:left w:val="nil"/>
              <w:bottom w:val="single" w:sz="8" w:space="0" w:color="2F75B5"/>
              <w:right w:val="single" w:sz="8" w:space="0" w:color="2F75B5"/>
            </w:tcBorders>
            <w:shd w:val="clear" w:color="auto" w:fill="auto"/>
            <w:noWrap/>
            <w:vAlign w:val="center"/>
            <w:hideMark/>
          </w:tcPr>
          <w:p w14:paraId="2A7A8D9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23.2%</w:t>
            </w:r>
          </w:p>
        </w:tc>
      </w:tr>
      <w:tr w:rsidR="00027FBF" w:rsidRPr="00A83C94" w14:paraId="3E4158D2"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2C33144"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545D8E5"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639E7ED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1,349.8</w:t>
            </w:r>
          </w:p>
        </w:tc>
        <w:tc>
          <w:tcPr>
            <w:tcW w:w="940" w:type="dxa"/>
            <w:tcBorders>
              <w:top w:val="nil"/>
              <w:left w:val="nil"/>
              <w:bottom w:val="single" w:sz="8" w:space="0" w:color="2F75B5"/>
              <w:right w:val="single" w:sz="8" w:space="0" w:color="2F75B5"/>
            </w:tcBorders>
            <w:shd w:val="clear" w:color="auto" w:fill="auto"/>
            <w:noWrap/>
            <w:vAlign w:val="center"/>
            <w:hideMark/>
          </w:tcPr>
          <w:p w14:paraId="5274DA0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1,440.1</w:t>
            </w:r>
          </w:p>
        </w:tc>
        <w:tc>
          <w:tcPr>
            <w:tcW w:w="940" w:type="dxa"/>
            <w:tcBorders>
              <w:top w:val="nil"/>
              <w:left w:val="nil"/>
              <w:bottom w:val="single" w:sz="8" w:space="0" w:color="2F75B5"/>
              <w:right w:val="single" w:sz="8" w:space="0" w:color="2F75B5"/>
            </w:tcBorders>
            <w:shd w:val="clear" w:color="auto" w:fill="auto"/>
            <w:noWrap/>
            <w:vAlign w:val="center"/>
            <w:hideMark/>
          </w:tcPr>
          <w:p w14:paraId="67DDACF6"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027FBF" w:rsidRPr="00A83C94" w14:paraId="6E523629"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BF94900"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5728799"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5C8E98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22.2%</w:t>
            </w:r>
          </w:p>
        </w:tc>
        <w:tc>
          <w:tcPr>
            <w:tcW w:w="940" w:type="dxa"/>
            <w:tcBorders>
              <w:top w:val="nil"/>
              <w:left w:val="nil"/>
              <w:bottom w:val="single" w:sz="8" w:space="0" w:color="2F75B5"/>
              <w:right w:val="single" w:sz="8" w:space="0" w:color="2F75B5"/>
            </w:tcBorders>
            <w:shd w:val="clear" w:color="auto" w:fill="auto"/>
            <w:noWrap/>
            <w:vAlign w:val="center"/>
            <w:hideMark/>
          </w:tcPr>
          <w:p w14:paraId="27B2A31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22.5%</w:t>
            </w:r>
          </w:p>
        </w:tc>
        <w:tc>
          <w:tcPr>
            <w:tcW w:w="940" w:type="dxa"/>
            <w:tcBorders>
              <w:top w:val="nil"/>
              <w:left w:val="nil"/>
              <w:bottom w:val="single" w:sz="8" w:space="0" w:color="2F75B5"/>
              <w:right w:val="single" w:sz="8" w:space="0" w:color="2F75B5"/>
            </w:tcBorders>
            <w:shd w:val="clear" w:color="auto" w:fill="auto"/>
            <w:noWrap/>
            <w:vAlign w:val="center"/>
            <w:hideMark/>
          </w:tcPr>
          <w:p w14:paraId="0B26E60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027FBF" w:rsidRPr="00A83C94" w14:paraId="70D6ED13"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62F4AA85"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5F3E923F"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7E7D643B"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B7B3A7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1,540.5</w:t>
            </w:r>
          </w:p>
        </w:tc>
        <w:tc>
          <w:tcPr>
            <w:tcW w:w="940" w:type="dxa"/>
            <w:tcBorders>
              <w:top w:val="nil"/>
              <w:left w:val="nil"/>
              <w:bottom w:val="single" w:sz="8" w:space="0" w:color="2F75B5"/>
              <w:right w:val="single" w:sz="8" w:space="0" w:color="2F75B5"/>
            </w:tcBorders>
            <w:shd w:val="clear" w:color="auto" w:fill="auto"/>
            <w:noWrap/>
            <w:vAlign w:val="center"/>
            <w:hideMark/>
          </w:tcPr>
          <w:p w14:paraId="317F045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1,733.5</w:t>
            </w:r>
          </w:p>
        </w:tc>
      </w:tr>
      <w:tr w:rsidR="00027FBF" w:rsidRPr="00A83C94" w14:paraId="7A576934"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051DFD4"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004671C"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3F485A0"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76B714ED"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22.4%</w:t>
            </w:r>
          </w:p>
        </w:tc>
        <w:tc>
          <w:tcPr>
            <w:tcW w:w="940" w:type="dxa"/>
            <w:tcBorders>
              <w:top w:val="nil"/>
              <w:left w:val="nil"/>
              <w:bottom w:val="single" w:sz="8" w:space="0" w:color="2F75B5"/>
              <w:right w:val="single" w:sz="8" w:space="0" w:color="2F75B5"/>
            </w:tcBorders>
            <w:shd w:val="clear" w:color="auto" w:fill="auto"/>
            <w:noWrap/>
            <w:vAlign w:val="center"/>
            <w:hideMark/>
          </w:tcPr>
          <w:p w14:paraId="68AAC51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22.9%</w:t>
            </w:r>
          </w:p>
        </w:tc>
      </w:tr>
      <w:tr w:rsidR="00027FBF" w:rsidRPr="00A83C94" w14:paraId="6D6ED58C"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66BE109"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73A4D488"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157A6370"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345873F"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1,581.0</w:t>
            </w:r>
          </w:p>
        </w:tc>
        <w:tc>
          <w:tcPr>
            <w:tcW w:w="940" w:type="dxa"/>
            <w:tcBorders>
              <w:top w:val="nil"/>
              <w:left w:val="nil"/>
              <w:bottom w:val="single" w:sz="8" w:space="0" w:color="2F75B5"/>
              <w:right w:val="single" w:sz="8" w:space="0" w:color="2F75B5"/>
            </w:tcBorders>
            <w:shd w:val="clear" w:color="auto" w:fill="auto"/>
            <w:noWrap/>
            <w:vAlign w:val="center"/>
            <w:hideMark/>
          </w:tcPr>
          <w:p w14:paraId="6D624145" w14:textId="77777777" w:rsidR="00027FBF" w:rsidRPr="001538BF" w:rsidRDefault="00027FBF" w:rsidP="00027FBF">
            <w:pPr>
              <w:spacing w:before="0" w:line="240" w:lineRule="auto"/>
              <w:ind w:firstLine="0"/>
              <w:contextualSpacing w:val="0"/>
              <w:jc w:val="right"/>
              <w:rPr>
                <w:rFonts w:cs="Calibri"/>
                <w:b w:val="0"/>
                <w:color w:val="000000"/>
                <w:sz w:val="20"/>
                <w:szCs w:val="20"/>
                <w:lang w:val="hy-AM" w:eastAsia="en-US"/>
              </w:rPr>
            </w:pPr>
            <w:r w:rsidRPr="00A83C94">
              <w:rPr>
                <w:rFonts w:cs="Calibri"/>
                <w:b w:val="0"/>
                <w:color w:val="000000"/>
                <w:sz w:val="20"/>
                <w:szCs w:val="20"/>
                <w:lang w:val="en-US" w:eastAsia="en-US"/>
              </w:rPr>
              <w:t>1,843.</w:t>
            </w:r>
            <w:r>
              <w:rPr>
                <w:rFonts w:cs="Calibri"/>
                <w:b w:val="0"/>
                <w:color w:val="000000"/>
                <w:sz w:val="20"/>
                <w:szCs w:val="20"/>
                <w:lang w:val="hy-AM" w:eastAsia="en-US"/>
              </w:rPr>
              <w:t>9</w:t>
            </w:r>
          </w:p>
        </w:tc>
      </w:tr>
      <w:tr w:rsidR="00027FBF" w:rsidRPr="00A83C94" w14:paraId="15C54DEF"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00341D6"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80190D3"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5F1DBF93"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34B4AD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22.5%</w:t>
            </w:r>
          </w:p>
        </w:tc>
        <w:tc>
          <w:tcPr>
            <w:tcW w:w="940" w:type="dxa"/>
            <w:tcBorders>
              <w:top w:val="nil"/>
              <w:left w:val="nil"/>
              <w:bottom w:val="single" w:sz="8" w:space="0" w:color="2F75B5"/>
              <w:right w:val="single" w:sz="8" w:space="0" w:color="2F75B5"/>
            </w:tcBorders>
            <w:shd w:val="clear" w:color="auto" w:fill="auto"/>
            <w:noWrap/>
            <w:vAlign w:val="center"/>
            <w:hideMark/>
          </w:tcPr>
          <w:p w14:paraId="4A82C4D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23.4%</w:t>
            </w:r>
          </w:p>
        </w:tc>
      </w:tr>
    </w:tbl>
    <w:p w14:paraId="4D4B92A7"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6745FFC9"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2.5.3.</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ծախսերի կանխատեսումների համեմատական աղյուսակը (մլրդ դրամ)</w:t>
      </w:r>
    </w:p>
    <w:tbl>
      <w:tblPr>
        <w:tblW w:w="7400" w:type="dxa"/>
        <w:tblInd w:w="1160" w:type="dxa"/>
        <w:tblLook w:val="04A0" w:firstRow="1" w:lastRow="0" w:firstColumn="1" w:lastColumn="0" w:noHBand="0" w:noVBand="1"/>
      </w:tblPr>
      <w:tblGrid>
        <w:gridCol w:w="1360"/>
        <w:gridCol w:w="3220"/>
        <w:gridCol w:w="940"/>
        <w:gridCol w:w="940"/>
        <w:gridCol w:w="940"/>
      </w:tblGrid>
      <w:tr w:rsidR="00027FBF" w:rsidRPr="00A83C94" w14:paraId="08BFBACF" w14:textId="77777777" w:rsidTr="00027FBF">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0372AA2D"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lastRenderedPageBreak/>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60F71FE4"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038F59BB"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2D71FDA0"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091BC0CA"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027FBF" w:rsidRPr="00A83C94" w14:paraId="272659BF" w14:textId="77777777" w:rsidTr="00027FBF">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3E6E5E3B"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2B21DEC4"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4D6BDD2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1,894.6</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3E109DE7"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1E86743F"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587ADB8C" w14:textId="77777777" w:rsidTr="00027FBF">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054DCB75"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482FD8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044FC76"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30.6%</w:t>
            </w:r>
          </w:p>
        </w:tc>
        <w:tc>
          <w:tcPr>
            <w:tcW w:w="940" w:type="dxa"/>
            <w:tcBorders>
              <w:top w:val="nil"/>
              <w:left w:val="nil"/>
              <w:bottom w:val="single" w:sz="8" w:space="0" w:color="2F75B5"/>
              <w:right w:val="single" w:sz="8" w:space="0" w:color="2F75B5"/>
            </w:tcBorders>
            <w:shd w:val="clear" w:color="auto" w:fill="auto"/>
            <w:noWrap/>
            <w:vAlign w:val="center"/>
            <w:hideMark/>
          </w:tcPr>
          <w:p w14:paraId="7195FB3A"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1D3E166"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144EBCDB"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7C456D5C"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0E816B05"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15F3576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1,868.2</w:t>
            </w:r>
          </w:p>
        </w:tc>
        <w:tc>
          <w:tcPr>
            <w:tcW w:w="940" w:type="dxa"/>
            <w:tcBorders>
              <w:top w:val="nil"/>
              <w:left w:val="nil"/>
              <w:bottom w:val="single" w:sz="8" w:space="0" w:color="2F75B5"/>
              <w:right w:val="single" w:sz="8" w:space="0" w:color="2F75B5"/>
            </w:tcBorders>
            <w:shd w:val="clear" w:color="auto" w:fill="auto"/>
            <w:noWrap/>
            <w:vAlign w:val="center"/>
            <w:hideMark/>
          </w:tcPr>
          <w:p w14:paraId="336C5020"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2,027.7</w:t>
            </w:r>
          </w:p>
        </w:tc>
        <w:tc>
          <w:tcPr>
            <w:tcW w:w="940" w:type="dxa"/>
            <w:tcBorders>
              <w:top w:val="nil"/>
              <w:left w:val="nil"/>
              <w:bottom w:val="single" w:sz="8" w:space="0" w:color="2F75B5"/>
              <w:right w:val="single" w:sz="8" w:space="0" w:color="2F75B5"/>
            </w:tcBorders>
            <w:shd w:val="clear" w:color="auto" w:fill="auto"/>
            <w:noWrap/>
            <w:vAlign w:val="center"/>
            <w:hideMark/>
          </w:tcPr>
          <w:p w14:paraId="5D4AA95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2,235.5</w:t>
            </w:r>
          </w:p>
        </w:tc>
      </w:tr>
      <w:tr w:rsidR="00027FBF" w:rsidRPr="00A83C94" w14:paraId="59A55BA0"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BAFE006"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531FE14"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9ED0C1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26.8%</w:t>
            </w:r>
          </w:p>
        </w:tc>
        <w:tc>
          <w:tcPr>
            <w:tcW w:w="940" w:type="dxa"/>
            <w:tcBorders>
              <w:top w:val="nil"/>
              <w:left w:val="nil"/>
              <w:bottom w:val="single" w:sz="8" w:space="0" w:color="2F75B5"/>
              <w:right w:val="single" w:sz="8" w:space="0" w:color="2F75B5"/>
            </w:tcBorders>
            <w:shd w:val="clear" w:color="auto" w:fill="auto"/>
            <w:noWrap/>
            <w:vAlign w:val="center"/>
            <w:hideMark/>
          </w:tcPr>
          <w:p w14:paraId="55F5015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26.6%</w:t>
            </w:r>
          </w:p>
        </w:tc>
        <w:tc>
          <w:tcPr>
            <w:tcW w:w="940" w:type="dxa"/>
            <w:tcBorders>
              <w:top w:val="nil"/>
              <w:left w:val="nil"/>
              <w:bottom w:val="single" w:sz="8" w:space="0" w:color="2F75B5"/>
              <w:right w:val="single" w:sz="8" w:space="0" w:color="2F75B5"/>
            </w:tcBorders>
            <w:shd w:val="clear" w:color="auto" w:fill="auto"/>
            <w:noWrap/>
            <w:vAlign w:val="center"/>
            <w:hideMark/>
          </w:tcPr>
          <w:p w14:paraId="3340D7D9"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26.9%</w:t>
            </w:r>
          </w:p>
        </w:tc>
      </w:tr>
      <w:tr w:rsidR="00027FBF" w:rsidRPr="00A83C94" w14:paraId="5AB2AC1B"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7B8E104"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A9D32C4"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0BB15AA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1,855.7</w:t>
            </w:r>
          </w:p>
        </w:tc>
        <w:tc>
          <w:tcPr>
            <w:tcW w:w="940" w:type="dxa"/>
            <w:tcBorders>
              <w:top w:val="nil"/>
              <w:left w:val="nil"/>
              <w:bottom w:val="single" w:sz="8" w:space="0" w:color="2F75B5"/>
              <w:right w:val="single" w:sz="8" w:space="0" w:color="2F75B5"/>
            </w:tcBorders>
            <w:shd w:val="clear" w:color="auto" w:fill="auto"/>
            <w:noWrap/>
            <w:vAlign w:val="center"/>
            <w:hideMark/>
          </w:tcPr>
          <w:p w14:paraId="2DEF7D2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7A11BC1"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0319C3E1"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3815E5B"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50D74AA"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5041930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26.2%</w:t>
            </w:r>
          </w:p>
        </w:tc>
        <w:tc>
          <w:tcPr>
            <w:tcW w:w="940" w:type="dxa"/>
            <w:tcBorders>
              <w:top w:val="nil"/>
              <w:left w:val="nil"/>
              <w:bottom w:val="single" w:sz="8" w:space="0" w:color="2F75B5"/>
              <w:right w:val="single" w:sz="8" w:space="0" w:color="2F75B5"/>
            </w:tcBorders>
            <w:shd w:val="clear" w:color="auto" w:fill="auto"/>
            <w:noWrap/>
            <w:vAlign w:val="center"/>
            <w:hideMark/>
          </w:tcPr>
          <w:p w14:paraId="7EB20AEB"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F59CCFD"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5842D6C9"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0E7C4A89"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51441B4C"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3CD825E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1,850.2</w:t>
            </w:r>
          </w:p>
        </w:tc>
        <w:tc>
          <w:tcPr>
            <w:tcW w:w="940" w:type="dxa"/>
            <w:tcBorders>
              <w:top w:val="nil"/>
              <w:left w:val="nil"/>
              <w:bottom w:val="single" w:sz="8" w:space="0" w:color="2F75B5"/>
              <w:right w:val="single" w:sz="8" w:space="0" w:color="2F75B5"/>
            </w:tcBorders>
            <w:shd w:val="clear" w:color="auto" w:fill="auto"/>
            <w:noWrap/>
            <w:vAlign w:val="center"/>
            <w:hideMark/>
          </w:tcPr>
          <w:p w14:paraId="4B33BD7A"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1,879.0</w:t>
            </w:r>
          </w:p>
        </w:tc>
        <w:tc>
          <w:tcPr>
            <w:tcW w:w="940" w:type="dxa"/>
            <w:tcBorders>
              <w:top w:val="nil"/>
              <w:left w:val="nil"/>
              <w:bottom w:val="single" w:sz="8" w:space="0" w:color="2F75B5"/>
              <w:right w:val="single" w:sz="8" w:space="0" w:color="2F75B5"/>
            </w:tcBorders>
            <w:shd w:val="clear" w:color="auto" w:fill="auto"/>
            <w:noWrap/>
            <w:vAlign w:val="center"/>
            <w:hideMark/>
          </w:tcPr>
          <w:p w14:paraId="1AF8DCFF"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2,026.1</w:t>
            </w:r>
          </w:p>
        </w:tc>
      </w:tr>
      <w:tr w:rsidR="00027FBF" w:rsidRPr="00A83C94" w14:paraId="451D4278"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736C70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B7ECBA9"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A57E3F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28.4%</w:t>
            </w:r>
            <w:r w:rsidRPr="00A83C94">
              <w:rPr>
                <w:rFonts w:ascii="Calibri" w:hAnsi="Calibri" w:cs="Calibri"/>
                <w:b w:val="0"/>
                <w:i/>
                <w:iCs/>
                <w:color w:val="000000"/>
                <w:sz w:val="18"/>
                <w:szCs w:val="18"/>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8D259B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26.3%</w:t>
            </w:r>
          </w:p>
        </w:tc>
        <w:tc>
          <w:tcPr>
            <w:tcW w:w="940" w:type="dxa"/>
            <w:tcBorders>
              <w:top w:val="nil"/>
              <w:left w:val="nil"/>
              <w:bottom w:val="single" w:sz="8" w:space="0" w:color="2F75B5"/>
              <w:right w:val="single" w:sz="8" w:space="0" w:color="2F75B5"/>
            </w:tcBorders>
            <w:shd w:val="clear" w:color="auto" w:fill="auto"/>
            <w:noWrap/>
            <w:vAlign w:val="center"/>
            <w:hideMark/>
          </w:tcPr>
          <w:p w14:paraId="18C7D40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25.8%</w:t>
            </w:r>
          </w:p>
        </w:tc>
      </w:tr>
      <w:tr w:rsidR="00027FBF" w:rsidRPr="00A83C94" w14:paraId="2678316C"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E8BC519"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314F8D8"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769B491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1,907.4</w:t>
            </w:r>
          </w:p>
        </w:tc>
        <w:tc>
          <w:tcPr>
            <w:tcW w:w="940" w:type="dxa"/>
            <w:tcBorders>
              <w:top w:val="nil"/>
              <w:left w:val="nil"/>
              <w:bottom w:val="single" w:sz="8" w:space="0" w:color="2F75B5"/>
              <w:right w:val="single" w:sz="8" w:space="0" w:color="2F75B5"/>
            </w:tcBorders>
            <w:shd w:val="clear" w:color="auto" w:fill="auto"/>
            <w:noWrap/>
            <w:vAlign w:val="center"/>
            <w:hideMark/>
          </w:tcPr>
          <w:p w14:paraId="3E50C4C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1,850.9</w:t>
            </w:r>
          </w:p>
        </w:tc>
        <w:tc>
          <w:tcPr>
            <w:tcW w:w="940" w:type="dxa"/>
            <w:tcBorders>
              <w:top w:val="nil"/>
              <w:left w:val="nil"/>
              <w:bottom w:val="single" w:sz="8" w:space="0" w:color="2F75B5"/>
              <w:right w:val="single" w:sz="8" w:space="0" w:color="2F75B5"/>
            </w:tcBorders>
            <w:shd w:val="clear" w:color="auto" w:fill="auto"/>
            <w:noWrap/>
            <w:vAlign w:val="center"/>
            <w:hideMark/>
          </w:tcPr>
          <w:p w14:paraId="3B9A388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027FBF" w:rsidRPr="00A83C94" w14:paraId="38FB1F75"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C0CB88D"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F10DB87"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4C2AFE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31.4%</w:t>
            </w:r>
          </w:p>
        </w:tc>
        <w:tc>
          <w:tcPr>
            <w:tcW w:w="940" w:type="dxa"/>
            <w:tcBorders>
              <w:top w:val="nil"/>
              <w:left w:val="nil"/>
              <w:bottom w:val="single" w:sz="8" w:space="0" w:color="2F75B5"/>
              <w:right w:val="single" w:sz="8" w:space="0" w:color="2F75B5"/>
            </w:tcBorders>
            <w:shd w:val="clear" w:color="auto" w:fill="auto"/>
            <w:noWrap/>
            <w:vAlign w:val="center"/>
            <w:hideMark/>
          </w:tcPr>
          <w:p w14:paraId="3BE1D21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28.9%</w:t>
            </w:r>
          </w:p>
        </w:tc>
        <w:tc>
          <w:tcPr>
            <w:tcW w:w="940" w:type="dxa"/>
            <w:tcBorders>
              <w:top w:val="nil"/>
              <w:left w:val="nil"/>
              <w:bottom w:val="single" w:sz="8" w:space="0" w:color="2F75B5"/>
              <w:right w:val="single" w:sz="8" w:space="0" w:color="2F75B5"/>
            </w:tcBorders>
            <w:shd w:val="clear" w:color="auto" w:fill="auto"/>
            <w:noWrap/>
            <w:vAlign w:val="center"/>
            <w:hideMark/>
          </w:tcPr>
          <w:p w14:paraId="614541D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027FBF" w:rsidRPr="00A83C94" w14:paraId="420C5618"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14F2A33F"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3B6D7643"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715EC207"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B4670A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1,936.0</w:t>
            </w:r>
          </w:p>
        </w:tc>
        <w:tc>
          <w:tcPr>
            <w:tcW w:w="940" w:type="dxa"/>
            <w:tcBorders>
              <w:top w:val="nil"/>
              <w:left w:val="nil"/>
              <w:bottom w:val="single" w:sz="8" w:space="0" w:color="2F75B5"/>
              <w:right w:val="single" w:sz="8" w:space="0" w:color="2F75B5"/>
            </w:tcBorders>
            <w:shd w:val="clear" w:color="auto" w:fill="auto"/>
            <w:noWrap/>
            <w:vAlign w:val="center"/>
            <w:hideMark/>
          </w:tcPr>
          <w:p w14:paraId="385C2536"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2,000.9</w:t>
            </w:r>
          </w:p>
        </w:tc>
      </w:tr>
      <w:tr w:rsidR="00027FBF" w:rsidRPr="00A83C94" w14:paraId="3F28A866"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E4FA983"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126FBC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4F95DE6E"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382F356"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28.1%</w:t>
            </w:r>
          </w:p>
        </w:tc>
        <w:tc>
          <w:tcPr>
            <w:tcW w:w="940" w:type="dxa"/>
            <w:tcBorders>
              <w:top w:val="nil"/>
              <w:left w:val="nil"/>
              <w:bottom w:val="single" w:sz="8" w:space="0" w:color="2F75B5"/>
              <w:right w:val="single" w:sz="8" w:space="0" w:color="2F75B5"/>
            </w:tcBorders>
            <w:shd w:val="clear" w:color="auto" w:fill="auto"/>
            <w:noWrap/>
            <w:vAlign w:val="center"/>
            <w:hideMark/>
          </w:tcPr>
          <w:p w14:paraId="11BDF33A"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26.4%</w:t>
            </w:r>
          </w:p>
        </w:tc>
      </w:tr>
      <w:tr w:rsidR="00027FBF" w:rsidRPr="00A83C94" w14:paraId="6082026E"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5D130F7"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5503A64"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41DCCCD2"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EAA5A7F"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1,986.0</w:t>
            </w:r>
          </w:p>
        </w:tc>
        <w:tc>
          <w:tcPr>
            <w:tcW w:w="940" w:type="dxa"/>
            <w:tcBorders>
              <w:top w:val="nil"/>
              <w:left w:val="nil"/>
              <w:bottom w:val="single" w:sz="8" w:space="0" w:color="2F75B5"/>
              <w:right w:val="single" w:sz="8" w:space="0" w:color="2F75B5"/>
            </w:tcBorders>
            <w:shd w:val="clear" w:color="auto" w:fill="auto"/>
            <w:noWrap/>
            <w:vAlign w:val="center"/>
            <w:hideMark/>
          </w:tcPr>
          <w:p w14:paraId="785E9B8A" w14:textId="77777777" w:rsidR="00027FBF" w:rsidRPr="001538BF" w:rsidRDefault="00027FBF" w:rsidP="00027FBF">
            <w:pPr>
              <w:spacing w:before="0" w:line="240" w:lineRule="auto"/>
              <w:ind w:firstLine="0"/>
              <w:contextualSpacing w:val="0"/>
              <w:jc w:val="right"/>
              <w:rPr>
                <w:rFonts w:cs="Calibri"/>
                <w:b w:val="0"/>
                <w:color w:val="000000"/>
                <w:sz w:val="20"/>
                <w:szCs w:val="20"/>
                <w:lang w:val="hy-AM" w:eastAsia="en-US"/>
              </w:rPr>
            </w:pPr>
            <w:r w:rsidRPr="00387D6C">
              <w:rPr>
                <w:rFonts w:cs="Calibri"/>
                <w:b w:val="0"/>
                <w:color w:val="000000"/>
                <w:sz w:val="20"/>
                <w:szCs w:val="20"/>
                <w:lang w:val="en-US" w:eastAsia="en-US"/>
              </w:rPr>
              <w:t>2,18</w:t>
            </w:r>
            <w:r>
              <w:rPr>
                <w:rFonts w:cs="Calibri"/>
                <w:b w:val="0"/>
                <w:color w:val="000000"/>
                <w:sz w:val="20"/>
                <w:szCs w:val="20"/>
                <w:lang w:val="hy-AM" w:eastAsia="en-US"/>
              </w:rPr>
              <w:t>4</w:t>
            </w:r>
            <w:r w:rsidRPr="00387D6C">
              <w:rPr>
                <w:rFonts w:cs="Calibri"/>
                <w:b w:val="0"/>
                <w:color w:val="000000"/>
                <w:sz w:val="20"/>
                <w:szCs w:val="20"/>
                <w:lang w:val="en-US" w:eastAsia="en-US"/>
              </w:rPr>
              <w:t>.</w:t>
            </w:r>
            <w:r>
              <w:rPr>
                <w:rFonts w:cs="Calibri"/>
                <w:b w:val="0"/>
                <w:color w:val="000000"/>
                <w:sz w:val="20"/>
                <w:szCs w:val="20"/>
                <w:lang w:val="hy-AM" w:eastAsia="en-US"/>
              </w:rPr>
              <w:t>0</w:t>
            </w:r>
          </w:p>
        </w:tc>
      </w:tr>
      <w:tr w:rsidR="00027FBF" w:rsidRPr="00A83C94" w14:paraId="5C905333"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6A41531"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FCDF3D6"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B10161B"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632D00F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28.2%</w:t>
            </w:r>
          </w:p>
        </w:tc>
        <w:tc>
          <w:tcPr>
            <w:tcW w:w="940" w:type="dxa"/>
            <w:tcBorders>
              <w:top w:val="nil"/>
              <w:left w:val="nil"/>
              <w:bottom w:val="single" w:sz="8" w:space="0" w:color="2F75B5"/>
              <w:right w:val="single" w:sz="8" w:space="0" w:color="2F75B5"/>
            </w:tcBorders>
            <w:shd w:val="clear" w:color="auto" w:fill="auto"/>
            <w:noWrap/>
            <w:vAlign w:val="center"/>
            <w:hideMark/>
          </w:tcPr>
          <w:p w14:paraId="508A168F"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387D6C">
              <w:rPr>
                <w:rFonts w:cs="Calibri"/>
                <w:b w:val="0"/>
                <w:i/>
                <w:iCs/>
                <w:color w:val="000000"/>
                <w:sz w:val="20"/>
                <w:szCs w:val="20"/>
                <w:lang w:val="en-US" w:eastAsia="en-US"/>
              </w:rPr>
              <w:t>27.8</w:t>
            </w:r>
            <w:r w:rsidRPr="00A83C94">
              <w:rPr>
                <w:rFonts w:cs="Calibri"/>
                <w:b w:val="0"/>
                <w:i/>
                <w:iCs/>
                <w:color w:val="000000"/>
                <w:sz w:val="20"/>
                <w:szCs w:val="20"/>
                <w:lang w:val="en-US" w:eastAsia="en-US"/>
              </w:rPr>
              <w:t>%</w:t>
            </w:r>
          </w:p>
        </w:tc>
      </w:tr>
    </w:tbl>
    <w:p w14:paraId="27D4B0E8"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p>
    <w:p w14:paraId="259384E8"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2.5.4.</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ընթացիկ ծախսերի կանխատեսումների համեմատական աղյուսակը (մլրդ դրամ)</w:t>
      </w:r>
    </w:p>
    <w:tbl>
      <w:tblPr>
        <w:tblW w:w="7400" w:type="dxa"/>
        <w:tblInd w:w="1160" w:type="dxa"/>
        <w:tblLook w:val="04A0" w:firstRow="1" w:lastRow="0" w:firstColumn="1" w:lastColumn="0" w:noHBand="0" w:noVBand="1"/>
      </w:tblPr>
      <w:tblGrid>
        <w:gridCol w:w="1360"/>
        <w:gridCol w:w="3220"/>
        <w:gridCol w:w="940"/>
        <w:gridCol w:w="940"/>
        <w:gridCol w:w="940"/>
      </w:tblGrid>
      <w:tr w:rsidR="00027FBF" w:rsidRPr="00A83C94" w14:paraId="101E302B" w14:textId="77777777" w:rsidTr="00027FBF">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275E7CD8"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6EE825A9"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5AF9B144"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381254B2"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32480615"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027FBF" w:rsidRPr="00A83C94" w14:paraId="55464EBA" w14:textId="77777777" w:rsidTr="00027FBF">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712AA19B"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0B86BC29"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4AED2651"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1,668.5</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06E3DED3"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6EE7FF9E"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44F5C93C" w14:textId="77777777" w:rsidTr="00027FBF">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05471901"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396F044"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08C1D5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27.0%</w:t>
            </w:r>
          </w:p>
        </w:tc>
        <w:tc>
          <w:tcPr>
            <w:tcW w:w="940" w:type="dxa"/>
            <w:tcBorders>
              <w:top w:val="nil"/>
              <w:left w:val="nil"/>
              <w:bottom w:val="single" w:sz="8" w:space="0" w:color="2F75B5"/>
              <w:right w:val="single" w:sz="8" w:space="0" w:color="2F75B5"/>
            </w:tcBorders>
            <w:shd w:val="clear" w:color="auto" w:fill="auto"/>
            <w:noWrap/>
            <w:vAlign w:val="center"/>
            <w:hideMark/>
          </w:tcPr>
          <w:p w14:paraId="3A4DAA9B"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096D1A7"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13BEB0F5"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2435ED46"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43DC4E2D"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75AFF39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1,479.9</w:t>
            </w:r>
          </w:p>
        </w:tc>
        <w:tc>
          <w:tcPr>
            <w:tcW w:w="940" w:type="dxa"/>
            <w:tcBorders>
              <w:top w:val="nil"/>
              <w:left w:val="nil"/>
              <w:bottom w:val="single" w:sz="8" w:space="0" w:color="2F75B5"/>
              <w:right w:val="single" w:sz="8" w:space="0" w:color="2F75B5"/>
            </w:tcBorders>
            <w:shd w:val="clear" w:color="auto" w:fill="auto"/>
            <w:noWrap/>
            <w:vAlign w:val="center"/>
            <w:hideMark/>
          </w:tcPr>
          <w:p w14:paraId="7A206FC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1,568.3</w:t>
            </w:r>
          </w:p>
        </w:tc>
        <w:tc>
          <w:tcPr>
            <w:tcW w:w="940" w:type="dxa"/>
            <w:tcBorders>
              <w:top w:val="nil"/>
              <w:left w:val="nil"/>
              <w:bottom w:val="single" w:sz="8" w:space="0" w:color="2F75B5"/>
              <w:right w:val="single" w:sz="8" w:space="0" w:color="2F75B5"/>
            </w:tcBorders>
            <w:shd w:val="clear" w:color="auto" w:fill="auto"/>
            <w:noWrap/>
            <w:vAlign w:val="center"/>
            <w:hideMark/>
          </w:tcPr>
          <w:p w14:paraId="496DC8D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1,680.0</w:t>
            </w:r>
          </w:p>
        </w:tc>
      </w:tr>
      <w:tr w:rsidR="00027FBF" w:rsidRPr="00A83C94" w14:paraId="5187BE58"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5975A1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A689300"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48DC54FF"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21.2%</w:t>
            </w:r>
          </w:p>
        </w:tc>
        <w:tc>
          <w:tcPr>
            <w:tcW w:w="940" w:type="dxa"/>
            <w:tcBorders>
              <w:top w:val="nil"/>
              <w:left w:val="nil"/>
              <w:bottom w:val="single" w:sz="8" w:space="0" w:color="2F75B5"/>
              <w:right w:val="single" w:sz="8" w:space="0" w:color="2F75B5"/>
            </w:tcBorders>
            <w:shd w:val="clear" w:color="auto" w:fill="auto"/>
            <w:noWrap/>
            <w:vAlign w:val="center"/>
            <w:hideMark/>
          </w:tcPr>
          <w:p w14:paraId="47B586FD"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20.6%</w:t>
            </w:r>
          </w:p>
        </w:tc>
        <w:tc>
          <w:tcPr>
            <w:tcW w:w="940" w:type="dxa"/>
            <w:tcBorders>
              <w:top w:val="nil"/>
              <w:left w:val="nil"/>
              <w:bottom w:val="single" w:sz="8" w:space="0" w:color="2F75B5"/>
              <w:right w:val="single" w:sz="8" w:space="0" w:color="2F75B5"/>
            </w:tcBorders>
            <w:shd w:val="clear" w:color="auto" w:fill="auto"/>
            <w:noWrap/>
            <w:vAlign w:val="center"/>
            <w:hideMark/>
          </w:tcPr>
          <w:p w14:paraId="1A087546"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20.2%</w:t>
            </w:r>
          </w:p>
        </w:tc>
      </w:tr>
      <w:tr w:rsidR="00027FBF" w:rsidRPr="00A83C94" w14:paraId="7F9C818A"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F9E0D7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D782DE1"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1684F6C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1,568.0</w:t>
            </w:r>
          </w:p>
        </w:tc>
        <w:tc>
          <w:tcPr>
            <w:tcW w:w="940" w:type="dxa"/>
            <w:tcBorders>
              <w:top w:val="nil"/>
              <w:left w:val="nil"/>
              <w:bottom w:val="single" w:sz="8" w:space="0" w:color="2F75B5"/>
              <w:right w:val="single" w:sz="8" w:space="0" w:color="2F75B5"/>
            </w:tcBorders>
            <w:shd w:val="clear" w:color="auto" w:fill="auto"/>
            <w:noWrap/>
            <w:vAlign w:val="center"/>
            <w:hideMark/>
          </w:tcPr>
          <w:p w14:paraId="05FC8C5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4A16B41"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4E6A72F4"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2227EA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706269EB"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A86499F"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22.1%</w:t>
            </w:r>
          </w:p>
        </w:tc>
        <w:tc>
          <w:tcPr>
            <w:tcW w:w="940" w:type="dxa"/>
            <w:tcBorders>
              <w:top w:val="nil"/>
              <w:left w:val="nil"/>
              <w:bottom w:val="single" w:sz="8" w:space="0" w:color="2F75B5"/>
              <w:right w:val="single" w:sz="8" w:space="0" w:color="2F75B5"/>
            </w:tcBorders>
            <w:shd w:val="clear" w:color="auto" w:fill="auto"/>
            <w:noWrap/>
            <w:vAlign w:val="center"/>
            <w:hideMark/>
          </w:tcPr>
          <w:p w14:paraId="5CC305F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0C7DCB2"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7CC287C4"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64C8CFC2"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06D72C82"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07D3215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1,628.0</w:t>
            </w: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9B2BD3A"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1,629.0</w:t>
            </w:r>
          </w:p>
        </w:tc>
        <w:tc>
          <w:tcPr>
            <w:tcW w:w="940" w:type="dxa"/>
            <w:tcBorders>
              <w:top w:val="nil"/>
              <w:left w:val="nil"/>
              <w:bottom w:val="single" w:sz="8" w:space="0" w:color="2F75B5"/>
              <w:right w:val="single" w:sz="8" w:space="0" w:color="2F75B5"/>
            </w:tcBorders>
            <w:shd w:val="clear" w:color="auto" w:fill="auto"/>
            <w:noWrap/>
            <w:vAlign w:val="center"/>
            <w:hideMark/>
          </w:tcPr>
          <w:p w14:paraId="691243DE"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1,699.9</w:t>
            </w:r>
          </w:p>
        </w:tc>
      </w:tr>
      <w:tr w:rsidR="00027FBF" w:rsidRPr="00A83C94" w14:paraId="5D3FE5E0"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DDF6E87"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FA0027E"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88C604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25.0%</w:t>
            </w:r>
            <w:r w:rsidRPr="00A83C94">
              <w:rPr>
                <w:rFonts w:ascii="Calibri" w:hAnsi="Calibri" w:cs="Calibri"/>
                <w:b w:val="0"/>
                <w:i/>
                <w:iCs/>
                <w:color w:val="000000"/>
                <w:sz w:val="18"/>
                <w:szCs w:val="18"/>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C559E9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22.8%</w:t>
            </w:r>
          </w:p>
        </w:tc>
        <w:tc>
          <w:tcPr>
            <w:tcW w:w="940" w:type="dxa"/>
            <w:tcBorders>
              <w:top w:val="nil"/>
              <w:left w:val="nil"/>
              <w:bottom w:val="single" w:sz="8" w:space="0" w:color="2F75B5"/>
              <w:right w:val="single" w:sz="8" w:space="0" w:color="2F75B5"/>
            </w:tcBorders>
            <w:shd w:val="clear" w:color="auto" w:fill="auto"/>
            <w:noWrap/>
            <w:vAlign w:val="center"/>
            <w:hideMark/>
          </w:tcPr>
          <w:p w14:paraId="4BB0EB4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21.6%</w:t>
            </w:r>
          </w:p>
        </w:tc>
      </w:tr>
      <w:tr w:rsidR="00027FBF" w:rsidRPr="00A83C94" w14:paraId="10A1A70D"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762BAB5"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1A1A705"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519128A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1,622.7</w:t>
            </w:r>
          </w:p>
        </w:tc>
        <w:tc>
          <w:tcPr>
            <w:tcW w:w="940" w:type="dxa"/>
            <w:tcBorders>
              <w:top w:val="nil"/>
              <w:left w:val="nil"/>
              <w:bottom w:val="single" w:sz="8" w:space="0" w:color="2F75B5"/>
              <w:right w:val="single" w:sz="8" w:space="0" w:color="2F75B5"/>
            </w:tcBorders>
            <w:shd w:val="clear" w:color="auto" w:fill="auto"/>
            <w:noWrap/>
            <w:vAlign w:val="center"/>
            <w:hideMark/>
          </w:tcPr>
          <w:p w14:paraId="48D0A31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1,634.6</w:t>
            </w:r>
          </w:p>
        </w:tc>
        <w:tc>
          <w:tcPr>
            <w:tcW w:w="940" w:type="dxa"/>
            <w:tcBorders>
              <w:top w:val="nil"/>
              <w:left w:val="nil"/>
              <w:bottom w:val="single" w:sz="8" w:space="0" w:color="2F75B5"/>
              <w:right w:val="single" w:sz="8" w:space="0" w:color="2F75B5"/>
            </w:tcBorders>
            <w:shd w:val="clear" w:color="auto" w:fill="auto"/>
            <w:noWrap/>
            <w:vAlign w:val="center"/>
            <w:hideMark/>
          </w:tcPr>
          <w:p w14:paraId="070CC9A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027FBF" w:rsidRPr="00A83C94" w14:paraId="38EBE0FB"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4924FDA"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C0E258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5C282E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26.7%</w:t>
            </w:r>
          </w:p>
        </w:tc>
        <w:tc>
          <w:tcPr>
            <w:tcW w:w="940" w:type="dxa"/>
            <w:tcBorders>
              <w:top w:val="nil"/>
              <w:left w:val="nil"/>
              <w:bottom w:val="single" w:sz="8" w:space="0" w:color="2F75B5"/>
              <w:right w:val="single" w:sz="8" w:space="0" w:color="2F75B5"/>
            </w:tcBorders>
            <w:shd w:val="clear" w:color="auto" w:fill="auto"/>
            <w:noWrap/>
            <w:vAlign w:val="center"/>
            <w:hideMark/>
          </w:tcPr>
          <w:p w14:paraId="722405F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25.6%</w:t>
            </w:r>
          </w:p>
        </w:tc>
        <w:tc>
          <w:tcPr>
            <w:tcW w:w="940" w:type="dxa"/>
            <w:tcBorders>
              <w:top w:val="nil"/>
              <w:left w:val="nil"/>
              <w:bottom w:val="single" w:sz="8" w:space="0" w:color="2F75B5"/>
              <w:right w:val="single" w:sz="8" w:space="0" w:color="2F75B5"/>
            </w:tcBorders>
            <w:shd w:val="clear" w:color="auto" w:fill="auto"/>
            <w:noWrap/>
            <w:vAlign w:val="center"/>
            <w:hideMark/>
          </w:tcPr>
          <w:p w14:paraId="6B04F9B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027FBF" w:rsidRPr="00A83C94" w14:paraId="71375DF6"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4C22C364"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6CAEB4BC"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05586F3C"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CB009A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1,738.9</w:t>
            </w:r>
          </w:p>
        </w:tc>
        <w:tc>
          <w:tcPr>
            <w:tcW w:w="940" w:type="dxa"/>
            <w:tcBorders>
              <w:top w:val="nil"/>
              <w:left w:val="nil"/>
              <w:bottom w:val="single" w:sz="8" w:space="0" w:color="2F75B5"/>
              <w:right w:val="single" w:sz="8" w:space="0" w:color="2F75B5"/>
            </w:tcBorders>
            <w:shd w:val="clear" w:color="auto" w:fill="auto"/>
            <w:noWrap/>
            <w:vAlign w:val="center"/>
            <w:hideMark/>
          </w:tcPr>
          <w:p w14:paraId="786FB9C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1,708.3</w:t>
            </w:r>
          </w:p>
        </w:tc>
      </w:tr>
      <w:tr w:rsidR="00027FBF" w:rsidRPr="00A83C94" w14:paraId="2F22905F"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41C8FA3"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6BF685D"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8136CE8"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C45F82B"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25.3%</w:t>
            </w:r>
          </w:p>
        </w:tc>
        <w:tc>
          <w:tcPr>
            <w:tcW w:w="940" w:type="dxa"/>
            <w:tcBorders>
              <w:top w:val="nil"/>
              <w:left w:val="nil"/>
              <w:bottom w:val="single" w:sz="8" w:space="0" w:color="2F75B5"/>
              <w:right w:val="single" w:sz="8" w:space="0" w:color="2F75B5"/>
            </w:tcBorders>
            <w:shd w:val="clear" w:color="auto" w:fill="auto"/>
            <w:noWrap/>
            <w:vAlign w:val="center"/>
            <w:hideMark/>
          </w:tcPr>
          <w:p w14:paraId="434E551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22.6%</w:t>
            </w:r>
          </w:p>
        </w:tc>
      </w:tr>
      <w:tr w:rsidR="00027FBF" w:rsidRPr="00A83C94" w14:paraId="539478BE"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C095783"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D6F35F9"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5E76752F"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17A834A"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1,762.2</w:t>
            </w:r>
          </w:p>
        </w:tc>
        <w:tc>
          <w:tcPr>
            <w:tcW w:w="940" w:type="dxa"/>
            <w:tcBorders>
              <w:top w:val="nil"/>
              <w:left w:val="nil"/>
              <w:bottom w:val="single" w:sz="8" w:space="0" w:color="2F75B5"/>
              <w:right w:val="single" w:sz="8" w:space="0" w:color="2F75B5"/>
            </w:tcBorders>
            <w:shd w:val="clear" w:color="auto" w:fill="auto"/>
            <w:noWrap/>
            <w:vAlign w:val="center"/>
            <w:hideMark/>
          </w:tcPr>
          <w:p w14:paraId="540B60FC" w14:textId="77777777" w:rsidR="00027FBF" w:rsidRPr="001538BF" w:rsidRDefault="00027FBF" w:rsidP="00027FBF">
            <w:pPr>
              <w:spacing w:before="0" w:line="240" w:lineRule="auto"/>
              <w:ind w:firstLine="0"/>
              <w:contextualSpacing w:val="0"/>
              <w:jc w:val="right"/>
              <w:rPr>
                <w:rFonts w:cs="Calibri"/>
                <w:b w:val="0"/>
                <w:color w:val="000000"/>
                <w:sz w:val="20"/>
                <w:szCs w:val="20"/>
                <w:lang w:val="hy-AM" w:eastAsia="en-US"/>
              </w:rPr>
            </w:pPr>
            <w:r w:rsidRPr="00387D6C">
              <w:rPr>
                <w:rFonts w:cs="Calibri"/>
                <w:b w:val="0"/>
                <w:color w:val="000000"/>
                <w:sz w:val="20"/>
                <w:szCs w:val="20"/>
                <w:lang w:val="en-US" w:eastAsia="en-US"/>
              </w:rPr>
              <w:t>1,84</w:t>
            </w:r>
            <w:r>
              <w:rPr>
                <w:rFonts w:cs="Calibri"/>
                <w:b w:val="0"/>
                <w:color w:val="000000"/>
                <w:sz w:val="20"/>
                <w:szCs w:val="20"/>
                <w:lang w:val="hy-AM" w:eastAsia="en-US"/>
              </w:rPr>
              <w:t>2</w:t>
            </w:r>
            <w:r w:rsidRPr="00387D6C">
              <w:rPr>
                <w:rFonts w:cs="Calibri"/>
                <w:b w:val="0"/>
                <w:color w:val="000000"/>
                <w:sz w:val="20"/>
                <w:szCs w:val="20"/>
                <w:lang w:val="en-US" w:eastAsia="en-US"/>
              </w:rPr>
              <w:t>.</w:t>
            </w:r>
            <w:r>
              <w:rPr>
                <w:rFonts w:cs="Calibri"/>
                <w:b w:val="0"/>
                <w:color w:val="000000"/>
                <w:sz w:val="20"/>
                <w:szCs w:val="20"/>
                <w:lang w:val="hy-AM" w:eastAsia="en-US"/>
              </w:rPr>
              <w:t>2</w:t>
            </w:r>
          </w:p>
        </w:tc>
      </w:tr>
      <w:tr w:rsidR="00027FBF" w:rsidRPr="00A83C94" w14:paraId="382B2675"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1E8E41F"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E843D9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23BE33D"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E895EAC"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25.1%</w:t>
            </w:r>
          </w:p>
        </w:tc>
        <w:tc>
          <w:tcPr>
            <w:tcW w:w="940" w:type="dxa"/>
            <w:tcBorders>
              <w:top w:val="nil"/>
              <w:left w:val="nil"/>
              <w:bottom w:val="single" w:sz="8" w:space="0" w:color="2F75B5"/>
              <w:right w:val="single" w:sz="8" w:space="0" w:color="2F75B5"/>
            </w:tcBorders>
            <w:shd w:val="clear" w:color="auto" w:fill="auto"/>
            <w:noWrap/>
            <w:vAlign w:val="center"/>
            <w:hideMark/>
          </w:tcPr>
          <w:p w14:paraId="1701B93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23.4%</w:t>
            </w:r>
          </w:p>
        </w:tc>
      </w:tr>
    </w:tbl>
    <w:p w14:paraId="6A6F282C"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p>
    <w:p w14:paraId="45651FBD"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537F63E2"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5927C737"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66127B52"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6E11D9AB"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3DD87001"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334DAC02"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45CC93CE"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lastRenderedPageBreak/>
        <w:t>Աղյուսակ 2.5.5.</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ոչ ֆինանսական ակտիվների գծով զուտ ծախսերի կանխատեսումների համեմատական աղյուսակը (մլրդ դրամ)</w:t>
      </w:r>
    </w:p>
    <w:p w14:paraId="544F1FD3"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p>
    <w:tbl>
      <w:tblPr>
        <w:tblW w:w="7400" w:type="dxa"/>
        <w:tblInd w:w="1160" w:type="dxa"/>
        <w:tblLook w:val="04A0" w:firstRow="1" w:lastRow="0" w:firstColumn="1" w:lastColumn="0" w:noHBand="0" w:noVBand="1"/>
      </w:tblPr>
      <w:tblGrid>
        <w:gridCol w:w="1360"/>
        <w:gridCol w:w="3220"/>
        <w:gridCol w:w="940"/>
        <w:gridCol w:w="940"/>
        <w:gridCol w:w="940"/>
      </w:tblGrid>
      <w:tr w:rsidR="00027FBF" w:rsidRPr="00A83C94" w14:paraId="7BA080A6" w14:textId="77777777" w:rsidTr="00027FBF">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7A84C142"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51F6F87D"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0AA7A277"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5C10548B"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798843DD"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027FBF" w:rsidRPr="00A83C94" w14:paraId="6D99BFD5" w14:textId="77777777" w:rsidTr="00027FBF">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57745AD0"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25CCB6CE"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398DBD20"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226.2</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0D9D489F"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65F7C6FD"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09830FA5" w14:textId="77777777" w:rsidTr="00027FBF">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3E614C1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5B1A03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A5C5A3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3.7%</w:t>
            </w:r>
          </w:p>
        </w:tc>
        <w:tc>
          <w:tcPr>
            <w:tcW w:w="940" w:type="dxa"/>
            <w:tcBorders>
              <w:top w:val="nil"/>
              <w:left w:val="nil"/>
              <w:bottom w:val="single" w:sz="8" w:space="0" w:color="2F75B5"/>
              <w:right w:val="single" w:sz="8" w:space="0" w:color="2F75B5"/>
            </w:tcBorders>
            <w:shd w:val="clear" w:color="auto" w:fill="auto"/>
            <w:noWrap/>
            <w:vAlign w:val="center"/>
            <w:hideMark/>
          </w:tcPr>
          <w:p w14:paraId="43FDA99A"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756046A5"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383DFB3E"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03FBEF68"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731C20AD"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191E7A05"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388.3</w:t>
            </w:r>
          </w:p>
        </w:tc>
        <w:tc>
          <w:tcPr>
            <w:tcW w:w="940" w:type="dxa"/>
            <w:tcBorders>
              <w:top w:val="nil"/>
              <w:left w:val="nil"/>
              <w:bottom w:val="single" w:sz="8" w:space="0" w:color="2F75B5"/>
              <w:right w:val="single" w:sz="8" w:space="0" w:color="2F75B5"/>
            </w:tcBorders>
            <w:shd w:val="clear" w:color="auto" w:fill="auto"/>
            <w:noWrap/>
            <w:vAlign w:val="center"/>
            <w:hideMark/>
          </w:tcPr>
          <w:p w14:paraId="413BDE5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459.4</w:t>
            </w:r>
          </w:p>
        </w:tc>
        <w:tc>
          <w:tcPr>
            <w:tcW w:w="940" w:type="dxa"/>
            <w:tcBorders>
              <w:top w:val="nil"/>
              <w:left w:val="nil"/>
              <w:bottom w:val="single" w:sz="8" w:space="0" w:color="2F75B5"/>
              <w:right w:val="single" w:sz="8" w:space="0" w:color="2F75B5"/>
            </w:tcBorders>
            <w:shd w:val="clear" w:color="auto" w:fill="auto"/>
            <w:noWrap/>
            <w:vAlign w:val="center"/>
            <w:hideMark/>
          </w:tcPr>
          <w:p w14:paraId="30CCB4B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555.5</w:t>
            </w:r>
          </w:p>
        </w:tc>
      </w:tr>
      <w:tr w:rsidR="00027FBF" w:rsidRPr="00A83C94" w14:paraId="585FF137"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CDC51CA"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B3A8B2C"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FF9FA3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5.6%</w:t>
            </w:r>
          </w:p>
        </w:tc>
        <w:tc>
          <w:tcPr>
            <w:tcW w:w="940" w:type="dxa"/>
            <w:tcBorders>
              <w:top w:val="nil"/>
              <w:left w:val="nil"/>
              <w:bottom w:val="single" w:sz="8" w:space="0" w:color="2F75B5"/>
              <w:right w:val="single" w:sz="8" w:space="0" w:color="2F75B5"/>
            </w:tcBorders>
            <w:shd w:val="clear" w:color="auto" w:fill="auto"/>
            <w:noWrap/>
            <w:vAlign w:val="center"/>
            <w:hideMark/>
          </w:tcPr>
          <w:p w14:paraId="73FFF028"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6.0%</w:t>
            </w:r>
          </w:p>
        </w:tc>
        <w:tc>
          <w:tcPr>
            <w:tcW w:w="940" w:type="dxa"/>
            <w:tcBorders>
              <w:top w:val="nil"/>
              <w:left w:val="nil"/>
              <w:bottom w:val="single" w:sz="8" w:space="0" w:color="2F75B5"/>
              <w:right w:val="single" w:sz="8" w:space="0" w:color="2F75B5"/>
            </w:tcBorders>
            <w:shd w:val="clear" w:color="auto" w:fill="auto"/>
            <w:noWrap/>
            <w:vAlign w:val="center"/>
            <w:hideMark/>
          </w:tcPr>
          <w:p w14:paraId="3CAD1DE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6.7%</w:t>
            </w:r>
          </w:p>
        </w:tc>
      </w:tr>
      <w:tr w:rsidR="00027FBF" w:rsidRPr="00A83C94" w14:paraId="403FDBA4"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3B5B8D3"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D805B6F"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604070A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287.7</w:t>
            </w:r>
          </w:p>
        </w:tc>
        <w:tc>
          <w:tcPr>
            <w:tcW w:w="940" w:type="dxa"/>
            <w:tcBorders>
              <w:top w:val="nil"/>
              <w:left w:val="nil"/>
              <w:bottom w:val="single" w:sz="8" w:space="0" w:color="2F75B5"/>
              <w:right w:val="single" w:sz="8" w:space="0" w:color="2F75B5"/>
            </w:tcBorders>
            <w:shd w:val="clear" w:color="auto" w:fill="auto"/>
            <w:noWrap/>
            <w:vAlign w:val="center"/>
            <w:hideMark/>
          </w:tcPr>
          <w:p w14:paraId="232E09B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837658E"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2212F030"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CDA015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2731E03"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55308AC"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4.1%</w:t>
            </w:r>
          </w:p>
        </w:tc>
        <w:tc>
          <w:tcPr>
            <w:tcW w:w="940" w:type="dxa"/>
            <w:tcBorders>
              <w:top w:val="nil"/>
              <w:left w:val="nil"/>
              <w:bottom w:val="single" w:sz="8" w:space="0" w:color="2F75B5"/>
              <w:right w:val="single" w:sz="8" w:space="0" w:color="2F75B5"/>
            </w:tcBorders>
            <w:shd w:val="clear" w:color="auto" w:fill="auto"/>
            <w:noWrap/>
            <w:vAlign w:val="center"/>
            <w:hideMark/>
          </w:tcPr>
          <w:p w14:paraId="2D806F1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3320C69"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62436625"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4B952552"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33C5AA5C"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412550A8"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222.2</w:t>
            </w:r>
          </w:p>
        </w:tc>
        <w:tc>
          <w:tcPr>
            <w:tcW w:w="940" w:type="dxa"/>
            <w:tcBorders>
              <w:top w:val="nil"/>
              <w:left w:val="nil"/>
              <w:bottom w:val="single" w:sz="8" w:space="0" w:color="2F75B5"/>
              <w:right w:val="single" w:sz="8" w:space="0" w:color="2F75B5"/>
            </w:tcBorders>
            <w:shd w:val="clear" w:color="auto" w:fill="auto"/>
            <w:noWrap/>
            <w:vAlign w:val="center"/>
            <w:hideMark/>
          </w:tcPr>
          <w:p w14:paraId="4F94109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250.0</w:t>
            </w:r>
          </w:p>
        </w:tc>
        <w:tc>
          <w:tcPr>
            <w:tcW w:w="940" w:type="dxa"/>
            <w:tcBorders>
              <w:top w:val="nil"/>
              <w:left w:val="nil"/>
              <w:bottom w:val="single" w:sz="8" w:space="0" w:color="2F75B5"/>
              <w:right w:val="single" w:sz="8" w:space="0" w:color="2F75B5"/>
            </w:tcBorders>
            <w:shd w:val="clear" w:color="auto" w:fill="auto"/>
            <w:noWrap/>
            <w:vAlign w:val="center"/>
            <w:hideMark/>
          </w:tcPr>
          <w:p w14:paraId="7E4CC58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326.2</w:t>
            </w:r>
          </w:p>
        </w:tc>
      </w:tr>
      <w:tr w:rsidR="00027FBF" w:rsidRPr="00A83C94" w14:paraId="2BEB2AA3"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EB294FF"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40AE8A2"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18B5B3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3.4%</w:t>
            </w:r>
          </w:p>
        </w:tc>
        <w:tc>
          <w:tcPr>
            <w:tcW w:w="940" w:type="dxa"/>
            <w:tcBorders>
              <w:top w:val="nil"/>
              <w:left w:val="nil"/>
              <w:bottom w:val="single" w:sz="8" w:space="0" w:color="2F75B5"/>
              <w:right w:val="single" w:sz="8" w:space="0" w:color="2F75B5"/>
            </w:tcBorders>
            <w:shd w:val="clear" w:color="auto" w:fill="auto"/>
            <w:noWrap/>
            <w:vAlign w:val="center"/>
            <w:hideMark/>
          </w:tcPr>
          <w:p w14:paraId="7A36B74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3.5%</w:t>
            </w:r>
          </w:p>
        </w:tc>
        <w:tc>
          <w:tcPr>
            <w:tcW w:w="940" w:type="dxa"/>
            <w:tcBorders>
              <w:top w:val="nil"/>
              <w:left w:val="nil"/>
              <w:bottom w:val="single" w:sz="8" w:space="0" w:color="2F75B5"/>
              <w:right w:val="single" w:sz="8" w:space="0" w:color="2F75B5"/>
            </w:tcBorders>
            <w:shd w:val="clear" w:color="auto" w:fill="auto"/>
            <w:noWrap/>
            <w:vAlign w:val="center"/>
            <w:hideMark/>
          </w:tcPr>
          <w:p w14:paraId="2020F888"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4.2%</w:t>
            </w:r>
          </w:p>
        </w:tc>
      </w:tr>
      <w:tr w:rsidR="00027FBF" w:rsidRPr="00A83C94" w14:paraId="78D03FC6"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7CF6FA6"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BFB3B99"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202A460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284.7</w:t>
            </w:r>
          </w:p>
        </w:tc>
        <w:tc>
          <w:tcPr>
            <w:tcW w:w="940" w:type="dxa"/>
            <w:tcBorders>
              <w:top w:val="nil"/>
              <w:left w:val="nil"/>
              <w:bottom w:val="single" w:sz="8" w:space="0" w:color="2F75B5"/>
              <w:right w:val="single" w:sz="8" w:space="0" w:color="2F75B5"/>
            </w:tcBorders>
            <w:shd w:val="clear" w:color="auto" w:fill="auto"/>
            <w:noWrap/>
            <w:vAlign w:val="center"/>
            <w:hideMark/>
          </w:tcPr>
          <w:p w14:paraId="10CC8416"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216.3</w:t>
            </w:r>
          </w:p>
        </w:tc>
        <w:tc>
          <w:tcPr>
            <w:tcW w:w="940" w:type="dxa"/>
            <w:tcBorders>
              <w:top w:val="nil"/>
              <w:left w:val="nil"/>
              <w:bottom w:val="single" w:sz="8" w:space="0" w:color="2F75B5"/>
              <w:right w:val="single" w:sz="8" w:space="0" w:color="2F75B5"/>
            </w:tcBorders>
            <w:shd w:val="clear" w:color="auto" w:fill="auto"/>
            <w:noWrap/>
            <w:vAlign w:val="center"/>
            <w:hideMark/>
          </w:tcPr>
          <w:p w14:paraId="10F3ECC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027FBF" w:rsidRPr="00A83C94" w14:paraId="61A21017"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82B7DD2"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786DAE5"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B887BD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4.7%</w:t>
            </w:r>
          </w:p>
        </w:tc>
        <w:tc>
          <w:tcPr>
            <w:tcW w:w="940" w:type="dxa"/>
            <w:tcBorders>
              <w:top w:val="nil"/>
              <w:left w:val="nil"/>
              <w:bottom w:val="single" w:sz="8" w:space="0" w:color="2F75B5"/>
              <w:right w:val="single" w:sz="8" w:space="0" w:color="2F75B5"/>
            </w:tcBorders>
            <w:shd w:val="clear" w:color="auto" w:fill="auto"/>
            <w:noWrap/>
            <w:vAlign w:val="center"/>
            <w:hideMark/>
          </w:tcPr>
          <w:p w14:paraId="7E03386C"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3.4%</w:t>
            </w:r>
          </w:p>
        </w:tc>
        <w:tc>
          <w:tcPr>
            <w:tcW w:w="940" w:type="dxa"/>
            <w:tcBorders>
              <w:top w:val="nil"/>
              <w:left w:val="nil"/>
              <w:bottom w:val="single" w:sz="8" w:space="0" w:color="2F75B5"/>
              <w:right w:val="single" w:sz="8" w:space="0" w:color="2F75B5"/>
            </w:tcBorders>
            <w:shd w:val="clear" w:color="auto" w:fill="auto"/>
            <w:noWrap/>
            <w:vAlign w:val="center"/>
            <w:hideMark/>
          </w:tcPr>
          <w:p w14:paraId="5C98813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027FBF" w:rsidRPr="00A83C94" w14:paraId="5629C8FA"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21503EE3"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1E895FF6"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17331D83"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EFFE676"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197.2</w:t>
            </w:r>
          </w:p>
        </w:tc>
        <w:tc>
          <w:tcPr>
            <w:tcW w:w="940" w:type="dxa"/>
            <w:tcBorders>
              <w:top w:val="nil"/>
              <w:left w:val="nil"/>
              <w:bottom w:val="single" w:sz="8" w:space="0" w:color="2F75B5"/>
              <w:right w:val="single" w:sz="8" w:space="0" w:color="2F75B5"/>
            </w:tcBorders>
            <w:shd w:val="clear" w:color="auto" w:fill="auto"/>
            <w:noWrap/>
            <w:vAlign w:val="center"/>
            <w:hideMark/>
          </w:tcPr>
          <w:p w14:paraId="5A38F55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292.6</w:t>
            </w:r>
          </w:p>
        </w:tc>
      </w:tr>
      <w:tr w:rsidR="00027FBF" w:rsidRPr="00A83C94" w14:paraId="3BE14E79"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C0FF0A5"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A8FAAE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49C4C43"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B26993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2.9%</w:t>
            </w:r>
          </w:p>
        </w:tc>
        <w:tc>
          <w:tcPr>
            <w:tcW w:w="940" w:type="dxa"/>
            <w:tcBorders>
              <w:top w:val="nil"/>
              <w:left w:val="nil"/>
              <w:bottom w:val="single" w:sz="8" w:space="0" w:color="2F75B5"/>
              <w:right w:val="single" w:sz="8" w:space="0" w:color="2F75B5"/>
            </w:tcBorders>
            <w:shd w:val="clear" w:color="auto" w:fill="auto"/>
            <w:noWrap/>
            <w:vAlign w:val="center"/>
            <w:hideMark/>
          </w:tcPr>
          <w:p w14:paraId="72D04B2F"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3.9%</w:t>
            </w:r>
          </w:p>
        </w:tc>
      </w:tr>
      <w:tr w:rsidR="00027FBF" w:rsidRPr="00A83C94" w14:paraId="710044BC"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D8C504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AF1535F"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37181C3C"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2FFF088"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223.8</w:t>
            </w:r>
          </w:p>
        </w:tc>
        <w:tc>
          <w:tcPr>
            <w:tcW w:w="940" w:type="dxa"/>
            <w:tcBorders>
              <w:top w:val="nil"/>
              <w:left w:val="nil"/>
              <w:bottom w:val="single" w:sz="8" w:space="0" w:color="2F75B5"/>
              <w:right w:val="single" w:sz="8" w:space="0" w:color="2F75B5"/>
            </w:tcBorders>
            <w:shd w:val="clear" w:color="auto" w:fill="auto"/>
            <w:noWrap/>
            <w:vAlign w:val="center"/>
            <w:hideMark/>
          </w:tcPr>
          <w:p w14:paraId="1FBB56DE" w14:textId="77777777" w:rsidR="00027FBF" w:rsidRPr="00A83C94" w:rsidRDefault="00027FBF" w:rsidP="00027FBF">
            <w:pPr>
              <w:spacing w:before="0" w:line="240" w:lineRule="auto"/>
              <w:ind w:firstLine="0"/>
              <w:contextualSpacing w:val="0"/>
              <w:jc w:val="right"/>
              <w:rPr>
                <w:rFonts w:cs="Calibri"/>
                <w:b w:val="0"/>
                <w:color w:val="000000"/>
                <w:sz w:val="20"/>
                <w:szCs w:val="20"/>
                <w:lang w:val="hy-AM" w:eastAsia="en-US"/>
              </w:rPr>
            </w:pPr>
            <w:r w:rsidRPr="00387D6C">
              <w:rPr>
                <w:rFonts w:cs="Calibri"/>
                <w:b w:val="0"/>
                <w:color w:val="000000"/>
                <w:sz w:val="20"/>
                <w:szCs w:val="20"/>
                <w:lang w:val="hy-AM" w:eastAsia="en-US"/>
              </w:rPr>
              <w:t>34</w:t>
            </w:r>
            <w:r>
              <w:rPr>
                <w:rFonts w:cs="Calibri"/>
                <w:b w:val="0"/>
                <w:color w:val="000000"/>
                <w:sz w:val="20"/>
                <w:szCs w:val="20"/>
                <w:lang w:val="hy-AM" w:eastAsia="en-US"/>
              </w:rPr>
              <w:t>1</w:t>
            </w:r>
            <w:r w:rsidRPr="00387D6C">
              <w:rPr>
                <w:rFonts w:cs="Calibri"/>
                <w:b w:val="0"/>
                <w:color w:val="000000"/>
                <w:sz w:val="20"/>
                <w:szCs w:val="20"/>
                <w:lang w:val="hy-AM" w:eastAsia="en-US"/>
              </w:rPr>
              <w:t>.</w:t>
            </w:r>
            <w:r>
              <w:rPr>
                <w:rFonts w:cs="Calibri"/>
                <w:b w:val="0"/>
                <w:color w:val="000000"/>
                <w:sz w:val="20"/>
                <w:szCs w:val="20"/>
                <w:lang w:val="hy-AM" w:eastAsia="en-US"/>
              </w:rPr>
              <w:t>9</w:t>
            </w:r>
          </w:p>
        </w:tc>
      </w:tr>
      <w:tr w:rsidR="00027FBF" w:rsidRPr="00A83C94" w14:paraId="46E186DC"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259C214"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87754C1"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54FB41A2"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611D5AB"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3.2%</w:t>
            </w:r>
          </w:p>
        </w:tc>
        <w:tc>
          <w:tcPr>
            <w:tcW w:w="940" w:type="dxa"/>
            <w:tcBorders>
              <w:top w:val="nil"/>
              <w:left w:val="nil"/>
              <w:bottom w:val="single" w:sz="8" w:space="0" w:color="2F75B5"/>
              <w:right w:val="single" w:sz="8" w:space="0" w:color="2F75B5"/>
            </w:tcBorders>
            <w:shd w:val="clear" w:color="auto" w:fill="auto"/>
            <w:noWrap/>
            <w:vAlign w:val="center"/>
            <w:hideMark/>
          </w:tcPr>
          <w:p w14:paraId="353ED79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Pr>
                <w:rFonts w:cs="Calibri"/>
                <w:b w:val="0"/>
                <w:i/>
                <w:iCs/>
                <w:color w:val="000000"/>
                <w:sz w:val="20"/>
                <w:szCs w:val="20"/>
                <w:lang w:val="hy-AM" w:eastAsia="en-US"/>
              </w:rPr>
              <w:t>4.3</w:t>
            </w:r>
            <w:r w:rsidRPr="00A83C94">
              <w:rPr>
                <w:rFonts w:cs="Calibri"/>
                <w:b w:val="0"/>
                <w:i/>
                <w:iCs/>
                <w:color w:val="000000"/>
                <w:sz w:val="20"/>
                <w:szCs w:val="20"/>
                <w:lang w:val="en-US" w:eastAsia="en-US"/>
              </w:rPr>
              <w:t>%</w:t>
            </w:r>
          </w:p>
        </w:tc>
      </w:tr>
    </w:tbl>
    <w:p w14:paraId="54FF78F1"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p>
    <w:p w14:paraId="67CF9947"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2.5.6.</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պակասուրդի ֆինանսավորման կանխատեսումների համեմատական աղյուսակը (մլրդ դրամ)</w:t>
      </w:r>
    </w:p>
    <w:p w14:paraId="22382FEE" w14:textId="77777777" w:rsidR="00027FBF" w:rsidRPr="00A83C94" w:rsidRDefault="00027FBF" w:rsidP="00027FBF">
      <w:pPr>
        <w:rPr>
          <w:lang w:val="hy-AM"/>
        </w:rPr>
      </w:pPr>
    </w:p>
    <w:tbl>
      <w:tblPr>
        <w:tblW w:w="7400" w:type="dxa"/>
        <w:tblInd w:w="1160" w:type="dxa"/>
        <w:tblLook w:val="04A0" w:firstRow="1" w:lastRow="0" w:firstColumn="1" w:lastColumn="0" w:noHBand="0" w:noVBand="1"/>
      </w:tblPr>
      <w:tblGrid>
        <w:gridCol w:w="1360"/>
        <w:gridCol w:w="3220"/>
        <w:gridCol w:w="940"/>
        <w:gridCol w:w="940"/>
        <w:gridCol w:w="940"/>
      </w:tblGrid>
      <w:tr w:rsidR="00027FBF" w:rsidRPr="00A83C94" w14:paraId="554BF675" w14:textId="77777777" w:rsidTr="00027FBF">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60938FF5"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18068352"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4CE8A80C"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1483A43C"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19405D67"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027FBF" w:rsidRPr="00A83C94" w14:paraId="044DF764" w14:textId="77777777" w:rsidTr="00027FBF">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5E3ACFA0"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113C2743"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4BBAEBAA"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334.0</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5CEFA6AF"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70DA5DD0"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2CC5FA9B" w14:textId="77777777" w:rsidTr="00027FBF">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3E187080"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AA0A8AE"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073EE4F"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5.4%</w:t>
            </w:r>
          </w:p>
        </w:tc>
        <w:tc>
          <w:tcPr>
            <w:tcW w:w="940" w:type="dxa"/>
            <w:tcBorders>
              <w:top w:val="nil"/>
              <w:left w:val="nil"/>
              <w:bottom w:val="single" w:sz="8" w:space="0" w:color="2F75B5"/>
              <w:right w:val="single" w:sz="8" w:space="0" w:color="2F75B5"/>
            </w:tcBorders>
            <w:shd w:val="clear" w:color="auto" w:fill="auto"/>
            <w:noWrap/>
            <w:vAlign w:val="center"/>
            <w:hideMark/>
          </w:tcPr>
          <w:p w14:paraId="4A8A1109"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DBC52EC"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2B45D13D"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422BE21A"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288DD876"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64B5F89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157.6</w:t>
            </w:r>
          </w:p>
        </w:tc>
        <w:tc>
          <w:tcPr>
            <w:tcW w:w="940" w:type="dxa"/>
            <w:tcBorders>
              <w:top w:val="nil"/>
              <w:left w:val="nil"/>
              <w:bottom w:val="single" w:sz="8" w:space="0" w:color="2F75B5"/>
              <w:right w:val="single" w:sz="8" w:space="0" w:color="2F75B5"/>
            </w:tcBorders>
            <w:shd w:val="clear" w:color="auto" w:fill="auto"/>
            <w:noWrap/>
            <w:vAlign w:val="center"/>
            <w:hideMark/>
          </w:tcPr>
          <w:p w14:paraId="340F7F65"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169.0</w:t>
            </w:r>
          </w:p>
        </w:tc>
        <w:tc>
          <w:tcPr>
            <w:tcW w:w="940" w:type="dxa"/>
            <w:tcBorders>
              <w:top w:val="nil"/>
              <w:left w:val="nil"/>
              <w:bottom w:val="single" w:sz="8" w:space="0" w:color="2F75B5"/>
              <w:right w:val="single" w:sz="8" w:space="0" w:color="2F75B5"/>
            </w:tcBorders>
            <w:shd w:val="clear" w:color="auto" w:fill="auto"/>
            <w:noWrap/>
            <w:vAlign w:val="center"/>
            <w:hideMark/>
          </w:tcPr>
          <w:p w14:paraId="51970FC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184.4</w:t>
            </w:r>
          </w:p>
        </w:tc>
      </w:tr>
      <w:tr w:rsidR="00027FBF" w:rsidRPr="00A83C94" w14:paraId="2734E1CA"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078D99E"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7414EAD"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F74193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w:t>
            </w:r>
          </w:p>
        </w:tc>
        <w:tc>
          <w:tcPr>
            <w:tcW w:w="940" w:type="dxa"/>
            <w:tcBorders>
              <w:top w:val="nil"/>
              <w:left w:val="nil"/>
              <w:bottom w:val="single" w:sz="8" w:space="0" w:color="2F75B5"/>
              <w:right w:val="single" w:sz="8" w:space="0" w:color="2F75B5"/>
            </w:tcBorders>
            <w:shd w:val="clear" w:color="auto" w:fill="auto"/>
            <w:noWrap/>
            <w:vAlign w:val="center"/>
            <w:hideMark/>
          </w:tcPr>
          <w:p w14:paraId="73F9238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w:t>
            </w:r>
          </w:p>
        </w:tc>
        <w:tc>
          <w:tcPr>
            <w:tcW w:w="940" w:type="dxa"/>
            <w:tcBorders>
              <w:top w:val="nil"/>
              <w:left w:val="nil"/>
              <w:bottom w:val="single" w:sz="8" w:space="0" w:color="2F75B5"/>
              <w:right w:val="single" w:sz="8" w:space="0" w:color="2F75B5"/>
            </w:tcBorders>
            <w:shd w:val="clear" w:color="auto" w:fill="auto"/>
            <w:noWrap/>
            <w:vAlign w:val="center"/>
            <w:hideMark/>
          </w:tcPr>
          <w:p w14:paraId="37D5FC1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w:t>
            </w:r>
          </w:p>
        </w:tc>
      </w:tr>
      <w:tr w:rsidR="00027FBF" w:rsidRPr="00A83C94" w14:paraId="23FED8E7"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2C6B749"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C722824"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127A9E8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160.7</w:t>
            </w:r>
          </w:p>
        </w:tc>
        <w:tc>
          <w:tcPr>
            <w:tcW w:w="940" w:type="dxa"/>
            <w:tcBorders>
              <w:top w:val="nil"/>
              <w:left w:val="nil"/>
              <w:bottom w:val="single" w:sz="8" w:space="0" w:color="2F75B5"/>
              <w:right w:val="single" w:sz="8" w:space="0" w:color="2F75B5"/>
            </w:tcBorders>
            <w:shd w:val="clear" w:color="auto" w:fill="auto"/>
            <w:noWrap/>
            <w:vAlign w:val="center"/>
            <w:hideMark/>
          </w:tcPr>
          <w:p w14:paraId="05209CC1"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F2A4751"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682F759B"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2D3CDAB"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285D1FF"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2D5D1F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w:t>
            </w:r>
          </w:p>
        </w:tc>
        <w:tc>
          <w:tcPr>
            <w:tcW w:w="940" w:type="dxa"/>
            <w:tcBorders>
              <w:top w:val="nil"/>
              <w:left w:val="nil"/>
              <w:bottom w:val="single" w:sz="8" w:space="0" w:color="2F75B5"/>
              <w:right w:val="single" w:sz="8" w:space="0" w:color="2F75B5"/>
            </w:tcBorders>
            <w:shd w:val="clear" w:color="auto" w:fill="auto"/>
            <w:noWrap/>
            <w:vAlign w:val="center"/>
            <w:hideMark/>
          </w:tcPr>
          <w:p w14:paraId="4FE4052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79A5C97B"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14159D14"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7FBFBA4F"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795B6454"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4224DFA1"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361.5</w:t>
            </w: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BA3F9B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209.1</w:t>
            </w:r>
          </w:p>
        </w:tc>
        <w:tc>
          <w:tcPr>
            <w:tcW w:w="940" w:type="dxa"/>
            <w:tcBorders>
              <w:top w:val="nil"/>
              <w:left w:val="nil"/>
              <w:bottom w:val="single" w:sz="8" w:space="0" w:color="2F75B5"/>
              <w:right w:val="single" w:sz="8" w:space="0" w:color="2F75B5"/>
            </w:tcBorders>
            <w:shd w:val="clear" w:color="auto" w:fill="auto"/>
            <w:noWrap/>
            <w:vAlign w:val="center"/>
            <w:hideMark/>
          </w:tcPr>
          <w:p w14:paraId="7CB0576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140.2</w:t>
            </w:r>
          </w:p>
        </w:tc>
      </w:tr>
      <w:tr w:rsidR="00027FBF" w:rsidRPr="00A83C94" w14:paraId="231B22DD"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C37C496"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27D6A70"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40690A2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5.6%</w:t>
            </w:r>
            <w:r w:rsidRPr="00A83C94">
              <w:rPr>
                <w:rFonts w:ascii="Calibri" w:hAnsi="Calibri" w:cs="Calibri"/>
                <w:b w:val="0"/>
                <w:i/>
                <w:iCs/>
                <w:color w:val="000000"/>
                <w:sz w:val="18"/>
                <w:szCs w:val="18"/>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8B74E3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2.9%</w:t>
            </w:r>
          </w:p>
        </w:tc>
        <w:tc>
          <w:tcPr>
            <w:tcW w:w="940" w:type="dxa"/>
            <w:tcBorders>
              <w:top w:val="nil"/>
              <w:left w:val="nil"/>
              <w:bottom w:val="single" w:sz="8" w:space="0" w:color="2F75B5"/>
              <w:right w:val="single" w:sz="8" w:space="0" w:color="2F75B5"/>
            </w:tcBorders>
            <w:shd w:val="clear" w:color="auto" w:fill="auto"/>
            <w:noWrap/>
            <w:vAlign w:val="center"/>
            <w:hideMark/>
          </w:tcPr>
          <w:p w14:paraId="4B414C5B"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1.8%</w:t>
            </w:r>
          </w:p>
        </w:tc>
      </w:tr>
      <w:tr w:rsidR="00027FBF" w:rsidRPr="00A83C94" w14:paraId="46F92B40"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3155006"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3ABEAEB"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35601310"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429.7</w:t>
            </w:r>
          </w:p>
        </w:tc>
        <w:tc>
          <w:tcPr>
            <w:tcW w:w="940" w:type="dxa"/>
            <w:tcBorders>
              <w:top w:val="nil"/>
              <w:left w:val="nil"/>
              <w:bottom w:val="single" w:sz="8" w:space="0" w:color="2F75B5"/>
              <w:right w:val="single" w:sz="8" w:space="0" w:color="2F75B5"/>
            </w:tcBorders>
            <w:shd w:val="clear" w:color="auto" w:fill="auto"/>
            <w:noWrap/>
            <w:vAlign w:val="center"/>
            <w:hideMark/>
          </w:tcPr>
          <w:p w14:paraId="41C8108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341.4</w:t>
            </w:r>
          </w:p>
        </w:tc>
        <w:tc>
          <w:tcPr>
            <w:tcW w:w="940" w:type="dxa"/>
            <w:tcBorders>
              <w:top w:val="nil"/>
              <w:left w:val="nil"/>
              <w:bottom w:val="single" w:sz="8" w:space="0" w:color="2F75B5"/>
              <w:right w:val="single" w:sz="8" w:space="0" w:color="2F75B5"/>
            </w:tcBorders>
            <w:shd w:val="clear" w:color="auto" w:fill="auto"/>
            <w:noWrap/>
            <w:vAlign w:val="center"/>
            <w:hideMark/>
          </w:tcPr>
          <w:p w14:paraId="332FAC7E"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027FBF" w:rsidRPr="00A83C94" w14:paraId="438FECD5"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FFD090B"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950E030"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EB5483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7.1%</w:t>
            </w:r>
          </w:p>
        </w:tc>
        <w:tc>
          <w:tcPr>
            <w:tcW w:w="940" w:type="dxa"/>
            <w:tcBorders>
              <w:top w:val="nil"/>
              <w:left w:val="nil"/>
              <w:bottom w:val="single" w:sz="8" w:space="0" w:color="2F75B5"/>
              <w:right w:val="single" w:sz="8" w:space="0" w:color="2F75B5"/>
            </w:tcBorders>
            <w:shd w:val="clear" w:color="auto" w:fill="auto"/>
            <w:noWrap/>
            <w:vAlign w:val="center"/>
            <w:hideMark/>
          </w:tcPr>
          <w:p w14:paraId="0BA010F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5.3%</w:t>
            </w:r>
          </w:p>
        </w:tc>
        <w:tc>
          <w:tcPr>
            <w:tcW w:w="940" w:type="dxa"/>
            <w:tcBorders>
              <w:top w:val="nil"/>
              <w:left w:val="nil"/>
              <w:bottom w:val="single" w:sz="8" w:space="0" w:color="2F75B5"/>
              <w:right w:val="single" w:sz="8" w:space="0" w:color="2F75B5"/>
            </w:tcBorders>
            <w:shd w:val="clear" w:color="auto" w:fill="auto"/>
            <w:noWrap/>
            <w:vAlign w:val="center"/>
            <w:hideMark/>
          </w:tcPr>
          <w:p w14:paraId="16B89DF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027FBF" w:rsidRPr="00A83C94" w14:paraId="3072E1FF"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037D8FC2"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0300B9EE"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4DE998A1"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591490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318.8</w:t>
            </w:r>
          </w:p>
        </w:tc>
        <w:tc>
          <w:tcPr>
            <w:tcW w:w="940" w:type="dxa"/>
            <w:tcBorders>
              <w:top w:val="nil"/>
              <w:left w:val="nil"/>
              <w:bottom w:val="single" w:sz="8" w:space="0" w:color="2F75B5"/>
              <w:right w:val="single" w:sz="8" w:space="0" w:color="2F75B5"/>
            </w:tcBorders>
            <w:shd w:val="clear" w:color="auto" w:fill="auto"/>
            <w:noWrap/>
            <w:vAlign w:val="center"/>
            <w:hideMark/>
          </w:tcPr>
          <w:p w14:paraId="01ABA20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181.7</w:t>
            </w:r>
          </w:p>
        </w:tc>
      </w:tr>
      <w:tr w:rsidR="00027FBF" w:rsidRPr="00A83C94" w14:paraId="78A8EDAA"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254C11D"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8815F55"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6332C01"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42BD9F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4.6%</w:t>
            </w:r>
          </w:p>
        </w:tc>
        <w:tc>
          <w:tcPr>
            <w:tcW w:w="940" w:type="dxa"/>
            <w:tcBorders>
              <w:top w:val="nil"/>
              <w:left w:val="nil"/>
              <w:bottom w:val="single" w:sz="8" w:space="0" w:color="2F75B5"/>
              <w:right w:val="single" w:sz="8" w:space="0" w:color="2F75B5"/>
            </w:tcBorders>
            <w:shd w:val="clear" w:color="auto" w:fill="auto"/>
            <w:noWrap/>
            <w:vAlign w:val="center"/>
            <w:hideMark/>
          </w:tcPr>
          <w:p w14:paraId="715583A9"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w:t>
            </w:r>
          </w:p>
        </w:tc>
      </w:tr>
      <w:tr w:rsidR="00027FBF" w:rsidRPr="00A83C94" w14:paraId="19EBB2AC"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3B29BF5"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7615A998"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381810C6"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E484CC8"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329.1</w:t>
            </w:r>
          </w:p>
        </w:tc>
        <w:tc>
          <w:tcPr>
            <w:tcW w:w="940" w:type="dxa"/>
            <w:tcBorders>
              <w:top w:val="nil"/>
              <w:left w:val="nil"/>
              <w:bottom w:val="single" w:sz="8" w:space="0" w:color="2F75B5"/>
              <w:right w:val="single" w:sz="8" w:space="0" w:color="2F75B5"/>
            </w:tcBorders>
            <w:shd w:val="clear" w:color="auto" w:fill="auto"/>
            <w:noWrap/>
            <w:vAlign w:val="center"/>
            <w:hideMark/>
          </w:tcPr>
          <w:p w14:paraId="06B647C3" w14:textId="77777777" w:rsidR="00027FBF" w:rsidRPr="00387D6C" w:rsidRDefault="00027FBF" w:rsidP="00027FBF">
            <w:pPr>
              <w:spacing w:before="0" w:line="240" w:lineRule="auto"/>
              <w:ind w:firstLine="0"/>
              <w:contextualSpacing w:val="0"/>
              <w:jc w:val="right"/>
              <w:rPr>
                <w:rFonts w:cs="Calibri"/>
                <w:b w:val="0"/>
                <w:color w:val="000000"/>
                <w:sz w:val="20"/>
                <w:szCs w:val="20"/>
                <w:lang w:val="hy-AM" w:eastAsia="en-US"/>
              </w:rPr>
            </w:pPr>
            <w:r>
              <w:rPr>
                <w:rFonts w:cs="Calibri"/>
                <w:b w:val="0"/>
                <w:color w:val="000000"/>
                <w:sz w:val="20"/>
                <w:szCs w:val="20"/>
                <w:lang w:val="hy-AM" w:eastAsia="en-US"/>
              </w:rPr>
              <w:t>236.3</w:t>
            </w:r>
          </w:p>
        </w:tc>
      </w:tr>
      <w:tr w:rsidR="00027FBF" w:rsidRPr="00A83C94" w14:paraId="71493203"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232381F"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B9FA340"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646AB9E"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0327CF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4.7%</w:t>
            </w:r>
          </w:p>
        </w:tc>
        <w:tc>
          <w:tcPr>
            <w:tcW w:w="940" w:type="dxa"/>
            <w:tcBorders>
              <w:top w:val="nil"/>
              <w:left w:val="nil"/>
              <w:bottom w:val="single" w:sz="8" w:space="0" w:color="2F75B5"/>
              <w:right w:val="single" w:sz="8" w:space="0" w:color="2F75B5"/>
            </w:tcBorders>
            <w:shd w:val="clear" w:color="auto" w:fill="auto"/>
            <w:noWrap/>
            <w:vAlign w:val="center"/>
            <w:hideMark/>
          </w:tcPr>
          <w:p w14:paraId="1BF06B18"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w:t>
            </w:r>
            <w:r>
              <w:rPr>
                <w:rFonts w:cs="Calibri"/>
                <w:b w:val="0"/>
                <w:i/>
                <w:iCs/>
                <w:color w:val="000000"/>
                <w:sz w:val="20"/>
                <w:szCs w:val="20"/>
                <w:lang w:val="hy-AM" w:eastAsia="en-US"/>
              </w:rPr>
              <w:t>0</w:t>
            </w:r>
            <w:r w:rsidRPr="00A83C94">
              <w:rPr>
                <w:rFonts w:cs="Calibri"/>
                <w:b w:val="0"/>
                <w:i/>
                <w:iCs/>
                <w:color w:val="000000"/>
                <w:sz w:val="20"/>
                <w:szCs w:val="20"/>
                <w:lang w:val="en-US" w:eastAsia="en-US"/>
              </w:rPr>
              <w:t>%</w:t>
            </w:r>
          </w:p>
        </w:tc>
      </w:tr>
    </w:tbl>
    <w:p w14:paraId="20108312" w14:textId="77777777" w:rsidR="00027FBF" w:rsidRPr="00A83C94" w:rsidRDefault="00027FBF" w:rsidP="00027FBF">
      <w:pPr>
        <w:spacing w:before="0" w:after="160" w:line="259" w:lineRule="auto"/>
        <w:ind w:firstLine="0"/>
        <w:contextualSpacing w:val="0"/>
        <w:jc w:val="left"/>
        <w:rPr>
          <w:rFonts w:ascii="Calibri" w:eastAsia="Calibri" w:hAnsi="Calibri"/>
          <w:b w:val="0"/>
          <w:szCs w:val="22"/>
          <w:lang w:val="en-US" w:eastAsia="en-US"/>
        </w:rPr>
      </w:pPr>
    </w:p>
    <w:p w14:paraId="34810542" w14:textId="77777777" w:rsidR="00027FBF" w:rsidRDefault="00027FBF" w:rsidP="00027FBF">
      <w:pPr>
        <w:spacing w:before="0" w:line="240" w:lineRule="auto"/>
        <w:ind w:firstLine="0"/>
        <w:contextualSpacing w:val="0"/>
        <w:jc w:val="left"/>
        <w:rPr>
          <w:sz w:val="28"/>
          <w:szCs w:val="20"/>
          <w:lang w:val="hy-AM"/>
        </w:rPr>
      </w:pPr>
      <w:r>
        <w:rPr>
          <w:lang w:val="hy-AM"/>
        </w:rPr>
        <w:br w:type="page"/>
      </w:r>
    </w:p>
    <w:p w14:paraId="14532E31" w14:textId="02534D60" w:rsidR="0027241E" w:rsidRDefault="0027241E">
      <w:pPr>
        <w:spacing w:before="0" w:line="240" w:lineRule="auto"/>
        <w:ind w:firstLine="0"/>
        <w:contextualSpacing w:val="0"/>
        <w:jc w:val="left"/>
        <w:rPr>
          <w:rFonts w:eastAsiaTheme="minorHAnsi" w:cstheme="minorBidi"/>
          <w:b w:val="0"/>
          <w:szCs w:val="22"/>
          <w:lang w:val="en-US" w:eastAsia="en-US"/>
        </w:rPr>
      </w:pPr>
      <w:bookmarkStart w:id="89" w:name="_Toc14687615"/>
      <w:bookmarkStart w:id="90" w:name="_Toc13837279"/>
      <w:bookmarkStart w:id="91" w:name="_Toc45838560"/>
      <w:bookmarkStart w:id="92" w:name="_Toc46154385"/>
      <w:bookmarkStart w:id="93" w:name="_Toc20654688"/>
      <w:bookmarkStart w:id="94" w:name="_GoBack"/>
      <w:bookmarkEnd w:id="94"/>
    </w:p>
    <w:p w14:paraId="4F635756" w14:textId="77777777" w:rsidR="0087134D" w:rsidRPr="00A83C94" w:rsidRDefault="0087134D" w:rsidP="0087134D">
      <w:pPr>
        <w:keepNext/>
        <w:keepLines/>
        <w:spacing w:before="0" w:line="312" w:lineRule="auto"/>
        <w:ind w:firstLine="0"/>
        <w:jc w:val="left"/>
        <w:outlineLvl w:val="2"/>
        <w:rPr>
          <w:szCs w:val="22"/>
          <w:lang w:val="hy-AM" w:eastAsia="en-US"/>
        </w:rPr>
      </w:pPr>
      <w:bookmarkStart w:id="95" w:name="_Toc83972892"/>
      <w:bookmarkStart w:id="96" w:name="_Toc89428346"/>
      <w:bookmarkEnd w:id="89"/>
      <w:bookmarkEnd w:id="90"/>
      <w:bookmarkEnd w:id="91"/>
      <w:bookmarkEnd w:id="92"/>
      <w:bookmarkEnd w:id="93"/>
      <w:r w:rsidRPr="00A83C94">
        <w:rPr>
          <w:szCs w:val="22"/>
          <w:lang w:val="en-US" w:eastAsia="en-US"/>
        </w:rPr>
        <w:t>2</w:t>
      </w:r>
      <w:r w:rsidRPr="00A83C94">
        <w:rPr>
          <w:szCs w:val="22"/>
          <w:lang w:val="hy-AM" w:eastAsia="en-US"/>
        </w:rPr>
        <w:t>. ՊԵՏԱԿԱՆ ԲՅՈՒՋԵԻ ՎՐԱ ՄԱԿՐՈՏՆՏԵՍԱԿԱՆ ԿԱՆԽԱՏԵՍՎԱԾ ՑՈՒՑԱՆԻՇՆԵՐԻՑ ՇԵՂՄԱՆ ՌԻՍԿԵՐԻ ԱԶԴԵՑՈՒԹՅԱՆ ՔԱՆԱԿԱԿԱՆ ԳՆԱՀԱՏՈՒՄ</w:t>
      </w:r>
      <w:bookmarkEnd w:id="95"/>
      <w:bookmarkEnd w:id="96"/>
    </w:p>
    <w:p w14:paraId="311A528A" w14:textId="77777777" w:rsidR="0087134D" w:rsidRPr="00A83C94" w:rsidRDefault="0087134D" w:rsidP="0087134D">
      <w:pPr>
        <w:spacing w:before="0" w:line="276" w:lineRule="auto"/>
        <w:ind w:firstLine="0"/>
        <w:contextualSpacing w:val="0"/>
        <w:rPr>
          <w:sz w:val="24"/>
          <w:lang w:val="es-ES"/>
        </w:rPr>
      </w:pPr>
      <w:bookmarkStart w:id="97" w:name="_Toc14687616"/>
      <w:bookmarkStart w:id="98" w:name="_Toc13837280"/>
    </w:p>
    <w:p w14:paraId="59DD38DF" w14:textId="77777777" w:rsidR="0087134D" w:rsidRPr="00A83C94" w:rsidRDefault="0087134D" w:rsidP="0087134D">
      <w:pPr>
        <w:spacing w:before="0" w:line="276" w:lineRule="auto"/>
        <w:ind w:firstLine="0"/>
        <w:contextualSpacing w:val="0"/>
        <w:rPr>
          <w:szCs w:val="22"/>
          <w:lang w:val="hy-AM"/>
        </w:rPr>
      </w:pPr>
      <w:r w:rsidRPr="00A83C94">
        <w:rPr>
          <w:szCs w:val="22"/>
          <w:lang w:val="es-ES"/>
        </w:rPr>
        <w:t>2</w:t>
      </w:r>
      <w:r w:rsidRPr="00A83C94">
        <w:rPr>
          <w:szCs w:val="22"/>
          <w:lang w:val="hy-AM"/>
        </w:rPr>
        <w:t>.1. 2022 թվականին պետական բյուջեի հարկային եկամուտների վրա մակրոտնտեսական ցուցանիշների կանխատեսվածից շեղման ռիսկերի ազդեցության քանակական գնահատումը</w:t>
      </w:r>
    </w:p>
    <w:bookmarkEnd w:id="97"/>
    <w:bookmarkEnd w:id="98"/>
    <w:p w14:paraId="16DB9A75"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Կարճաժամկետ հատվածում հարկային եկամուտների կանխատեսվող հոսքերի վրա մակրոտնտեսական բնույթի ռիսկերի ազդեցության քանակական գնահատումը հիմնվել է ստորև նկարագրված կանխատեսումների ռիսկի և ենթադրություններից շեղումների ռիսկի վրա:</w:t>
      </w:r>
    </w:p>
    <w:p w14:paraId="01C12D02" w14:textId="77777777" w:rsidR="0087134D" w:rsidRPr="00A83C94" w:rsidRDefault="0087134D" w:rsidP="0087134D">
      <w:pPr>
        <w:spacing w:before="0" w:line="276" w:lineRule="auto"/>
        <w:ind w:firstLine="720"/>
        <w:rPr>
          <w:rFonts w:cs="Sylfaen"/>
          <w:lang w:val="hy-AM"/>
        </w:rPr>
      </w:pPr>
      <w:r w:rsidRPr="00A83C94">
        <w:rPr>
          <w:rFonts w:cs="Sylfaen"/>
          <w:lang w:val="hy-AM"/>
        </w:rPr>
        <w:t>1. Կանխատեսումների ռիսկ</w:t>
      </w:r>
    </w:p>
    <w:p w14:paraId="6AE86989" w14:textId="77777777" w:rsidR="0087134D" w:rsidRPr="00A83C94" w:rsidRDefault="0087134D" w:rsidP="0087134D">
      <w:pPr>
        <w:spacing w:before="0" w:line="276" w:lineRule="auto"/>
        <w:ind w:firstLine="720"/>
        <w:rPr>
          <w:rFonts w:eastAsia="Calibri" w:cs="Sylfaen"/>
          <w:b w:val="0"/>
          <w:lang w:val="hy-AM"/>
        </w:rPr>
      </w:pPr>
      <w:r w:rsidRPr="00A83C94">
        <w:rPr>
          <w:rFonts w:eastAsia="Calibri" w:cs="Sylfaen"/>
          <w:b w:val="0"/>
          <w:lang w:val="hy-AM"/>
        </w:rPr>
        <w:t>Սովորաբար կանխատեսումներ իրականացնելիս ի հայտ են գալիս հանգամանքներ, որոնք կապված են լինում օգտագործվող կանխատեսման մոդելների տեղայնացումից և մասնավորեցումից, տնտեսության կառուցվածքային տեղաշարժերից</w:t>
      </w:r>
      <w:r w:rsidRPr="00A83C94">
        <w:rPr>
          <w:rFonts w:eastAsia="Calibri" w:cs="Sylfaen"/>
          <w:b w:val="0"/>
          <w:vertAlign w:val="superscript"/>
          <w:lang w:val="hy-AM"/>
        </w:rPr>
        <w:footnoteReference w:id="21"/>
      </w:r>
      <w:r w:rsidRPr="00A83C94">
        <w:rPr>
          <w:rFonts w:eastAsia="Calibri" w:cs="Sylfaen"/>
          <w:b w:val="0"/>
          <w:lang w:val="hy-AM"/>
        </w:rPr>
        <w:t>, նոր երևույթներից (որի վերաբերյալ նախկինում տեղեկատվությունը բացակայել է) և այլն: Այս ռիսկերն ընդունված է անվանել կանխա</w:t>
      </w:r>
      <w:r w:rsidRPr="00A83C94">
        <w:rPr>
          <w:rFonts w:eastAsia="Calibri" w:cs="Sylfaen"/>
          <w:b w:val="0"/>
          <w:lang w:val="hy-AM"/>
        </w:rPr>
        <w:softHyphen/>
        <w:t>տես</w:t>
      </w:r>
      <w:r w:rsidRPr="00A83C94">
        <w:rPr>
          <w:rFonts w:eastAsia="Calibri" w:cs="Sylfaen"/>
          <w:b w:val="0"/>
          <w:lang w:val="hy-AM"/>
        </w:rPr>
        <w:softHyphen/>
        <w:t xml:space="preserve">ման ռիսկեր: </w:t>
      </w:r>
    </w:p>
    <w:p w14:paraId="7125955E" w14:textId="77777777" w:rsidR="0087134D" w:rsidRPr="00A83C94" w:rsidRDefault="0087134D" w:rsidP="0087134D">
      <w:pPr>
        <w:spacing w:before="0" w:line="276" w:lineRule="auto"/>
        <w:ind w:firstLine="720"/>
        <w:rPr>
          <w:rFonts w:eastAsia="Calibri" w:cs="Sylfaen"/>
          <w:b w:val="0"/>
          <w:lang w:val="hy-AM"/>
        </w:rPr>
      </w:pPr>
      <w:r w:rsidRPr="00A83C94">
        <w:rPr>
          <w:rFonts w:eastAsia="Calibri" w:cs="Sylfaen"/>
          <w:b w:val="0"/>
          <w:lang w:val="hy-AM"/>
        </w:rPr>
        <w:t>Հատկապես ներկա իրավիճակում՝ կորոնավիրուսի տարածման և տևողության անորոշությունների հետևանքով, տնտեսական աճի ռիսկերը գնահատվում են առավելապես դեպի ներքև, որը պայմանավորված է ճգնաժամից տնտեսության վերականգնման անորոշությունների՝ ավելի ուշ դուրս գալու ռիսկերով: Բացի այդ, մակրոտնտեսական կանխատեսումներում ներառված չեն ԱՄՀ կողմից համաշխարհային և գործընկեր երկրներ տնտեսական աճերի կանխատեսման դեպի ներքև վերանայումները, որոնք ևս մեծացնում են դեպի ներքև ռիսկերը:</w:t>
      </w:r>
    </w:p>
    <w:p w14:paraId="49E03DF2" w14:textId="77777777" w:rsidR="0087134D" w:rsidRPr="00A83C94" w:rsidRDefault="0087134D" w:rsidP="0087134D">
      <w:pPr>
        <w:spacing w:before="0" w:line="259" w:lineRule="auto"/>
        <w:ind w:firstLine="720"/>
        <w:rPr>
          <w:rFonts w:eastAsia="Calibri" w:cs="Sylfaen"/>
          <w:b w:val="0"/>
          <w:lang w:val="hy-AM"/>
        </w:rPr>
      </w:pPr>
      <w:r w:rsidRPr="00A83C94">
        <w:rPr>
          <w:rFonts w:eastAsia="Calibri" w:cs="Sylfaen"/>
          <w:b w:val="0"/>
          <w:lang w:val="hy-AM"/>
        </w:rPr>
        <w:t>Բյուջեի ծրագրի կատարման տեսանկյունից կարևորվում է ՀՆԱ-ի կանխատեսման ռիսկի գնահատումը, քանի որ բյուջեի ծրագրված սցենարի հարթ իրականացումը կախված է տնտեսությունում ստեղծված անվանական ՀՆԱ-ի մեծությունից: ՀՆԱ-ի գծով կանխատեսումների ռիսկը գնահատվել է նա</w:t>
      </w:r>
      <w:r w:rsidRPr="00A83C94">
        <w:rPr>
          <w:rFonts w:eastAsia="Calibri" w:cs="Sylfaen"/>
          <w:b w:val="0"/>
          <w:lang w:val="hy-AM"/>
        </w:rPr>
        <w:softHyphen/>
        <w:t>խորդ տարիներին պետական բյուջեների հիմքում դրվող ՀՆԱ կանխա</w:t>
      </w:r>
      <w:r w:rsidRPr="00A83C94">
        <w:rPr>
          <w:rFonts w:eastAsia="Calibri" w:cs="Sylfaen"/>
          <w:b w:val="0"/>
          <w:lang w:val="hy-AM"/>
        </w:rPr>
        <w:softHyphen/>
        <w:t>տեսված ցուցա</w:t>
      </w:r>
      <w:r w:rsidRPr="00A83C94">
        <w:rPr>
          <w:rFonts w:eastAsia="Calibri" w:cs="Sylfaen"/>
          <w:b w:val="0"/>
          <w:lang w:val="hy-AM"/>
        </w:rPr>
        <w:softHyphen/>
        <w:t>նիշների և ՀՆԱ փաստացի ցուցանիշների միջև շեղման հիման վրա: Մասնավո</w:t>
      </w:r>
      <w:r w:rsidRPr="00A83C94">
        <w:rPr>
          <w:rFonts w:eastAsia="Calibri" w:cs="Sylfaen"/>
          <w:b w:val="0"/>
          <w:lang w:val="hy-AM"/>
        </w:rPr>
        <w:softHyphen/>
        <w:t>րապես, հետճգնաժամային 2010-2019 թվականների փաստացի ՀՆԱ իրական աճերը միջին հաշվով շեղվել են կանխատեսվածից 1.9 տոկոսային կետ: Այս պարագայում, հաշվի առնելով կանխատեսվածից ցածր ՀՆԱ ձևավորման վերոնկարագրյալ ռիսկերի գերակշռությունը` որպես ռիսկ է դիտարկվել ՀՆԱ իրական աճի կանխատեսված մակարդակից 1.9 տոկոսային կետով ավելի ցածր մակարդակի ձևավորումը:</w:t>
      </w:r>
    </w:p>
    <w:p w14:paraId="3AB53E10"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 xml:space="preserve">ՀՆԱ-ի միջնաժամկետ կանխատեսումներից փաստացիի շեղումները նախաճգնաժամային 2003-2008 թվականների համար եղել են 7.1-ից 9.0-ը տոկոսային կետ, իսկ հետճգնաժամային 2010-2019 թվականների համար՝ 2.0-ից 2.6 տոկոսային կետ: Այս պարագայում, հաշվի առնելով կանխատեսվածից ցածր ՀՆԱ-ի ձևավորման վերոնկարագրյալ </w:t>
      </w:r>
      <w:r w:rsidRPr="00A83C94">
        <w:rPr>
          <w:rFonts w:cs="Sylfaen"/>
          <w:b w:val="0"/>
          <w:lang w:val="hy-AM"/>
        </w:rPr>
        <w:lastRenderedPageBreak/>
        <w:t>ռիսկերի գերակշռությունը, որպես ռիսկ է դիտարկվել ՀՆԱ-ի իրական աճի կանխատեսվածից 2.0 տոկոսային կետով ավելի ցածր ցուցանիշի ձևավորումը 2022 թվականին:</w:t>
      </w:r>
    </w:p>
    <w:p w14:paraId="561ABAC9"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Արդյունքում, ՀՆԱ նվազման ռիսկի ազդեցությունը հարկային եկամուտների վրա 2022 թվականի համար գնահատվում է 11.9 մլրդ ՀՀ դրամ ֆինանսական պահանջի ավելացման ուղղությամբ:</w:t>
      </w:r>
    </w:p>
    <w:p w14:paraId="5A7C9C17" w14:textId="77777777" w:rsidR="0087134D" w:rsidRPr="00A83C94" w:rsidRDefault="0087134D" w:rsidP="0087134D">
      <w:pPr>
        <w:spacing w:before="0" w:line="276" w:lineRule="auto"/>
        <w:ind w:firstLine="720"/>
        <w:rPr>
          <w:rFonts w:cs="Sylfaen"/>
          <w:lang w:val="hy-AM"/>
        </w:rPr>
      </w:pPr>
      <w:r w:rsidRPr="00A83C94">
        <w:rPr>
          <w:rFonts w:cs="Sylfaen"/>
          <w:lang w:val="hy-AM"/>
        </w:rPr>
        <w:t>2. Ենթադրություններից շեղումների ռիսկ</w:t>
      </w:r>
    </w:p>
    <w:p w14:paraId="797D0DD8"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ՄԺԾԾ հիմքում դրվող կանխատեսումները կառուցվում են որոշակի ենթադրու</w:t>
      </w:r>
      <w:r w:rsidRPr="00A83C94">
        <w:rPr>
          <w:rFonts w:cs="Sylfaen"/>
          <w:b w:val="0"/>
          <w:lang w:val="hy-AM"/>
        </w:rPr>
        <w:softHyphen/>
        <w:t>թյու</w:t>
      </w:r>
      <w:r w:rsidRPr="00A83C94">
        <w:rPr>
          <w:rFonts w:cs="Sylfaen"/>
          <w:b w:val="0"/>
          <w:lang w:val="hy-AM"/>
        </w:rPr>
        <w:softHyphen/>
        <w:t xml:space="preserve">նների հիման վրա, որոնք էլ իրենց հերթին կախված են արտաքին գործոններից (օրինակ, ներքին տնտեսության գնաճը` միջազգային շուկաների գների կանխատեսվող վարքագծից): Սակայն միշտ չէ, որ այդ ենթադրությունները կանխատեսվող հորիզոնում իրականություն են դառնում՝ կապված ՀՀ կառավարության և ՀՀ ԿԲ-ի կառավարման դաշտից դուրս ի հայտ եկող երևույթների հետ (օրինակ` նավթի համաշխարհային գների հնարավոր փոփոխությունները): </w:t>
      </w:r>
    </w:p>
    <w:p w14:paraId="4D892276"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Ենթադրություններից շեղումների ռիսկ է նաև ԵԱՏՄ անդամ պետությունների տնտեսական զարգացումները: Միաժամանակ, ՀՀ պետական բյուջեի հարկային եկամուտներում մաքսա</w:t>
      </w:r>
      <w:r w:rsidRPr="00A83C94">
        <w:rPr>
          <w:rFonts w:cs="Sylfaen"/>
          <w:b w:val="0"/>
          <w:lang w:val="hy-AM"/>
        </w:rPr>
        <w:softHyphen/>
        <w:t>տուր</w:t>
      </w:r>
      <w:r w:rsidRPr="00A83C94">
        <w:rPr>
          <w:rFonts w:cs="Sylfaen"/>
          <w:b w:val="0"/>
          <w:lang w:val="hy-AM"/>
        </w:rPr>
        <w:softHyphen/>
        <w:t>քերի մասնաբաժինը կարող է փոփոխվել նոր պետությունների ԵԱՏՄ-ին անդամակ</w:t>
      </w:r>
      <w:r w:rsidRPr="00A83C94">
        <w:rPr>
          <w:rFonts w:cs="Sylfaen"/>
          <w:b w:val="0"/>
          <w:lang w:val="hy-AM"/>
        </w:rPr>
        <w:softHyphen/>
        <w:t xml:space="preserve">ցությունից: </w:t>
      </w:r>
    </w:p>
    <w:p w14:paraId="20FBE09C" w14:textId="77777777" w:rsidR="0087134D" w:rsidRPr="00A83C94" w:rsidRDefault="0087134D" w:rsidP="0087134D">
      <w:pPr>
        <w:spacing w:before="0" w:line="276" w:lineRule="auto"/>
        <w:ind w:firstLine="720"/>
        <w:rPr>
          <w:rFonts w:cs="Sylfaen"/>
          <w:lang w:val="hy-AM"/>
        </w:rPr>
      </w:pPr>
      <w:r w:rsidRPr="00A83C94">
        <w:rPr>
          <w:rFonts w:cs="Sylfaen"/>
          <w:lang w:val="hy-AM"/>
        </w:rPr>
        <w:t>2.1. Գնաճի շեղման հնարավոր չափը</w:t>
      </w:r>
    </w:p>
    <w:p w14:paraId="79E48F0B"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 xml:space="preserve">Գնաճի ցուցանիշի շեղման հնարավոր չափ է դիտարկվում ՀՀ ԿԲ-ի կողմից դրամավարկային քաղաքականության ծրագրում (գնաճի հաշվետվություններում) ներկայացվող գնաճի նպատակային ցուցանիշի կենտրոնական արժեքից շեղման առավելագույն չափը: </w:t>
      </w:r>
    </w:p>
    <w:p w14:paraId="5050990C"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 xml:space="preserve">ՀՀ ԿԲ-ի կողմից միջնաժամկետ հորիզոնում կանխատեսվում է գնաճի կայունացում նպատակային ցուցանիշի շուրջ: Կանխատեսված ցուցանիշից գնաճի շեղման ռիսկերը միջնաժամկետ հորիզոնում գնահատվում են հավասարակշռված` գնաճի կանխատեսվող արժեքից դեպի ներքև` 1.5 տոկոսային կետի չափով  և դեպի վերև շեղումը` 1.5 տոկոսային կետի չափով: </w:t>
      </w:r>
    </w:p>
    <w:p w14:paraId="3F0C4B88"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 xml:space="preserve">Գնաճի շեղման ռիսկը կարող է ազդեցություն ունենալ ՀՀ պետական բյուջեի և՛ եկամտային, և՛ ծախսային կատարողականների վրա` անուղղակի հարկերի, ինչպես նաև ապրանքների և ծառայությունների գծով ծախսերի ուղղությամբ: Գնանկումային պայմաններում հարկերից մուտքերը կկրճատվեն և ընդհակառակը: </w:t>
      </w:r>
    </w:p>
    <w:p w14:paraId="55BA8901"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Արդյունքում, գների նվազման ռիսկի ազդեցությունը հարկային եկամուտների վրա 2022 թվականի համար գնահատվում է 3.4 մլրդ ՀՀ դրամ ֆինանսական պահանջի ավելացման ուղղությամբ:</w:t>
      </w:r>
    </w:p>
    <w:p w14:paraId="7026DB14" w14:textId="77777777" w:rsidR="0087134D" w:rsidRPr="00A83C94" w:rsidRDefault="0087134D" w:rsidP="0087134D">
      <w:pPr>
        <w:spacing w:before="0" w:line="276" w:lineRule="auto"/>
        <w:ind w:firstLine="720"/>
        <w:rPr>
          <w:rFonts w:cs="Sylfaen"/>
          <w:lang w:val="hy-AM"/>
        </w:rPr>
      </w:pPr>
      <w:r w:rsidRPr="00A83C94">
        <w:rPr>
          <w:rFonts w:cs="Sylfaen"/>
          <w:lang w:val="hy-AM"/>
        </w:rPr>
        <w:t>2.2. Փոխարժեքի շեղման հնարավոր չափը</w:t>
      </w:r>
    </w:p>
    <w:p w14:paraId="1DAF87CD"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ՀՀ ԿԲ-ն և ՀՀ ՖՆ-ն փոխարժեքի կանխա</w:t>
      </w:r>
      <w:r w:rsidRPr="00A83C94">
        <w:rPr>
          <w:rFonts w:cs="Sylfaen"/>
          <w:b w:val="0"/>
          <w:lang w:val="hy-AM"/>
        </w:rPr>
        <w:softHyphen/>
        <w:t>տեսումներ չեն իրականացնում և մակրոտնտեսական քաղաքականությունն իրականացվում է լողացող փոխարժեքի սկզբունքի հիման վրա, ընդ որում, յուրաքանչյուր տարվա պետական բյուջեի ցուցանիշների կանխատեսումների հիմքում դրվում է փոխարժեքի անփոփոխ (որոշակի պահի դրությամբ) մակարդակ: Սակայն փոխարժեքի տատա</w:t>
      </w:r>
      <w:r w:rsidRPr="00A83C94">
        <w:rPr>
          <w:rFonts w:cs="Sylfaen"/>
          <w:b w:val="0"/>
          <w:lang w:val="hy-AM"/>
        </w:rPr>
        <w:softHyphen/>
        <w:t>նում</w:t>
      </w:r>
      <w:r w:rsidRPr="00A83C94">
        <w:rPr>
          <w:rFonts w:cs="Sylfaen"/>
          <w:b w:val="0"/>
          <w:lang w:val="hy-AM"/>
        </w:rPr>
        <w:softHyphen/>
        <w:t>ները կազդեն ներմուծումից ՀՀ պետական բյուջե մուտքագրվող հարկային եկամուտների վրա:</w:t>
      </w:r>
    </w:p>
    <w:p w14:paraId="71F98EEC"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Հաշվի առնելով այն հանգամանքը, որ պատմականորեն և՛ արժևորման, և՛ արժեզրկման ուղղությամբ փոխար</w:t>
      </w:r>
      <w:r w:rsidRPr="00A83C94">
        <w:rPr>
          <w:rFonts w:cs="Sylfaen"/>
          <w:b w:val="0"/>
          <w:lang w:val="hy-AM"/>
        </w:rPr>
        <w:softHyphen/>
        <w:t xml:space="preserve">ժեքի տատանումների բացարձակ շեղման միջին չափը կազմել է շուրջ 4.0 </w:t>
      </w:r>
      <w:r w:rsidRPr="00A83C94">
        <w:rPr>
          <w:rFonts w:cs="Sylfaen"/>
          <w:b w:val="0"/>
          <w:lang w:val="hy-AM"/>
        </w:rPr>
        <w:lastRenderedPageBreak/>
        <w:t xml:space="preserve">տոկոս` որպես ռիսկ է դիտարկվել ԱՄՆ դոլարի նկատմամբ ՀՀ դրամի առավելագույնը 4.0% արժեզրկումը: </w:t>
      </w:r>
    </w:p>
    <w:p w14:paraId="0DECF091"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Արդյունքում, փոխարժեքի 4.0 տոկոսով արժեզրկման ռիսկի դրսևորման դեպքում, այլ հավասար պայմաններում, 2022 թվականին կարելի է ապահովել հարկային եկամուտների 12.2 մլրդ ՀՀ դրամ լրացուցիչ մուտք:</w:t>
      </w:r>
    </w:p>
    <w:p w14:paraId="55D5B5D4" w14:textId="77777777" w:rsidR="0087134D" w:rsidRPr="00A83C94" w:rsidRDefault="0087134D" w:rsidP="0087134D">
      <w:pPr>
        <w:spacing w:before="0" w:line="276" w:lineRule="auto"/>
        <w:ind w:firstLine="720"/>
        <w:rPr>
          <w:rFonts w:cs="Sylfaen"/>
          <w:lang w:val="hy-AM"/>
        </w:rPr>
      </w:pPr>
      <w:r w:rsidRPr="00A83C94">
        <w:rPr>
          <w:rFonts w:cs="Sylfaen"/>
          <w:lang w:val="hy-AM"/>
        </w:rPr>
        <w:t>2.3. Ներմուծման գծով ռիսկի հնարավոր չափը</w:t>
      </w:r>
    </w:p>
    <w:p w14:paraId="02AD66FA"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Քանի որ մաքսային սահմանին ներմուծումից գանձվող անուղղակի հարկերը էական կշիռ ունեն պետական բյուջեի ընդհանուր հարկային եկամուտներում, անհրաժեշտ է գնահատել նաև ներմուծման հնարավոր նվազման պարագայում հարկային եկամուտների նվազման ռիսկի չափը: Հետճգնաժամային տարիներին պետական բյուջեում ներմուծման գծով կանխատեսումների շեղման միջին բացարձակ չափը սահմանվում է 11.8%-ի միջակայքում, ինչն էլ հաշվի է առնվել այս գործոնի ազդեցությունը գնահատելու համար: 2022 թվականի համար ծրագրվածից 11.8% պակաս ներմուծման ռիսկի դրսևորման պայմաններում հարկային եկամուտների վրա ազդեցությունը գնահատվում է 21.9 մլրդ ՀՀ դրամ` ֆինանսական պահանջի ավելացման ուղղությամբ:</w:t>
      </w:r>
    </w:p>
    <w:p w14:paraId="515439F2"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Ամփոփելով վերը նկարագրված կանխատեսումների ռիսկի և ենթադրություններից շեղումների ռիսկի գնահատականները, միջնաժամկետ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գնահատականները ներկայացվում են ստորև.</w:t>
      </w:r>
    </w:p>
    <w:p w14:paraId="273FCA71" w14:textId="426855F5" w:rsidR="0087134D" w:rsidRPr="008B1D49" w:rsidRDefault="0087134D" w:rsidP="0087134D">
      <w:pPr>
        <w:pStyle w:val="Caption"/>
        <w:rPr>
          <w:b/>
          <w:lang w:val="hy-AM"/>
        </w:rPr>
      </w:pPr>
      <w:bookmarkStart w:id="99" w:name="_Toc83928954"/>
      <w:bookmarkStart w:id="100" w:name="_Toc89428778"/>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18</w:t>
      </w:r>
      <w:r>
        <w:fldChar w:fldCharType="end"/>
      </w:r>
      <w:r w:rsidRPr="008B1D49">
        <w:rPr>
          <w:noProof/>
          <w:lang w:val="hy-AM"/>
        </w:rPr>
        <w:t>.</w:t>
      </w:r>
      <w:r w:rsidRPr="008B1D49">
        <w:rPr>
          <w:lang w:val="hy-AM"/>
        </w:rPr>
        <w:t xml:space="preserve"> </w:t>
      </w:r>
      <w:r w:rsidRPr="008B1D49">
        <w:rPr>
          <w:sz w:val="20"/>
          <w:szCs w:val="20"/>
          <w:lang w:val="hy-AM"/>
        </w:rPr>
        <w:t>Հարկային եկամուտների վրա մակրոտնտեսական կանխատեսումների և ենթադրությունների ռիսկերի ազդեցություն</w:t>
      </w:r>
      <w:r w:rsidRPr="00A83C94">
        <w:rPr>
          <w:sz w:val="20"/>
          <w:szCs w:val="20"/>
          <w:vertAlign w:val="superscript"/>
        </w:rPr>
        <w:footnoteReference w:id="22"/>
      </w:r>
      <w:bookmarkEnd w:id="99"/>
      <w:bookmarkEnd w:id="100"/>
    </w:p>
    <w:tbl>
      <w:tblPr>
        <w:tblW w:w="7238" w:type="dxa"/>
        <w:tblInd w:w="1075" w:type="dxa"/>
        <w:tblLook w:val="04A0" w:firstRow="1" w:lastRow="0" w:firstColumn="1" w:lastColumn="0" w:noHBand="0" w:noVBand="1"/>
      </w:tblPr>
      <w:tblGrid>
        <w:gridCol w:w="5232"/>
        <w:gridCol w:w="2006"/>
      </w:tblGrid>
      <w:tr w:rsidR="0087134D" w:rsidRPr="006B7E7B" w14:paraId="0880574D" w14:textId="77777777" w:rsidTr="00383BAD">
        <w:trPr>
          <w:trHeight w:val="675"/>
        </w:trPr>
        <w:tc>
          <w:tcPr>
            <w:tcW w:w="5232" w:type="dxa"/>
            <w:vMerge w:val="restart"/>
            <w:tcBorders>
              <w:top w:val="single" w:sz="4" w:space="0" w:color="4F81BD"/>
              <w:left w:val="single" w:sz="4" w:space="0" w:color="4F81BD"/>
              <w:bottom w:val="single" w:sz="4" w:space="0" w:color="4F81BD"/>
              <w:right w:val="single" w:sz="4" w:space="0" w:color="4F81BD"/>
            </w:tcBorders>
            <w:shd w:val="clear" w:color="auto" w:fill="4F81BD" w:themeFill="accent1"/>
            <w:vAlign w:val="center"/>
            <w:hideMark/>
          </w:tcPr>
          <w:p w14:paraId="55460D24" w14:textId="77777777" w:rsidR="0087134D" w:rsidRPr="00A83C94" w:rsidRDefault="0087134D" w:rsidP="00383BAD">
            <w:pPr>
              <w:spacing w:before="0" w:line="240" w:lineRule="auto"/>
              <w:ind w:firstLine="0"/>
              <w:jc w:val="center"/>
              <w:rPr>
                <w:rFonts w:cs="Calibri"/>
                <w:bCs/>
                <w:color w:val="FFFFFF"/>
                <w:lang w:val="hy-AM"/>
              </w:rPr>
            </w:pPr>
            <w:r w:rsidRPr="00A83C94">
              <w:rPr>
                <w:rFonts w:cs="Calibri"/>
                <w:bCs/>
                <w:color w:val="FFFFFF"/>
                <w:lang w:val="hy-AM"/>
              </w:rPr>
              <w:t>Ռիսկի տեսակը</w:t>
            </w:r>
          </w:p>
        </w:tc>
        <w:tc>
          <w:tcPr>
            <w:tcW w:w="2006" w:type="dxa"/>
            <w:vMerge w:val="restart"/>
            <w:tcBorders>
              <w:top w:val="single" w:sz="4" w:space="0" w:color="4F81BD"/>
              <w:left w:val="single" w:sz="4" w:space="0" w:color="4F81BD"/>
              <w:bottom w:val="single" w:sz="4" w:space="0" w:color="4F81BD"/>
              <w:right w:val="single" w:sz="4" w:space="0" w:color="4F81BD"/>
            </w:tcBorders>
            <w:shd w:val="clear" w:color="auto" w:fill="4F81BD" w:themeFill="accent1"/>
            <w:vAlign w:val="center"/>
            <w:hideMark/>
          </w:tcPr>
          <w:p w14:paraId="7B7311D7" w14:textId="77777777" w:rsidR="0087134D" w:rsidRPr="00A83C94" w:rsidRDefault="0087134D" w:rsidP="00383BAD">
            <w:pPr>
              <w:spacing w:before="0" w:line="240" w:lineRule="auto"/>
              <w:ind w:firstLine="0"/>
              <w:jc w:val="center"/>
              <w:rPr>
                <w:rFonts w:cs="Calibri"/>
                <w:bCs/>
                <w:color w:val="FFFFFF"/>
                <w:lang w:val="hy-AM"/>
              </w:rPr>
            </w:pPr>
            <w:r w:rsidRPr="00A83C94">
              <w:rPr>
                <w:rFonts w:cs="Calibri"/>
                <w:bCs/>
                <w:color w:val="FFFFFF"/>
                <w:lang w:val="hy-AM"/>
              </w:rPr>
              <w:t>Ազդեցության գնահատականը, մլրդ ՀՀ դրամ</w:t>
            </w:r>
          </w:p>
        </w:tc>
      </w:tr>
      <w:tr w:rsidR="0087134D" w:rsidRPr="006B7E7B" w14:paraId="1B33583A" w14:textId="77777777" w:rsidTr="00383BAD">
        <w:trPr>
          <w:trHeight w:val="486"/>
        </w:trPr>
        <w:tc>
          <w:tcPr>
            <w:tcW w:w="5232" w:type="dxa"/>
            <w:vMerge/>
            <w:tcBorders>
              <w:top w:val="single" w:sz="4" w:space="0" w:color="4F81BD"/>
              <w:left w:val="single" w:sz="4" w:space="0" w:color="4F81BD"/>
              <w:bottom w:val="single" w:sz="4" w:space="0" w:color="4F81BD"/>
              <w:right w:val="single" w:sz="4" w:space="0" w:color="4F81BD"/>
            </w:tcBorders>
            <w:shd w:val="clear" w:color="auto" w:fill="4F81BD" w:themeFill="accent1"/>
            <w:vAlign w:val="center"/>
            <w:hideMark/>
          </w:tcPr>
          <w:p w14:paraId="3EA1D18E" w14:textId="77777777" w:rsidR="0087134D" w:rsidRPr="00A83C94" w:rsidRDefault="0087134D" w:rsidP="00383BAD">
            <w:pPr>
              <w:spacing w:before="0" w:line="240" w:lineRule="auto"/>
              <w:ind w:firstLine="0"/>
              <w:jc w:val="left"/>
              <w:rPr>
                <w:rFonts w:cs="Calibri"/>
                <w:bCs/>
                <w:color w:val="FFFFFF"/>
                <w:lang w:val="hy-AM"/>
              </w:rPr>
            </w:pPr>
          </w:p>
        </w:tc>
        <w:tc>
          <w:tcPr>
            <w:tcW w:w="2006" w:type="dxa"/>
            <w:vMerge/>
            <w:tcBorders>
              <w:top w:val="single" w:sz="4" w:space="0" w:color="4F81BD"/>
              <w:left w:val="single" w:sz="4" w:space="0" w:color="4F81BD"/>
              <w:bottom w:val="single" w:sz="4" w:space="0" w:color="4F81BD"/>
              <w:right w:val="single" w:sz="4" w:space="0" w:color="4F81BD"/>
            </w:tcBorders>
            <w:shd w:val="clear" w:color="auto" w:fill="4F81BD" w:themeFill="accent1"/>
            <w:vAlign w:val="center"/>
            <w:hideMark/>
          </w:tcPr>
          <w:p w14:paraId="60F11158" w14:textId="77777777" w:rsidR="0087134D" w:rsidRPr="00A83C94" w:rsidRDefault="0087134D" w:rsidP="00383BAD">
            <w:pPr>
              <w:spacing w:before="0" w:line="240" w:lineRule="auto"/>
              <w:ind w:firstLine="0"/>
              <w:jc w:val="left"/>
              <w:rPr>
                <w:rFonts w:cs="Calibri"/>
                <w:bCs/>
                <w:color w:val="FFFFFF"/>
                <w:lang w:val="hy-AM"/>
              </w:rPr>
            </w:pPr>
          </w:p>
        </w:tc>
      </w:tr>
      <w:tr w:rsidR="0087134D" w:rsidRPr="00A83C94" w14:paraId="008FC015" w14:textId="77777777" w:rsidTr="00383BAD">
        <w:trPr>
          <w:trHeight w:val="330"/>
        </w:trPr>
        <w:tc>
          <w:tcPr>
            <w:tcW w:w="5232" w:type="dxa"/>
            <w:tcBorders>
              <w:top w:val="nil"/>
              <w:left w:val="single" w:sz="4" w:space="0" w:color="4F81BD"/>
              <w:bottom w:val="single" w:sz="4" w:space="0" w:color="4F81BD"/>
              <w:right w:val="single" w:sz="4" w:space="0" w:color="4F81BD"/>
            </w:tcBorders>
            <w:shd w:val="clear" w:color="auto" w:fill="4F81BD" w:themeFill="accent1"/>
            <w:vAlign w:val="center"/>
            <w:hideMark/>
          </w:tcPr>
          <w:p w14:paraId="1BCC7B32" w14:textId="77777777" w:rsidR="0087134D" w:rsidRPr="00A83C94" w:rsidRDefault="0087134D" w:rsidP="00383BAD">
            <w:pPr>
              <w:spacing w:before="0" w:line="240" w:lineRule="auto"/>
              <w:ind w:firstLine="0"/>
              <w:jc w:val="center"/>
              <w:rPr>
                <w:rFonts w:ascii="Calibri" w:hAnsi="Calibri" w:cs="Calibri"/>
                <w:bCs/>
                <w:color w:val="FFFFFF"/>
                <w:lang w:val="hy-AM"/>
              </w:rPr>
            </w:pPr>
            <w:r w:rsidRPr="00A83C94">
              <w:rPr>
                <w:rFonts w:ascii="Calibri" w:hAnsi="Calibri" w:cs="Calibri"/>
                <w:bCs/>
                <w:color w:val="FFFFFF"/>
                <w:lang w:val="hy-AM"/>
              </w:rPr>
              <w:t> </w:t>
            </w:r>
          </w:p>
        </w:tc>
        <w:tc>
          <w:tcPr>
            <w:tcW w:w="2006" w:type="dxa"/>
            <w:tcBorders>
              <w:top w:val="nil"/>
              <w:left w:val="nil"/>
              <w:bottom w:val="single" w:sz="4" w:space="0" w:color="4F81BD"/>
              <w:right w:val="single" w:sz="4" w:space="0" w:color="4F81BD"/>
            </w:tcBorders>
            <w:shd w:val="clear" w:color="auto" w:fill="4F81BD" w:themeFill="accent1"/>
            <w:vAlign w:val="center"/>
            <w:hideMark/>
          </w:tcPr>
          <w:p w14:paraId="0E9EE3A4" w14:textId="77777777" w:rsidR="0087134D" w:rsidRPr="00A83C94" w:rsidRDefault="0087134D" w:rsidP="00383BAD">
            <w:pPr>
              <w:spacing w:before="0" w:line="240" w:lineRule="auto"/>
              <w:ind w:firstLine="0"/>
              <w:jc w:val="center"/>
              <w:rPr>
                <w:rFonts w:cs="Calibri"/>
                <w:bCs/>
                <w:color w:val="FFFFFF"/>
                <w:lang w:val="hy-AM"/>
              </w:rPr>
            </w:pPr>
            <w:r w:rsidRPr="00A83C94">
              <w:rPr>
                <w:rFonts w:cs="Calibri"/>
                <w:bCs/>
                <w:color w:val="FFFFFF"/>
                <w:lang w:val="hy-AM"/>
              </w:rPr>
              <w:t>2022</w:t>
            </w:r>
          </w:p>
        </w:tc>
      </w:tr>
      <w:tr w:rsidR="0087134D" w:rsidRPr="00A83C94" w14:paraId="19E046EB" w14:textId="77777777" w:rsidTr="00383BAD">
        <w:trPr>
          <w:trHeight w:val="330"/>
        </w:trPr>
        <w:tc>
          <w:tcPr>
            <w:tcW w:w="7238" w:type="dxa"/>
            <w:gridSpan w:val="2"/>
            <w:tcBorders>
              <w:top w:val="single" w:sz="4" w:space="0" w:color="4F81BD"/>
              <w:left w:val="single" w:sz="4" w:space="0" w:color="4F81BD"/>
              <w:bottom w:val="single" w:sz="4" w:space="0" w:color="4F81BD"/>
              <w:right w:val="single" w:sz="4" w:space="0" w:color="000000"/>
            </w:tcBorders>
            <w:shd w:val="clear" w:color="auto" w:fill="auto"/>
            <w:vAlign w:val="center"/>
            <w:hideMark/>
          </w:tcPr>
          <w:p w14:paraId="25C88D45" w14:textId="77777777" w:rsidR="0087134D" w:rsidRPr="00A83C94" w:rsidRDefault="0087134D" w:rsidP="00383BAD">
            <w:pPr>
              <w:spacing w:before="0" w:line="240" w:lineRule="auto"/>
              <w:ind w:firstLine="0"/>
              <w:jc w:val="center"/>
              <w:rPr>
                <w:rFonts w:cs="Calibri"/>
                <w:bCs/>
                <w:color w:val="000000"/>
                <w:lang w:val="hy-AM"/>
              </w:rPr>
            </w:pPr>
            <w:r w:rsidRPr="00A83C94">
              <w:rPr>
                <w:rFonts w:cs="Calibri"/>
                <w:bCs/>
                <w:color w:val="000000"/>
                <w:lang w:val="hy-AM"/>
              </w:rPr>
              <w:t>Ռիսկերի առանձին հանդես գալու պայմաններում</w:t>
            </w:r>
          </w:p>
        </w:tc>
      </w:tr>
      <w:tr w:rsidR="0087134D" w:rsidRPr="00A83C94" w14:paraId="6F86BC9E" w14:textId="77777777" w:rsidTr="00383BAD">
        <w:trPr>
          <w:trHeight w:val="660"/>
        </w:trPr>
        <w:tc>
          <w:tcPr>
            <w:tcW w:w="5232" w:type="dxa"/>
            <w:tcBorders>
              <w:top w:val="nil"/>
              <w:left w:val="single" w:sz="4" w:space="0" w:color="4F81BD"/>
              <w:bottom w:val="single" w:sz="4" w:space="0" w:color="4F81BD"/>
              <w:right w:val="single" w:sz="4" w:space="0" w:color="4F81BD"/>
            </w:tcBorders>
            <w:shd w:val="clear" w:color="auto" w:fill="auto"/>
            <w:vAlign w:val="center"/>
            <w:hideMark/>
          </w:tcPr>
          <w:p w14:paraId="4C0D62D9" w14:textId="77777777" w:rsidR="0087134D" w:rsidRPr="00A83C94" w:rsidRDefault="0087134D" w:rsidP="00383BAD">
            <w:pPr>
              <w:spacing w:before="0" w:line="240" w:lineRule="auto"/>
              <w:ind w:firstLine="0"/>
              <w:jc w:val="left"/>
              <w:rPr>
                <w:rFonts w:cs="Calibri"/>
                <w:b w:val="0"/>
                <w:color w:val="000000"/>
                <w:lang w:val="hy-AM"/>
              </w:rPr>
            </w:pPr>
            <w:r w:rsidRPr="00A83C94">
              <w:rPr>
                <w:rFonts w:cs="Calibri"/>
                <w:b w:val="0"/>
                <w:color w:val="000000"/>
                <w:lang w:val="hy-AM"/>
              </w:rPr>
              <w:t>1. Կանխատեսվածից 2.0 տոկոսային կետով ավելի ցածր իրական ՀՆԱ-ի աճ</w:t>
            </w:r>
          </w:p>
        </w:tc>
        <w:tc>
          <w:tcPr>
            <w:tcW w:w="2006" w:type="dxa"/>
            <w:tcBorders>
              <w:top w:val="nil"/>
              <w:left w:val="nil"/>
              <w:bottom w:val="single" w:sz="4" w:space="0" w:color="4F81BD"/>
              <w:right w:val="single" w:sz="4" w:space="0" w:color="4F81BD"/>
            </w:tcBorders>
            <w:shd w:val="clear" w:color="auto" w:fill="auto"/>
            <w:vAlign w:val="center"/>
            <w:hideMark/>
          </w:tcPr>
          <w:p w14:paraId="38960D3D"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-11.9</w:t>
            </w:r>
          </w:p>
        </w:tc>
      </w:tr>
      <w:tr w:rsidR="0087134D" w:rsidRPr="00A83C94" w14:paraId="0F252DAE" w14:textId="77777777" w:rsidTr="00383BAD">
        <w:trPr>
          <w:trHeight w:val="330"/>
        </w:trPr>
        <w:tc>
          <w:tcPr>
            <w:tcW w:w="5232" w:type="dxa"/>
            <w:tcBorders>
              <w:top w:val="nil"/>
              <w:left w:val="single" w:sz="4" w:space="0" w:color="4F81BD"/>
              <w:bottom w:val="single" w:sz="4" w:space="0" w:color="4F81BD"/>
              <w:right w:val="single" w:sz="4" w:space="0" w:color="4F81BD"/>
            </w:tcBorders>
            <w:shd w:val="clear" w:color="auto" w:fill="auto"/>
            <w:vAlign w:val="center"/>
            <w:hideMark/>
          </w:tcPr>
          <w:p w14:paraId="1EFEE2FA" w14:textId="77777777" w:rsidR="0087134D" w:rsidRPr="00A83C94" w:rsidRDefault="0087134D" w:rsidP="00383BAD">
            <w:pPr>
              <w:spacing w:before="0" w:line="240" w:lineRule="auto"/>
              <w:ind w:firstLine="0"/>
              <w:jc w:val="left"/>
              <w:rPr>
                <w:rFonts w:cs="Calibri"/>
                <w:b w:val="0"/>
                <w:color w:val="000000"/>
              </w:rPr>
            </w:pPr>
            <w:r w:rsidRPr="00A83C94">
              <w:rPr>
                <w:rFonts w:cs="Calibri"/>
                <w:b w:val="0"/>
                <w:color w:val="000000"/>
              </w:rPr>
              <w:t>2. 1.5 տոկոսային կետով ավելի ցածր գնաճի ռիսկ</w:t>
            </w:r>
          </w:p>
        </w:tc>
        <w:tc>
          <w:tcPr>
            <w:tcW w:w="2006" w:type="dxa"/>
            <w:tcBorders>
              <w:top w:val="nil"/>
              <w:left w:val="nil"/>
              <w:bottom w:val="single" w:sz="4" w:space="0" w:color="4F81BD"/>
              <w:right w:val="single" w:sz="4" w:space="0" w:color="4F81BD"/>
            </w:tcBorders>
            <w:shd w:val="clear" w:color="auto" w:fill="auto"/>
            <w:vAlign w:val="center"/>
            <w:hideMark/>
          </w:tcPr>
          <w:p w14:paraId="335641C0"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-3.4</w:t>
            </w:r>
          </w:p>
        </w:tc>
      </w:tr>
      <w:tr w:rsidR="0087134D" w:rsidRPr="00A83C94" w14:paraId="2D600A33" w14:textId="77777777" w:rsidTr="00383BAD">
        <w:trPr>
          <w:trHeight w:val="660"/>
        </w:trPr>
        <w:tc>
          <w:tcPr>
            <w:tcW w:w="5232" w:type="dxa"/>
            <w:tcBorders>
              <w:top w:val="nil"/>
              <w:left w:val="single" w:sz="4" w:space="0" w:color="4F81BD"/>
              <w:bottom w:val="nil"/>
              <w:right w:val="single" w:sz="4" w:space="0" w:color="4F81BD"/>
            </w:tcBorders>
            <w:shd w:val="clear" w:color="auto" w:fill="auto"/>
            <w:vAlign w:val="center"/>
            <w:hideMark/>
          </w:tcPr>
          <w:p w14:paraId="20563844" w14:textId="77777777" w:rsidR="0087134D" w:rsidRPr="00A83C94" w:rsidRDefault="0087134D" w:rsidP="00383BAD">
            <w:pPr>
              <w:spacing w:before="0" w:line="240" w:lineRule="auto"/>
              <w:ind w:firstLine="0"/>
              <w:jc w:val="left"/>
              <w:rPr>
                <w:rFonts w:cs="Calibri"/>
                <w:b w:val="0"/>
                <w:color w:val="000000"/>
              </w:rPr>
            </w:pPr>
            <w:r w:rsidRPr="00A83C94">
              <w:rPr>
                <w:rFonts w:cs="Calibri"/>
                <w:b w:val="0"/>
                <w:color w:val="000000"/>
              </w:rPr>
              <w:t>3. Փոխարժեքի առավելագույնը 4.0 տոկոսով արժեզրկման ռիսկ</w:t>
            </w:r>
          </w:p>
        </w:tc>
        <w:tc>
          <w:tcPr>
            <w:tcW w:w="2006" w:type="dxa"/>
            <w:tcBorders>
              <w:top w:val="nil"/>
              <w:left w:val="nil"/>
              <w:bottom w:val="nil"/>
              <w:right w:val="single" w:sz="4" w:space="0" w:color="4F81BD"/>
            </w:tcBorders>
            <w:shd w:val="clear" w:color="auto" w:fill="auto"/>
            <w:vAlign w:val="center"/>
            <w:hideMark/>
          </w:tcPr>
          <w:p w14:paraId="26B94A31"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12.2</w:t>
            </w:r>
          </w:p>
        </w:tc>
      </w:tr>
      <w:tr w:rsidR="0087134D" w:rsidRPr="00A83C94" w14:paraId="09024442" w14:textId="77777777" w:rsidTr="00383BAD">
        <w:trPr>
          <w:trHeight w:val="330"/>
        </w:trPr>
        <w:tc>
          <w:tcPr>
            <w:tcW w:w="523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58741C8B" w14:textId="77777777" w:rsidR="0087134D" w:rsidRPr="00A83C94" w:rsidRDefault="0087134D" w:rsidP="00383BAD">
            <w:pPr>
              <w:spacing w:before="0" w:line="240" w:lineRule="auto"/>
              <w:ind w:firstLine="0"/>
              <w:jc w:val="left"/>
              <w:rPr>
                <w:rFonts w:cs="Calibri"/>
                <w:b w:val="0"/>
                <w:color w:val="000000"/>
              </w:rPr>
            </w:pPr>
            <w:r w:rsidRPr="00A83C94">
              <w:rPr>
                <w:rFonts w:cs="Calibri"/>
                <w:b w:val="0"/>
                <w:color w:val="000000"/>
              </w:rPr>
              <w:t>4. Ներմուծման 11.8 տոկոսով նվազման ռիսկ</w:t>
            </w:r>
          </w:p>
        </w:tc>
        <w:tc>
          <w:tcPr>
            <w:tcW w:w="2006" w:type="dxa"/>
            <w:tcBorders>
              <w:top w:val="single" w:sz="4" w:space="0" w:color="4F81BD"/>
              <w:left w:val="nil"/>
              <w:bottom w:val="single" w:sz="4" w:space="0" w:color="4F81BD"/>
              <w:right w:val="single" w:sz="4" w:space="0" w:color="4F81BD"/>
            </w:tcBorders>
            <w:shd w:val="clear" w:color="auto" w:fill="auto"/>
            <w:vAlign w:val="center"/>
            <w:hideMark/>
          </w:tcPr>
          <w:p w14:paraId="7977EE6A"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-21.9</w:t>
            </w:r>
          </w:p>
        </w:tc>
      </w:tr>
      <w:tr w:rsidR="0087134D" w:rsidRPr="00A83C94" w14:paraId="56B47394" w14:textId="77777777" w:rsidTr="00383BAD">
        <w:trPr>
          <w:trHeight w:val="660"/>
        </w:trPr>
        <w:tc>
          <w:tcPr>
            <w:tcW w:w="5232" w:type="dxa"/>
            <w:tcBorders>
              <w:top w:val="nil"/>
              <w:left w:val="single" w:sz="4" w:space="0" w:color="4F81BD"/>
              <w:bottom w:val="single" w:sz="4" w:space="0" w:color="4F81BD"/>
              <w:right w:val="single" w:sz="4" w:space="0" w:color="4F81BD"/>
            </w:tcBorders>
            <w:shd w:val="clear" w:color="auto" w:fill="auto"/>
            <w:vAlign w:val="center"/>
            <w:hideMark/>
          </w:tcPr>
          <w:p w14:paraId="3701533F" w14:textId="77777777" w:rsidR="0087134D" w:rsidRPr="00A83C94" w:rsidRDefault="0087134D" w:rsidP="00383BAD">
            <w:pPr>
              <w:spacing w:before="0" w:line="240" w:lineRule="auto"/>
              <w:ind w:firstLine="0"/>
              <w:jc w:val="left"/>
              <w:rPr>
                <w:rFonts w:cs="Calibri"/>
                <w:bCs/>
                <w:color w:val="000000"/>
              </w:rPr>
            </w:pPr>
            <w:r w:rsidRPr="00A83C94">
              <w:rPr>
                <w:rFonts w:cs="Calibri"/>
                <w:bCs/>
                <w:color w:val="000000"/>
              </w:rPr>
              <w:t>Վերոնշյալ ռիսկերի միաժամանակյա հանդես գալու պայմաններում</w:t>
            </w:r>
          </w:p>
        </w:tc>
        <w:tc>
          <w:tcPr>
            <w:tcW w:w="2006" w:type="dxa"/>
            <w:tcBorders>
              <w:top w:val="nil"/>
              <w:left w:val="nil"/>
              <w:bottom w:val="single" w:sz="4" w:space="0" w:color="4F81BD"/>
              <w:right w:val="single" w:sz="4" w:space="0" w:color="4F81BD"/>
            </w:tcBorders>
            <w:shd w:val="clear" w:color="auto" w:fill="auto"/>
            <w:vAlign w:val="center"/>
            <w:hideMark/>
          </w:tcPr>
          <w:p w14:paraId="48E3655D" w14:textId="77777777" w:rsidR="0087134D" w:rsidRPr="00A83C94" w:rsidRDefault="0087134D" w:rsidP="00383BAD">
            <w:pPr>
              <w:spacing w:before="0" w:line="240" w:lineRule="auto"/>
              <w:ind w:firstLine="0"/>
              <w:jc w:val="center"/>
              <w:rPr>
                <w:rFonts w:cs="Calibri"/>
                <w:bCs/>
                <w:color w:val="000000"/>
              </w:rPr>
            </w:pPr>
            <w:r w:rsidRPr="00A83C94">
              <w:rPr>
                <w:rFonts w:cs="Calibri"/>
                <w:bCs/>
                <w:color w:val="000000"/>
              </w:rPr>
              <w:t>-27.0</w:t>
            </w:r>
          </w:p>
        </w:tc>
      </w:tr>
    </w:tbl>
    <w:p w14:paraId="63C2E9F4"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lastRenderedPageBreak/>
        <w:t xml:space="preserve">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2022 թվականին կկազմի շուրջ 27.0 մլրդ ՀՀ դրամ: </w:t>
      </w:r>
    </w:p>
    <w:p w14:paraId="479612C7"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14:paraId="635B2DAA" w14:textId="7E80161B" w:rsidR="0087134D" w:rsidRPr="008B1D49" w:rsidRDefault="0087134D" w:rsidP="0087134D">
      <w:pPr>
        <w:pStyle w:val="Caption"/>
        <w:rPr>
          <w:b/>
          <w:lang w:val="hy-AM"/>
        </w:rPr>
      </w:pPr>
      <w:bookmarkStart w:id="101" w:name="_Toc83928955"/>
      <w:bookmarkStart w:id="102" w:name="_Toc89428779"/>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19</w:t>
      </w:r>
      <w:r>
        <w:fldChar w:fldCharType="end"/>
      </w:r>
      <w:r w:rsidRPr="008B1D49">
        <w:rPr>
          <w:noProof/>
          <w:lang w:val="hy-AM"/>
        </w:rPr>
        <w:t>.</w:t>
      </w:r>
      <w:r w:rsidRPr="008B1D49">
        <w:rPr>
          <w:lang w:val="hy-AM"/>
        </w:rPr>
        <w:t xml:space="preserve"> </w:t>
      </w:r>
      <w:r w:rsidRPr="008B1D49">
        <w:rPr>
          <w:sz w:val="20"/>
          <w:szCs w:val="20"/>
          <w:lang w:val="hy-AM"/>
        </w:rPr>
        <w:t>Հարկային եկամուտների զգայունությունը հիմնական տնտեսական գործոնների նկատմամբ, տոկոս</w:t>
      </w:r>
      <w:bookmarkEnd w:id="101"/>
      <w:bookmarkEnd w:id="102"/>
    </w:p>
    <w:tbl>
      <w:tblPr>
        <w:tblW w:w="9198"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A0" w:firstRow="1" w:lastRow="0" w:firstColumn="1" w:lastColumn="0" w:noHBand="0" w:noVBand="0"/>
      </w:tblPr>
      <w:tblGrid>
        <w:gridCol w:w="3659"/>
        <w:gridCol w:w="1398"/>
        <w:gridCol w:w="1138"/>
        <w:gridCol w:w="1435"/>
        <w:gridCol w:w="1568"/>
      </w:tblGrid>
      <w:tr w:rsidR="0087134D" w:rsidRPr="00A83C94" w14:paraId="5F38201C" w14:textId="77777777" w:rsidTr="00383BAD">
        <w:trPr>
          <w:trHeight w:val="476"/>
          <w:jc w:val="center"/>
        </w:trPr>
        <w:tc>
          <w:tcPr>
            <w:tcW w:w="3659" w:type="dxa"/>
            <w:shd w:val="clear" w:color="auto" w:fill="4F81BD" w:themeFill="accent1"/>
            <w:noWrap/>
            <w:vAlign w:val="bottom"/>
            <w:hideMark/>
          </w:tcPr>
          <w:p w14:paraId="3BF3B6A3" w14:textId="77777777" w:rsidR="0087134D" w:rsidRPr="00A83C94" w:rsidRDefault="0087134D" w:rsidP="00383BAD">
            <w:pPr>
              <w:spacing w:before="0" w:line="240" w:lineRule="auto"/>
              <w:ind w:firstLine="0"/>
              <w:rPr>
                <w:b w:val="0"/>
                <w:color w:val="FFFFFF" w:themeColor="background1"/>
                <w:lang w:val="hy-AM"/>
              </w:rPr>
            </w:pPr>
            <w:r w:rsidRPr="00A83C94">
              <w:rPr>
                <w:rFonts w:ascii="Calibri" w:hAnsi="Calibri" w:cs="Calibri"/>
                <w:b w:val="0"/>
                <w:color w:val="FFFFFF" w:themeColor="background1"/>
                <w:lang w:val="hy-AM"/>
              </w:rPr>
              <w:t> </w:t>
            </w:r>
          </w:p>
        </w:tc>
        <w:tc>
          <w:tcPr>
            <w:tcW w:w="1398" w:type="dxa"/>
            <w:shd w:val="clear" w:color="auto" w:fill="4F81BD" w:themeFill="accent1"/>
            <w:noWrap/>
            <w:vAlign w:val="bottom"/>
            <w:hideMark/>
          </w:tcPr>
          <w:p w14:paraId="0FB269ED" w14:textId="77777777" w:rsidR="0087134D" w:rsidRPr="00A83C94" w:rsidRDefault="0087134D" w:rsidP="00383BAD">
            <w:pPr>
              <w:spacing w:before="0" w:line="240" w:lineRule="auto"/>
              <w:ind w:firstLine="0"/>
              <w:jc w:val="center"/>
              <w:rPr>
                <w:b w:val="0"/>
                <w:color w:val="FFFFFF" w:themeColor="background1"/>
                <w:lang w:val="hy-AM"/>
              </w:rPr>
            </w:pPr>
            <w:r w:rsidRPr="00A83C94">
              <w:rPr>
                <w:rFonts w:cs="Sylfaen"/>
                <w:b w:val="0"/>
                <w:color w:val="FFFFFF" w:themeColor="background1"/>
                <w:lang w:val="hy-AM"/>
              </w:rPr>
              <w:t>ՀՆԱ</w:t>
            </w:r>
          </w:p>
        </w:tc>
        <w:tc>
          <w:tcPr>
            <w:tcW w:w="1138" w:type="dxa"/>
            <w:shd w:val="clear" w:color="auto" w:fill="4F81BD" w:themeFill="accent1"/>
            <w:noWrap/>
            <w:vAlign w:val="bottom"/>
            <w:hideMark/>
          </w:tcPr>
          <w:p w14:paraId="4A96735A" w14:textId="77777777" w:rsidR="0087134D" w:rsidRPr="00A83C94" w:rsidRDefault="0087134D" w:rsidP="00383BAD">
            <w:pPr>
              <w:spacing w:before="0" w:line="240" w:lineRule="auto"/>
              <w:ind w:firstLine="0"/>
              <w:jc w:val="center"/>
              <w:rPr>
                <w:b w:val="0"/>
                <w:color w:val="FFFFFF" w:themeColor="background1"/>
                <w:lang w:val="hy-AM"/>
              </w:rPr>
            </w:pPr>
            <w:r w:rsidRPr="00A83C94">
              <w:rPr>
                <w:rFonts w:cs="Sylfaen"/>
                <w:b w:val="0"/>
                <w:color w:val="FFFFFF" w:themeColor="background1"/>
                <w:lang w:val="hy-AM"/>
              </w:rPr>
              <w:t>Գնաճ</w:t>
            </w:r>
          </w:p>
        </w:tc>
        <w:tc>
          <w:tcPr>
            <w:tcW w:w="1435" w:type="dxa"/>
            <w:shd w:val="clear" w:color="auto" w:fill="4F81BD" w:themeFill="accent1"/>
            <w:noWrap/>
            <w:vAlign w:val="bottom"/>
            <w:hideMark/>
          </w:tcPr>
          <w:p w14:paraId="08D41DC3" w14:textId="77777777" w:rsidR="0087134D" w:rsidRPr="00A83C94" w:rsidRDefault="0087134D" w:rsidP="00383BAD">
            <w:pPr>
              <w:spacing w:before="0" w:line="240" w:lineRule="auto"/>
              <w:ind w:firstLine="0"/>
              <w:jc w:val="center"/>
              <w:rPr>
                <w:b w:val="0"/>
                <w:color w:val="FFFFFF" w:themeColor="background1"/>
                <w:lang w:val="hy-AM"/>
              </w:rPr>
            </w:pPr>
            <w:r w:rsidRPr="00A83C94">
              <w:rPr>
                <w:rFonts w:cs="Sylfaen"/>
                <w:b w:val="0"/>
                <w:color w:val="FFFFFF" w:themeColor="background1"/>
                <w:lang w:val="hy-AM"/>
              </w:rPr>
              <w:t>Փոխարժեք</w:t>
            </w:r>
          </w:p>
        </w:tc>
        <w:tc>
          <w:tcPr>
            <w:tcW w:w="1568" w:type="dxa"/>
            <w:shd w:val="clear" w:color="auto" w:fill="4F81BD" w:themeFill="accent1"/>
            <w:noWrap/>
            <w:vAlign w:val="bottom"/>
            <w:hideMark/>
          </w:tcPr>
          <w:p w14:paraId="4C86820E" w14:textId="77777777" w:rsidR="0087134D" w:rsidRPr="00A83C94" w:rsidRDefault="0087134D" w:rsidP="00383BAD">
            <w:pPr>
              <w:spacing w:before="0" w:line="240" w:lineRule="auto"/>
              <w:ind w:firstLine="0"/>
              <w:jc w:val="center"/>
              <w:rPr>
                <w:b w:val="0"/>
                <w:color w:val="FFFFFF" w:themeColor="background1"/>
                <w:lang w:val="hy-AM"/>
              </w:rPr>
            </w:pPr>
            <w:r w:rsidRPr="00A83C94">
              <w:rPr>
                <w:rFonts w:cs="Sylfaen"/>
                <w:b w:val="0"/>
                <w:color w:val="FFFFFF" w:themeColor="background1"/>
                <w:lang w:val="hy-AM"/>
              </w:rPr>
              <w:t>Ներմուծ</w:t>
            </w:r>
            <w:r w:rsidRPr="00A83C94">
              <w:rPr>
                <w:b w:val="0"/>
                <w:color w:val="FFFFFF" w:themeColor="background1"/>
                <w:lang w:val="hy-AM"/>
              </w:rPr>
              <w:t>ում</w:t>
            </w:r>
          </w:p>
        </w:tc>
      </w:tr>
      <w:tr w:rsidR="0087134D" w:rsidRPr="00A83C94" w14:paraId="1914A0FB" w14:textId="77777777" w:rsidTr="00383BAD">
        <w:trPr>
          <w:trHeight w:val="476"/>
          <w:jc w:val="center"/>
        </w:trPr>
        <w:tc>
          <w:tcPr>
            <w:tcW w:w="3659" w:type="dxa"/>
            <w:noWrap/>
            <w:vAlign w:val="bottom"/>
            <w:hideMark/>
          </w:tcPr>
          <w:p w14:paraId="0734C7E3" w14:textId="77777777" w:rsidR="0087134D" w:rsidRPr="00A83C94" w:rsidRDefault="0087134D" w:rsidP="00383BAD">
            <w:pPr>
              <w:spacing w:before="0" w:line="240" w:lineRule="auto"/>
              <w:ind w:firstLine="0"/>
              <w:rPr>
                <w:b w:val="0"/>
                <w:lang w:val="hy-AM"/>
              </w:rPr>
            </w:pPr>
            <w:r w:rsidRPr="00A83C94">
              <w:rPr>
                <w:rFonts w:cs="Sylfaen"/>
                <w:b w:val="0"/>
                <w:lang w:val="hy-AM"/>
              </w:rPr>
              <w:t>Միջին տարեկան ազդեցություն</w:t>
            </w:r>
          </w:p>
        </w:tc>
        <w:tc>
          <w:tcPr>
            <w:tcW w:w="1398" w:type="dxa"/>
            <w:noWrap/>
            <w:vAlign w:val="center"/>
            <w:hideMark/>
          </w:tcPr>
          <w:p w14:paraId="0EE510A8" w14:textId="77777777" w:rsidR="0087134D" w:rsidRPr="00A83C94" w:rsidRDefault="0087134D" w:rsidP="00383BAD">
            <w:pPr>
              <w:spacing w:before="0" w:line="240" w:lineRule="auto"/>
              <w:ind w:firstLine="0"/>
              <w:jc w:val="right"/>
              <w:rPr>
                <w:rFonts w:cs="Calibri"/>
                <w:b w:val="0"/>
                <w:lang w:val="hy-AM"/>
              </w:rPr>
            </w:pPr>
            <w:r w:rsidRPr="00A83C94">
              <w:rPr>
                <w:b w:val="0"/>
                <w:lang w:val="hy-AM"/>
              </w:rPr>
              <w:t>0.22</w:t>
            </w:r>
          </w:p>
        </w:tc>
        <w:tc>
          <w:tcPr>
            <w:tcW w:w="1138" w:type="dxa"/>
            <w:noWrap/>
            <w:vAlign w:val="center"/>
            <w:hideMark/>
          </w:tcPr>
          <w:p w14:paraId="04BCB18F" w14:textId="77777777" w:rsidR="0087134D" w:rsidRPr="00A83C94" w:rsidRDefault="0087134D" w:rsidP="00383BAD">
            <w:pPr>
              <w:spacing w:before="0" w:line="240" w:lineRule="auto"/>
              <w:ind w:firstLine="0"/>
              <w:jc w:val="right"/>
              <w:rPr>
                <w:rFonts w:cs="Calibri"/>
                <w:b w:val="0"/>
                <w:lang w:val="hy-AM"/>
              </w:rPr>
            </w:pPr>
            <w:r w:rsidRPr="00A83C94">
              <w:rPr>
                <w:b w:val="0"/>
                <w:lang w:val="hy-AM"/>
              </w:rPr>
              <w:t>0.11</w:t>
            </w:r>
          </w:p>
        </w:tc>
        <w:tc>
          <w:tcPr>
            <w:tcW w:w="1435" w:type="dxa"/>
            <w:noWrap/>
            <w:vAlign w:val="center"/>
            <w:hideMark/>
          </w:tcPr>
          <w:p w14:paraId="55F47B16" w14:textId="77777777" w:rsidR="0087134D" w:rsidRPr="00A83C94" w:rsidRDefault="0087134D" w:rsidP="00383BAD">
            <w:pPr>
              <w:spacing w:before="0" w:line="240" w:lineRule="auto"/>
              <w:ind w:firstLine="0"/>
              <w:jc w:val="right"/>
              <w:rPr>
                <w:rFonts w:cs="Calibri"/>
                <w:b w:val="0"/>
                <w:lang w:val="hy-AM"/>
              </w:rPr>
            </w:pPr>
            <w:r w:rsidRPr="00A83C94">
              <w:rPr>
                <w:b w:val="0"/>
                <w:lang w:val="hy-AM"/>
              </w:rPr>
              <w:t>0.16</w:t>
            </w:r>
          </w:p>
        </w:tc>
        <w:tc>
          <w:tcPr>
            <w:tcW w:w="1568" w:type="dxa"/>
            <w:noWrap/>
            <w:vAlign w:val="center"/>
            <w:hideMark/>
          </w:tcPr>
          <w:p w14:paraId="1F22E76A" w14:textId="77777777" w:rsidR="0087134D" w:rsidRPr="00A83C94" w:rsidRDefault="0087134D" w:rsidP="00383BAD">
            <w:pPr>
              <w:spacing w:before="0" w:line="240" w:lineRule="auto"/>
              <w:ind w:firstLine="0"/>
              <w:jc w:val="right"/>
              <w:rPr>
                <w:rFonts w:cs="Calibri"/>
                <w:b w:val="0"/>
                <w:lang w:val="hy-AM"/>
              </w:rPr>
            </w:pPr>
            <w:r w:rsidRPr="00A83C94">
              <w:rPr>
                <w:b w:val="0"/>
                <w:lang w:val="hy-AM"/>
              </w:rPr>
              <w:t>0.06</w:t>
            </w:r>
          </w:p>
        </w:tc>
      </w:tr>
    </w:tbl>
    <w:p w14:paraId="47707DFF"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Ինչպես երևում է աղյուսակից, հարկերի հավաքագրման առումով առավել էական գործոններ են հանդիսանում ՀՆԱ-ի և փոխարժեքի փոփոխությունները:</w:t>
      </w:r>
    </w:p>
    <w:p w14:paraId="419E7E0C"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Հարկային եկամուտների կանխատեսումների հետ կապված անորոշությունների և ռիսկերի հաշվեկշռի վերաբերյալ գնահատականներն իրենց արտացոլումն են գտել ստորև ներկայացվող հարկային եկամուտների հավանականային բաշխման գծապատկերում և համապատասխան աղյուսակում (տես` Գծապատկեր 2.1 և Աղյուսակ 20)</w:t>
      </w:r>
      <w:r w:rsidRPr="00A83C94">
        <w:rPr>
          <w:rStyle w:val="FootnoteReference"/>
          <w:rFonts w:cs="Sylfaen"/>
          <w:b w:val="0"/>
          <w:lang w:val="hy-AM"/>
        </w:rPr>
        <w:footnoteReference w:id="23"/>
      </w:r>
      <w:r w:rsidRPr="00A83C94">
        <w:rPr>
          <w:rFonts w:cs="Sylfaen"/>
          <w:b w:val="0"/>
          <w:lang w:val="hy-AM"/>
        </w:rPr>
        <w:t>: Հավանականային բաշխման գրաֆիկի կառուցման ժամանակ օգտագործվել է աղյուսակ 18-ում գնահատված ամբողջական ռիսկերի միաժամանակյա հանդես գալու պայմաններում ի հայտ եկող բացասական ռիսկերը:</w:t>
      </w:r>
    </w:p>
    <w:p w14:paraId="7856671A" w14:textId="77777777" w:rsidR="0087134D" w:rsidRPr="00A83C94" w:rsidRDefault="0087134D" w:rsidP="0087134D">
      <w:pPr>
        <w:pStyle w:val="Caption"/>
        <w:spacing w:before="0" w:after="0"/>
        <w:rPr>
          <w:rFonts w:eastAsia="Calibri"/>
          <w:i/>
          <w:sz w:val="20"/>
          <w:szCs w:val="20"/>
          <w:lang w:val="hy-AM" w:eastAsia="en-US"/>
        </w:rPr>
      </w:pPr>
      <w:r w:rsidRPr="00A83C94">
        <w:rPr>
          <w:rFonts w:eastAsia="Calibri"/>
          <w:i/>
          <w:sz w:val="20"/>
          <w:szCs w:val="20"/>
          <w:lang w:val="hy-AM" w:eastAsia="en-US"/>
        </w:rPr>
        <w:t>Գծապատկեր 2.1. Հարկային եկամուտների տարեկան աճի տեմպերի կանխատեսումների հավանականային բաշխումը</w:t>
      </w:r>
      <w:r w:rsidRPr="00A83C94">
        <w:rPr>
          <w:rFonts w:eastAsia="Calibri"/>
          <w:i/>
          <w:sz w:val="20"/>
          <w:szCs w:val="20"/>
          <w:vertAlign w:val="superscript"/>
          <w:lang w:val="hy-AM" w:eastAsia="en-US"/>
        </w:rPr>
        <w:footnoteReference w:id="24"/>
      </w:r>
      <w:r w:rsidRPr="00A83C94">
        <w:rPr>
          <w:rFonts w:eastAsia="Calibri"/>
          <w:i/>
          <w:sz w:val="20"/>
          <w:szCs w:val="20"/>
          <w:lang w:val="hy-AM" w:eastAsia="en-US"/>
        </w:rPr>
        <w:t>, տոկոս</w:t>
      </w:r>
    </w:p>
    <w:p w14:paraId="25BE3AFF" w14:textId="77777777" w:rsidR="0087134D" w:rsidRPr="00A83C94" w:rsidRDefault="0087134D" w:rsidP="0087134D">
      <w:pPr>
        <w:tabs>
          <w:tab w:val="left" w:pos="90"/>
        </w:tabs>
        <w:spacing w:after="120" w:line="276" w:lineRule="auto"/>
        <w:ind w:firstLine="0"/>
        <w:jc w:val="center"/>
        <w:rPr>
          <w:b w:val="0"/>
          <w:i/>
          <w:u w:val="single"/>
          <w:lang w:val="hy-AM"/>
        </w:rPr>
      </w:pPr>
      <w:r w:rsidRPr="00A83C94">
        <w:rPr>
          <w:b w:val="0"/>
          <w:noProof/>
          <w:lang w:val="en-US" w:eastAsia="en-US"/>
        </w:rPr>
        <w:lastRenderedPageBreak/>
        <w:drawing>
          <wp:inline distT="0" distB="0" distL="0" distR="0" wp14:anchorId="74548891" wp14:editId="6A081ADC">
            <wp:extent cx="5572125" cy="2743200"/>
            <wp:effectExtent l="0" t="0" r="9525" b="0"/>
            <wp:docPr id="92" name="Chart 92">
              <a:extLst xmlns:a="http://schemas.openxmlformats.org/drawingml/2006/main">
                <a:ext uri="{FF2B5EF4-FFF2-40B4-BE49-F238E27FC236}">
                  <a16:creationId xmlns:a16="http://schemas.microsoft.com/office/drawing/2014/main" id="{C33EB284-3769-4F70-A576-B7BB4E75C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DEA0781" w14:textId="77777777" w:rsidR="0087134D" w:rsidRPr="00A83C94" w:rsidRDefault="0087134D" w:rsidP="0087134D">
      <w:pPr>
        <w:spacing w:after="120" w:line="276" w:lineRule="auto"/>
        <w:ind w:firstLine="720"/>
        <w:rPr>
          <w:rFonts w:cs="Sylfaen"/>
          <w:b w:val="0"/>
          <w:lang w:val="hy-AM"/>
        </w:rPr>
      </w:pPr>
      <w:r w:rsidRPr="00A83C94">
        <w:rPr>
          <w:rFonts w:cs="Sylfaen"/>
          <w:b w:val="0"/>
          <w:lang w:val="hy-AM"/>
        </w:rPr>
        <w:t xml:space="preserve">Կանխատեսումների բաշխման հավանականություններն առավել պարզորոշ երևում են ստորև բերվող աղյուսակում: </w:t>
      </w:r>
    </w:p>
    <w:p w14:paraId="662EA28C" w14:textId="77777777" w:rsidR="0087134D" w:rsidRPr="00A83C94" w:rsidRDefault="0087134D" w:rsidP="0087134D">
      <w:pPr>
        <w:spacing w:after="120" w:line="276" w:lineRule="auto"/>
        <w:ind w:firstLine="720"/>
        <w:rPr>
          <w:rFonts w:cs="Sylfaen"/>
          <w:b w:val="0"/>
          <w:lang w:val="hy-AM"/>
        </w:rPr>
      </w:pPr>
    </w:p>
    <w:p w14:paraId="261EC807" w14:textId="77777777" w:rsidR="0087134D" w:rsidRPr="00A83C94" w:rsidRDefault="0087134D" w:rsidP="0087134D">
      <w:pPr>
        <w:spacing w:after="120" w:line="276" w:lineRule="auto"/>
        <w:ind w:firstLine="720"/>
        <w:rPr>
          <w:b w:val="0"/>
          <w:lang w:val="hy-AM"/>
        </w:rPr>
      </w:pPr>
    </w:p>
    <w:p w14:paraId="05EC6EFE" w14:textId="6294E4D0" w:rsidR="0087134D" w:rsidRPr="00A83C94" w:rsidRDefault="0087134D" w:rsidP="0087134D">
      <w:pPr>
        <w:pStyle w:val="Caption"/>
        <w:rPr>
          <w:rFonts w:eastAsia="Calibri"/>
          <w:i/>
          <w:sz w:val="20"/>
          <w:szCs w:val="20"/>
          <w:lang w:val="hy-AM" w:eastAsia="en-US"/>
        </w:rPr>
      </w:pPr>
      <w:bookmarkStart w:id="103" w:name="_Toc83928956"/>
      <w:bookmarkStart w:id="104" w:name="_Toc89428780"/>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20</w:t>
      </w:r>
      <w:r>
        <w:fldChar w:fldCharType="end"/>
      </w:r>
      <w:r w:rsidRPr="00A83C94">
        <w:rPr>
          <w:lang w:val="hy-AM"/>
        </w:rPr>
        <w:t>.</w:t>
      </w:r>
      <w:r w:rsidRPr="00A83C94">
        <w:rPr>
          <w:rFonts w:eastAsia="Calibri"/>
          <w:i/>
          <w:sz w:val="20"/>
          <w:szCs w:val="20"/>
          <w:lang w:val="hy-AM" w:eastAsia="en-US"/>
        </w:rPr>
        <w:t xml:space="preserve"> Հարկային եկամուտների կանխատեսումների հավանականային բաշխումը</w:t>
      </w:r>
      <w:bookmarkEnd w:id="103"/>
      <w:bookmarkEnd w:id="104"/>
    </w:p>
    <w:tbl>
      <w:tblPr>
        <w:tblW w:w="6228" w:type="dxa"/>
        <w:jc w:val="center"/>
        <w:tblLook w:val="04A0" w:firstRow="1" w:lastRow="0" w:firstColumn="1" w:lastColumn="0" w:noHBand="0" w:noVBand="1"/>
      </w:tblPr>
      <w:tblGrid>
        <w:gridCol w:w="2140"/>
        <w:gridCol w:w="1100"/>
        <w:gridCol w:w="939"/>
        <w:gridCol w:w="1026"/>
        <w:gridCol w:w="1023"/>
      </w:tblGrid>
      <w:tr w:rsidR="0087134D" w:rsidRPr="006B7E7B" w14:paraId="4FE74E8E" w14:textId="77777777" w:rsidTr="00383BAD">
        <w:trPr>
          <w:trHeight w:val="1005"/>
          <w:jc w:val="center"/>
        </w:trPr>
        <w:tc>
          <w:tcPr>
            <w:tcW w:w="2140" w:type="dxa"/>
            <w:tcBorders>
              <w:top w:val="single" w:sz="8" w:space="0" w:color="FFFFFF"/>
              <w:left w:val="single" w:sz="8" w:space="0" w:color="FFFFFF"/>
              <w:bottom w:val="single" w:sz="8" w:space="0" w:color="FFFFFF"/>
              <w:right w:val="single" w:sz="8" w:space="0" w:color="FFFFFF"/>
            </w:tcBorders>
            <w:shd w:val="clear" w:color="000000" w:fill="5B9BD5"/>
            <w:vAlign w:val="center"/>
            <w:hideMark/>
          </w:tcPr>
          <w:p w14:paraId="5A6AAD76" w14:textId="77777777" w:rsidR="0087134D" w:rsidRPr="00A83C94" w:rsidRDefault="0087134D" w:rsidP="00383BAD">
            <w:pPr>
              <w:spacing w:before="0" w:line="240" w:lineRule="auto"/>
              <w:ind w:firstLine="0"/>
              <w:jc w:val="center"/>
              <w:rPr>
                <w:rFonts w:cs="Calibri"/>
                <w:b w:val="0"/>
                <w:color w:val="FFFFFF"/>
                <w:lang w:val="hy-AM"/>
              </w:rPr>
            </w:pPr>
            <w:r w:rsidRPr="00A83C94">
              <w:rPr>
                <w:rFonts w:cs="Calibri"/>
                <w:b w:val="0"/>
                <w:color w:val="FFFFFF"/>
                <w:lang w:val="hy-AM"/>
              </w:rPr>
              <w:t>Հարկային եկամուտների աճի միջակայքը</w:t>
            </w:r>
          </w:p>
        </w:tc>
        <w:tc>
          <w:tcPr>
            <w:tcW w:w="4088" w:type="dxa"/>
            <w:gridSpan w:val="4"/>
            <w:tcBorders>
              <w:top w:val="single" w:sz="8" w:space="0" w:color="FFFFFF"/>
              <w:left w:val="nil"/>
              <w:bottom w:val="single" w:sz="8" w:space="0" w:color="FFFFFF"/>
              <w:right w:val="nil"/>
            </w:tcBorders>
            <w:shd w:val="clear" w:color="000000" w:fill="5B9BD5"/>
            <w:vAlign w:val="center"/>
            <w:hideMark/>
          </w:tcPr>
          <w:p w14:paraId="498D61A2" w14:textId="77777777" w:rsidR="0087134D" w:rsidRPr="00A83C94" w:rsidRDefault="0087134D" w:rsidP="00383BAD">
            <w:pPr>
              <w:spacing w:before="0" w:line="240" w:lineRule="auto"/>
              <w:ind w:firstLine="0"/>
              <w:jc w:val="center"/>
              <w:rPr>
                <w:rFonts w:cs="Calibri"/>
                <w:b w:val="0"/>
                <w:color w:val="FFFFFF"/>
                <w:lang w:val="hy-AM"/>
              </w:rPr>
            </w:pPr>
            <w:r w:rsidRPr="00A83C94">
              <w:rPr>
                <w:rFonts w:cs="Calibri"/>
                <w:b w:val="0"/>
                <w:color w:val="FFFFFF"/>
                <w:lang w:val="hy-AM"/>
              </w:rPr>
              <w:t>Հարկային եկամուտների աճի` տվյալ  միջակայքում ձևավորվելու հավանականությունը</w:t>
            </w:r>
          </w:p>
        </w:tc>
      </w:tr>
      <w:tr w:rsidR="0087134D" w:rsidRPr="00A83C94" w14:paraId="136CAF89" w14:textId="77777777" w:rsidTr="00383BAD">
        <w:trPr>
          <w:trHeight w:val="345"/>
          <w:jc w:val="center"/>
        </w:trPr>
        <w:tc>
          <w:tcPr>
            <w:tcW w:w="2140" w:type="dxa"/>
            <w:tcBorders>
              <w:top w:val="nil"/>
              <w:left w:val="single" w:sz="8" w:space="0" w:color="FFFFFF"/>
              <w:bottom w:val="single" w:sz="8" w:space="0" w:color="FFFFFF"/>
              <w:right w:val="single" w:sz="8" w:space="0" w:color="FFFFFF"/>
            </w:tcBorders>
            <w:shd w:val="clear" w:color="000000" w:fill="5B9BD5"/>
            <w:vAlign w:val="center"/>
            <w:hideMark/>
          </w:tcPr>
          <w:p w14:paraId="77BD7B18" w14:textId="77777777" w:rsidR="0087134D" w:rsidRPr="00A83C94" w:rsidRDefault="0087134D" w:rsidP="00383BAD">
            <w:pPr>
              <w:spacing w:before="0" w:line="240" w:lineRule="auto"/>
              <w:ind w:firstLine="0"/>
              <w:rPr>
                <w:rFonts w:ascii="Calibri" w:hAnsi="Calibri" w:cs="Calibri"/>
                <w:b w:val="0"/>
                <w:bCs/>
                <w:color w:val="FFFFFF"/>
                <w:lang w:val="hy-AM"/>
              </w:rPr>
            </w:pPr>
            <w:r w:rsidRPr="00A83C94">
              <w:rPr>
                <w:rFonts w:ascii="Calibri" w:hAnsi="Calibri" w:cs="Calibri"/>
                <w:b w:val="0"/>
                <w:bCs/>
                <w:color w:val="FFFFFF"/>
                <w:lang w:val="hy-AM"/>
              </w:rPr>
              <w:t> </w:t>
            </w:r>
          </w:p>
        </w:tc>
        <w:tc>
          <w:tcPr>
            <w:tcW w:w="1100" w:type="dxa"/>
            <w:tcBorders>
              <w:top w:val="nil"/>
              <w:left w:val="nil"/>
              <w:bottom w:val="single" w:sz="8" w:space="0" w:color="FFFFFF"/>
              <w:right w:val="single" w:sz="8" w:space="0" w:color="FFFFFF"/>
            </w:tcBorders>
            <w:shd w:val="clear" w:color="000000" w:fill="5B9BD5"/>
            <w:noWrap/>
            <w:vAlign w:val="center"/>
            <w:hideMark/>
          </w:tcPr>
          <w:p w14:paraId="3B283BEF" w14:textId="77777777" w:rsidR="0087134D" w:rsidRPr="00A83C94" w:rsidRDefault="0087134D" w:rsidP="00383BAD">
            <w:pPr>
              <w:spacing w:before="0" w:line="240" w:lineRule="auto"/>
              <w:ind w:firstLine="0"/>
              <w:jc w:val="center"/>
              <w:rPr>
                <w:rFonts w:cs="Calibri"/>
                <w:b w:val="0"/>
                <w:bCs/>
                <w:color w:val="FFFFFF"/>
                <w:lang w:val="hy-AM"/>
              </w:rPr>
            </w:pPr>
            <w:r w:rsidRPr="00A83C94">
              <w:rPr>
                <w:rFonts w:cs="Calibri"/>
                <w:b w:val="0"/>
                <w:bCs/>
                <w:color w:val="FFFFFF"/>
                <w:lang w:val="hy-AM"/>
              </w:rPr>
              <w:t>2022-I</w:t>
            </w:r>
          </w:p>
        </w:tc>
        <w:tc>
          <w:tcPr>
            <w:tcW w:w="939" w:type="dxa"/>
            <w:tcBorders>
              <w:top w:val="nil"/>
              <w:left w:val="nil"/>
              <w:bottom w:val="single" w:sz="8" w:space="0" w:color="FFFFFF"/>
              <w:right w:val="single" w:sz="8" w:space="0" w:color="FFFFFF"/>
            </w:tcBorders>
            <w:shd w:val="clear" w:color="000000" w:fill="5B9BD5"/>
            <w:noWrap/>
            <w:vAlign w:val="center"/>
            <w:hideMark/>
          </w:tcPr>
          <w:p w14:paraId="11900F2D" w14:textId="77777777" w:rsidR="0087134D" w:rsidRPr="00A83C94" w:rsidRDefault="0087134D" w:rsidP="00383BAD">
            <w:pPr>
              <w:spacing w:before="0" w:line="240" w:lineRule="auto"/>
              <w:ind w:firstLine="0"/>
              <w:jc w:val="center"/>
              <w:rPr>
                <w:rFonts w:cs="Calibri"/>
                <w:b w:val="0"/>
                <w:bCs/>
                <w:color w:val="FFFFFF"/>
                <w:lang w:val="hy-AM"/>
              </w:rPr>
            </w:pPr>
            <w:r w:rsidRPr="00A83C94">
              <w:rPr>
                <w:rFonts w:cs="Calibri"/>
                <w:b w:val="0"/>
                <w:bCs/>
                <w:color w:val="FFFFFF"/>
                <w:lang w:val="hy-AM"/>
              </w:rPr>
              <w:t>2022-II</w:t>
            </w:r>
          </w:p>
        </w:tc>
        <w:tc>
          <w:tcPr>
            <w:tcW w:w="1026" w:type="dxa"/>
            <w:tcBorders>
              <w:top w:val="nil"/>
              <w:left w:val="nil"/>
              <w:bottom w:val="single" w:sz="8" w:space="0" w:color="FFFFFF"/>
              <w:right w:val="single" w:sz="8" w:space="0" w:color="FFFFFF"/>
            </w:tcBorders>
            <w:shd w:val="clear" w:color="000000" w:fill="5B9BD5"/>
            <w:noWrap/>
            <w:vAlign w:val="center"/>
            <w:hideMark/>
          </w:tcPr>
          <w:p w14:paraId="5EA2F289" w14:textId="77777777" w:rsidR="0087134D" w:rsidRPr="00A83C94" w:rsidRDefault="0087134D" w:rsidP="00383BAD">
            <w:pPr>
              <w:spacing w:before="0" w:line="240" w:lineRule="auto"/>
              <w:ind w:firstLine="0"/>
              <w:jc w:val="center"/>
              <w:rPr>
                <w:rFonts w:cs="Calibri"/>
                <w:b w:val="0"/>
                <w:bCs/>
                <w:color w:val="FFFFFF"/>
              </w:rPr>
            </w:pPr>
            <w:r w:rsidRPr="00A83C94">
              <w:rPr>
                <w:rFonts w:cs="Calibri"/>
                <w:b w:val="0"/>
                <w:bCs/>
                <w:color w:val="FFFFFF"/>
              </w:rPr>
              <w:t>2022-III</w:t>
            </w:r>
          </w:p>
        </w:tc>
        <w:tc>
          <w:tcPr>
            <w:tcW w:w="1021" w:type="dxa"/>
            <w:tcBorders>
              <w:top w:val="nil"/>
              <w:left w:val="nil"/>
              <w:bottom w:val="single" w:sz="8" w:space="0" w:color="FFFFFF"/>
              <w:right w:val="single" w:sz="8" w:space="0" w:color="FFFFFF"/>
            </w:tcBorders>
            <w:shd w:val="clear" w:color="000000" w:fill="5B9BD5"/>
            <w:noWrap/>
            <w:vAlign w:val="center"/>
            <w:hideMark/>
          </w:tcPr>
          <w:p w14:paraId="2C3F4CA9" w14:textId="77777777" w:rsidR="0087134D" w:rsidRPr="00A83C94" w:rsidRDefault="0087134D" w:rsidP="00383BAD">
            <w:pPr>
              <w:spacing w:before="0" w:line="240" w:lineRule="auto"/>
              <w:ind w:firstLine="0"/>
              <w:jc w:val="center"/>
              <w:rPr>
                <w:rFonts w:cs="Calibri"/>
                <w:b w:val="0"/>
                <w:bCs/>
                <w:color w:val="FFFFFF"/>
              </w:rPr>
            </w:pPr>
            <w:r w:rsidRPr="00A83C94">
              <w:rPr>
                <w:rFonts w:cs="Calibri"/>
                <w:b w:val="0"/>
                <w:bCs/>
                <w:color w:val="FFFFFF"/>
              </w:rPr>
              <w:t>2022-IV</w:t>
            </w:r>
          </w:p>
        </w:tc>
      </w:tr>
      <w:tr w:rsidR="0087134D" w:rsidRPr="00A83C94" w14:paraId="569B43E3" w14:textId="77777777" w:rsidTr="00383BAD">
        <w:trPr>
          <w:trHeight w:val="345"/>
          <w:jc w:val="center"/>
        </w:trPr>
        <w:tc>
          <w:tcPr>
            <w:tcW w:w="2140" w:type="dxa"/>
            <w:tcBorders>
              <w:top w:val="nil"/>
              <w:left w:val="single" w:sz="8" w:space="0" w:color="5B9BD5"/>
              <w:bottom w:val="single" w:sz="8" w:space="0" w:color="5B9BD5"/>
              <w:right w:val="single" w:sz="8" w:space="0" w:color="5B9BD5"/>
            </w:tcBorders>
            <w:shd w:val="clear" w:color="auto" w:fill="auto"/>
            <w:noWrap/>
            <w:vAlign w:val="center"/>
            <w:hideMark/>
          </w:tcPr>
          <w:p w14:paraId="4B96E0D4" w14:textId="77777777" w:rsidR="0087134D" w:rsidRPr="00A83C94" w:rsidRDefault="0087134D" w:rsidP="00383BAD">
            <w:pPr>
              <w:spacing w:before="0" w:line="240" w:lineRule="auto"/>
              <w:ind w:firstLine="0"/>
              <w:jc w:val="center"/>
              <w:rPr>
                <w:rFonts w:cs="Calibri"/>
                <w:bCs/>
                <w:color w:val="000000"/>
              </w:rPr>
            </w:pPr>
            <w:r w:rsidRPr="00A83C94">
              <w:rPr>
                <w:rFonts w:cs="Calibri"/>
                <w:bCs/>
                <w:color w:val="000000"/>
              </w:rPr>
              <w:t>8-12 տոկոս</w:t>
            </w:r>
          </w:p>
        </w:tc>
        <w:tc>
          <w:tcPr>
            <w:tcW w:w="1100" w:type="dxa"/>
            <w:tcBorders>
              <w:top w:val="nil"/>
              <w:left w:val="nil"/>
              <w:bottom w:val="single" w:sz="8" w:space="0" w:color="5B9BD5"/>
              <w:right w:val="single" w:sz="8" w:space="0" w:color="5B9BD5"/>
            </w:tcBorders>
            <w:shd w:val="clear" w:color="auto" w:fill="auto"/>
            <w:noWrap/>
            <w:vAlign w:val="center"/>
            <w:hideMark/>
          </w:tcPr>
          <w:p w14:paraId="763BF87C"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0.02</w:t>
            </w:r>
          </w:p>
        </w:tc>
        <w:tc>
          <w:tcPr>
            <w:tcW w:w="939" w:type="dxa"/>
            <w:tcBorders>
              <w:top w:val="nil"/>
              <w:left w:val="nil"/>
              <w:bottom w:val="single" w:sz="8" w:space="0" w:color="5B9BD5"/>
              <w:right w:val="single" w:sz="8" w:space="0" w:color="5B9BD5"/>
            </w:tcBorders>
            <w:shd w:val="clear" w:color="auto" w:fill="auto"/>
            <w:noWrap/>
            <w:vAlign w:val="center"/>
            <w:hideMark/>
          </w:tcPr>
          <w:p w14:paraId="75B89438"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0.04</w:t>
            </w:r>
          </w:p>
        </w:tc>
        <w:tc>
          <w:tcPr>
            <w:tcW w:w="1026" w:type="dxa"/>
            <w:tcBorders>
              <w:top w:val="nil"/>
              <w:left w:val="nil"/>
              <w:bottom w:val="single" w:sz="8" w:space="0" w:color="5B9BD5"/>
              <w:right w:val="single" w:sz="8" w:space="0" w:color="5B9BD5"/>
            </w:tcBorders>
            <w:shd w:val="clear" w:color="auto" w:fill="auto"/>
            <w:noWrap/>
            <w:vAlign w:val="center"/>
            <w:hideMark/>
          </w:tcPr>
          <w:p w14:paraId="451B2D31"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0.07</w:t>
            </w:r>
          </w:p>
        </w:tc>
        <w:tc>
          <w:tcPr>
            <w:tcW w:w="1021" w:type="dxa"/>
            <w:tcBorders>
              <w:top w:val="nil"/>
              <w:left w:val="nil"/>
              <w:bottom w:val="single" w:sz="8" w:space="0" w:color="5B9BD5"/>
              <w:right w:val="single" w:sz="8" w:space="0" w:color="5B9BD5"/>
            </w:tcBorders>
            <w:shd w:val="clear" w:color="auto" w:fill="auto"/>
            <w:noWrap/>
            <w:vAlign w:val="center"/>
            <w:hideMark/>
          </w:tcPr>
          <w:p w14:paraId="3EA18C97"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0.14</w:t>
            </w:r>
          </w:p>
        </w:tc>
      </w:tr>
      <w:tr w:rsidR="0087134D" w:rsidRPr="00A83C94" w14:paraId="0C90B8DD" w14:textId="77777777" w:rsidTr="00383BAD">
        <w:trPr>
          <w:trHeight w:val="345"/>
          <w:jc w:val="center"/>
        </w:trPr>
        <w:tc>
          <w:tcPr>
            <w:tcW w:w="2140" w:type="dxa"/>
            <w:tcBorders>
              <w:top w:val="nil"/>
              <w:left w:val="single" w:sz="8" w:space="0" w:color="5B9BD5"/>
              <w:bottom w:val="single" w:sz="8" w:space="0" w:color="5B9BD5"/>
              <w:right w:val="single" w:sz="8" w:space="0" w:color="5B9BD5"/>
            </w:tcBorders>
            <w:shd w:val="clear" w:color="auto" w:fill="auto"/>
            <w:noWrap/>
            <w:vAlign w:val="center"/>
            <w:hideMark/>
          </w:tcPr>
          <w:p w14:paraId="1D883CCD" w14:textId="77777777" w:rsidR="0087134D" w:rsidRPr="00A83C94" w:rsidRDefault="0087134D" w:rsidP="00383BAD">
            <w:pPr>
              <w:spacing w:before="0" w:line="240" w:lineRule="auto"/>
              <w:ind w:firstLine="0"/>
              <w:jc w:val="center"/>
              <w:rPr>
                <w:rFonts w:cs="Calibri"/>
                <w:bCs/>
                <w:color w:val="000000"/>
              </w:rPr>
            </w:pPr>
            <w:r w:rsidRPr="00A83C94">
              <w:rPr>
                <w:rFonts w:cs="Calibri"/>
                <w:bCs/>
                <w:color w:val="000000"/>
              </w:rPr>
              <w:t>12-16 տոկոս</w:t>
            </w:r>
          </w:p>
        </w:tc>
        <w:tc>
          <w:tcPr>
            <w:tcW w:w="1100" w:type="dxa"/>
            <w:tcBorders>
              <w:top w:val="nil"/>
              <w:left w:val="nil"/>
              <w:bottom w:val="single" w:sz="8" w:space="0" w:color="5B9BD5"/>
              <w:right w:val="single" w:sz="8" w:space="0" w:color="5B9BD5"/>
            </w:tcBorders>
            <w:shd w:val="clear" w:color="auto" w:fill="auto"/>
            <w:noWrap/>
            <w:vAlign w:val="center"/>
            <w:hideMark/>
          </w:tcPr>
          <w:p w14:paraId="0E913614"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0.17</w:t>
            </w:r>
          </w:p>
        </w:tc>
        <w:tc>
          <w:tcPr>
            <w:tcW w:w="939" w:type="dxa"/>
            <w:tcBorders>
              <w:top w:val="nil"/>
              <w:left w:val="nil"/>
              <w:bottom w:val="single" w:sz="8" w:space="0" w:color="5B9BD5"/>
              <w:right w:val="single" w:sz="8" w:space="0" w:color="5B9BD5"/>
            </w:tcBorders>
            <w:shd w:val="clear" w:color="auto" w:fill="auto"/>
            <w:noWrap/>
            <w:vAlign w:val="center"/>
            <w:hideMark/>
          </w:tcPr>
          <w:p w14:paraId="73D45A2E"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0.26</w:t>
            </w:r>
          </w:p>
        </w:tc>
        <w:tc>
          <w:tcPr>
            <w:tcW w:w="1026" w:type="dxa"/>
            <w:tcBorders>
              <w:top w:val="nil"/>
              <w:left w:val="nil"/>
              <w:bottom w:val="single" w:sz="8" w:space="0" w:color="5B9BD5"/>
              <w:right w:val="single" w:sz="8" w:space="0" w:color="5B9BD5"/>
            </w:tcBorders>
            <w:shd w:val="clear" w:color="auto" w:fill="auto"/>
            <w:noWrap/>
            <w:vAlign w:val="center"/>
            <w:hideMark/>
          </w:tcPr>
          <w:p w14:paraId="34948A67"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0.33</w:t>
            </w:r>
          </w:p>
        </w:tc>
        <w:tc>
          <w:tcPr>
            <w:tcW w:w="1021" w:type="dxa"/>
            <w:tcBorders>
              <w:top w:val="nil"/>
              <w:left w:val="nil"/>
              <w:bottom w:val="single" w:sz="8" w:space="0" w:color="5B9BD5"/>
              <w:right w:val="single" w:sz="8" w:space="0" w:color="5B9BD5"/>
            </w:tcBorders>
            <w:shd w:val="clear" w:color="auto" w:fill="auto"/>
            <w:noWrap/>
            <w:vAlign w:val="center"/>
            <w:hideMark/>
          </w:tcPr>
          <w:p w14:paraId="418E5647" w14:textId="77777777" w:rsidR="0087134D" w:rsidRPr="00A83C94" w:rsidRDefault="0087134D" w:rsidP="00383BAD">
            <w:pPr>
              <w:spacing w:before="0" w:line="240" w:lineRule="auto"/>
              <w:ind w:firstLine="0"/>
              <w:jc w:val="center"/>
              <w:rPr>
                <w:rFonts w:cs="Calibri"/>
                <w:bCs/>
                <w:i/>
                <w:iCs/>
                <w:color w:val="000000"/>
                <w:u w:val="single"/>
              </w:rPr>
            </w:pPr>
            <w:r w:rsidRPr="00A83C94">
              <w:rPr>
                <w:rFonts w:cs="Calibri"/>
                <w:bCs/>
                <w:i/>
                <w:iCs/>
                <w:color w:val="000000"/>
                <w:u w:val="single"/>
              </w:rPr>
              <w:t>0.43</w:t>
            </w:r>
          </w:p>
        </w:tc>
      </w:tr>
      <w:tr w:rsidR="0087134D" w:rsidRPr="00A83C94" w14:paraId="4798F518" w14:textId="77777777" w:rsidTr="00383BAD">
        <w:trPr>
          <w:trHeight w:val="345"/>
          <w:jc w:val="center"/>
        </w:trPr>
        <w:tc>
          <w:tcPr>
            <w:tcW w:w="2140" w:type="dxa"/>
            <w:tcBorders>
              <w:top w:val="nil"/>
              <w:left w:val="single" w:sz="8" w:space="0" w:color="5B9BD5"/>
              <w:bottom w:val="single" w:sz="8" w:space="0" w:color="5B9BD5"/>
              <w:right w:val="single" w:sz="8" w:space="0" w:color="5B9BD5"/>
            </w:tcBorders>
            <w:shd w:val="clear" w:color="auto" w:fill="auto"/>
            <w:noWrap/>
            <w:vAlign w:val="center"/>
            <w:hideMark/>
          </w:tcPr>
          <w:p w14:paraId="2710AC4F" w14:textId="77777777" w:rsidR="0087134D" w:rsidRPr="00A83C94" w:rsidRDefault="0087134D" w:rsidP="00383BAD">
            <w:pPr>
              <w:spacing w:before="0" w:line="240" w:lineRule="auto"/>
              <w:ind w:firstLine="0"/>
              <w:jc w:val="center"/>
              <w:rPr>
                <w:rFonts w:cs="Calibri"/>
                <w:bCs/>
                <w:color w:val="000000"/>
              </w:rPr>
            </w:pPr>
            <w:r w:rsidRPr="00A83C94">
              <w:rPr>
                <w:rFonts w:cs="Calibri"/>
                <w:bCs/>
                <w:color w:val="000000"/>
              </w:rPr>
              <w:t>16-20 տոկոս</w:t>
            </w:r>
          </w:p>
        </w:tc>
        <w:tc>
          <w:tcPr>
            <w:tcW w:w="1100" w:type="dxa"/>
            <w:tcBorders>
              <w:top w:val="nil"/>
              <w:left w:val="nil"/>
              <w:bottom w:val="single" w:sz="8" w:space="0" w:color="5B9BD5"/>
              <w:right w:val="single" w:sz="8" w:space="0" w:color="5B9BD5"/>
            </w:tcBorders>
            <w:shd w:val="clear" w:color="auto" w:fill="auto"/>
            <w:noWrap/>
            <w:vAlign w:val="center"/>
            <w:hideMark/>
          </w:tcPr>
          <w:p w14:paraId="45AF2B1D" w14:textId="77777777" w:rsidR="0087134D" w:rsidRPr="00A83C94" w:rsidRDefault="0087134D" w:rsidP="00383BAD">
            <w:pPr>
              <w:spacing w:before="0" w:line="240" w:lineRule="auto"/>
              <w:ind w:firstLine="0"/>
              <w:jc w:val="center"/>
              <w:rPr>
                <w:rFonts w:cs="Calibri"/>
                <w:bCs/>
                <w:i/>
                <w:iCs/>
                <w:color w:val="000000"/>
                <w:u w:val="single"/>
              </w:rPr>
            </w:pPr>
            <w:r w:rsidRPr="00A83C94">
              <w:rPr>
                <w:rFonts w:cs="Calibri"/>
                <w:bCs/>
                <w:i/>
                <w:iCs/>
                <w:color w:val="000000"/>
                <w:u w:val="single"/>
              </w:rPr>
              <w:t>0.50</w:t>
            </w:r>
          </w:p>
        </w:tc>
        <w:tc>
          <w:tcPr>
            <w:tcW w:w="939" w:type="dxa"/>
            <w:tcBorders>
              <w:top w:val="nil"/>
              <w:left w:val="nil"/>
              <w:bottom w:val="single" w:sz="8" w:space="0" w:color="5B9BD5"/>
              <w:right w:val="single" w:sz="8" w:space="0" w:color="5B9BD5"/>
            </w:tcBorders>
            <w:shd w:val="clear" w:color="auto" w:fill="auto"/>
            <w:noWrap/>
            <w:vAlign w:val="center"/>
            <w:hideMark/>
          </w:tcPr>
          <w:p w14:paraId="6C15DE42" w14:textId="77777777" w:rsidR="0087134D" w:rsidRPr="00A83C94" w:rsidRDefault="0087134D" w:rsidP="00383BAD">
            <w:pPr>
              <w:spacing w:before="0" w:line="240" w:lineRule="auto"/>
              <w:ind w:firstLine="0"/>
              <w:jc w:val="center"/>
              <w:rPr>
                <w:rFonts w:cs="Calibri"/>
                <w:bCs/>
                <w:i/>
                <w:iCs/>
                <w:color w:val="000000"/>
                <w:u w:val="single"/>
              </w:rPr>
            </w:pPr>
            <w:r w:rsidRPr="00A83C94">
              <w:rPr>
                <w:rFonts w:cs="Calibri"/>
                <w:bCs/>
                <w:i/>
                <w:iCs/>
                <w:color w:val="000000"/>
                <w:u w:val="single"/>
              </w:rPr>
              <w:t>0.53</w:t>
            </w:r>
          </w:p>
        </w:tc>
        <w:tc>
          <w:tcPr>
            <w:tcW w:w="1026" w:type="dxa"/>
            <w:tcBorders>
              <w:top w:val="nil"/>
              <w:left w:val="nil"/>
              <w:bottom w:val="single" w:sz="8" w:space="0" w:color="5B9BD5"/>
              <w:right w:val="single" w:sz="8" w:space="0" w:color="5B9BD5"/>
            </w:tcBorders>
            <w:shd w:val="clear" w:color="auto" w:fill="auto"/>
            <w:noWrap/>
            <w:vAlign w:val="center"/>
            <w:hideMark/>
          </w:tcPr>
          <w:p w14:paraId="1DFC8B4E" w14:textId="77777777" w:rsidR="0087134D" w:rsidRPr="00A83C94" w:rsidRDefault="0087134D" w:rsidP="00383BAD">
            <w:pPr>
              <w:spacing w:before="0" w:line="240" w:lineRule="auto"/>
              <w:ind w:firstLine="0"/>
              <w:jc w:val="center"/>
              <w:rPr>
                <w:rFonts w:cs="Calibri"/>
                <w:bCs/>
                <w:i/>
                <w:iCs/>
                <w:color w:val="000000"/>
                <w:u w:val="single"/>
              </w:rPr>
            </w:pPr>
            <w:r w:rsidRPr="00A83C94">
              <w:rPr>
                <w:rFonts w:cs="Calibri"/>
                <w:bCs/>
                <w:i/>
                <w:iCs/>
                <w:color w:val="000000"/>
                <w:u w:val="single"/>
              </w:rPr>
              <w:t>0.51</w:t>
            </w:r>
          </w:p>
        </w:tc>
        <w:tc>
          <w:tcPr>
            <w:tcW w:w="1021" w:type="dxa"/>
            <w:tcBorders>
              <w:top w:val="nil"/>
              <w:left w:val="nil"/>
              <w:bottom w:val="single" w:sz="8" w:space="0" w:color="5B9BD5"/>
              <w:right w:val="single" w:sz="8" w:space="0" w:color="5B9BD5"/>
            </w:tcBorders>
            <w:shd w:val="clear" w:color="auto" w:fill="auto"/>
            <w:noWrap/>
            <w:vAlign w:val="center"/>
            <w:hideMark/>
          </w:tcPr>
          <w:p w14:paraId="7C78F697"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0.39</w:t>
            </w:r>
          </w:p>
        </w:tc>
      </w:tr>
      <w:tr w:rsidR="0087134D" w:rsidRPr="00A83C94" w14:paraId="0ECFD1FC" w14:textId="77777777" w:rsidTr="00383BAD">
        <w:trPr>
          <w:trHeight w:val="345"/>
          <w:jc w:val="center"/>
        </w:trPr>
        <w:tc>
          <w:tcPr>
            <w:tcW w:w="2140" w:type="dxa"/>
            <w:tcBorders>
              <w:top w:val="nil"/>
              <w:left w:val="single" w:sz="8" w:space="0" w:color="5B9BD5"/>
              <w:bottom w:val="single" w:sz="8" w:space="0" w:color="5B9BD5"/>
              <w:right w:val="single" w:sz="8" w:space="0" w:color="5B9BD5"/>
            </w:tcBorders>
            <w:shd w:val="clear" w:color="auto" w:fill="auto"/>
            <w:noWrap/>
            <w:vAlign w:val="center"/>
            <w:hideMark/>
          </w:tcPr>
          <w:p w14:paraId="51FF6578" w14:textId="77777777" w:rsidR="0087134D" w:rsidRPr="00A83C94" w:rsidRDefault="0087134D" w:rsidP="00383BAD">
            <w:pPr>
              <w:spacing w:before="0" w:line="240" w:lineRule="auto"/>
              <w:ind w:firstLine="0"/>
              <w:jc w:val="center"/>
              <w:rPr>
                <w:rFonts w:cs="Calibri"/>
                <w:bCs/>
                <w:color w:val="000000"/>
              </w:rPr>
            </w:pPr>
            <w:r w:rsidRPr="00A83C94">
              <w:rPr>
                <w:rFonts w:cs="Calibri"/>
                <w:bCs/>
                <w:color w:val="000000"/>
              </w:rPr>
              <w:t>20-24 տոկոս</w:t>
            </w:r>
          </w:p>
        </w:tc>
        <w:tc>
          <w:tcPr>
            <w:tcW w:w="1100" w:type="dxa"/>
            <w:tcBorders>
              <w:top w:val="nil"/>
              <w:left w:val="nil"/>
              <w:bottom w:val="single" w:sz="8" w:space="0" w:color="5B9BD5"/>
              <w:right w:val="single" w:sz="8" w:space="0" w:color="5B9BD5"/>
            </w:tcBorders>
            <w:shd w:val="clear" w:color="auto" w:fill="auto"/>
            <w:noWrap/>
            <w:vAlign w:val="center"/>
            <w:hideMark/>
          </w:tcPr>
          <w:p w14:paraId="4DE49EEF"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0.31</w:t>
            </w:r>
          </w:p>
        </w:tc>
        <w:tc>
          <w:tcPr>
            <w:tcW w:w="939" w:type="dxa"/>
            <w:tcBorders>
              <w:top w:val="nil"/>
              <w:left w:val="nil"/>
              <w:bottom w:val="single" w:sz="8" w:space="0" w:color="5B9BD5"/>
              <w:right w:val="single" w:sz="8" w:space="0" w:color="5B9BD5"/>
            </w:tcBorders>
            <w:shd w:val="clear" w:color="auto" w:fill="auto"/>
            <w:noWrap/>
            <w:vAlign w:val="center"/>
            <w:hideMark/>
          </w:tcPr>
          <w:p w14:paraId="56B217B5"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0.16</w:t>
            </w:r>
          </w:p>
        </w:tc>
        <w:tc>
          <w:tcPr>
            <w:tcW w:w="1026" w:type="dxa"/>
            <w:tcBorders>
              <w:top w:val="nil"/>
              <w:left w:val="nil"/>
              <w:bottom w:val="single" w:sz="8" w:space="0" w:color="5B9BD5"/>
              <w:right w:val="single" w:sz="8" w:space="0" w:color="5B9BD5"/>
            </w:tcBorders>
            <w:shd w:val="clear" w:color="auto" w:fill="auto"/>
            <w:noWrap/>
            <w:vAlign w:val="center"/>
            <w:hideMark/>
          </w:tcPr>
          <w:p w14:paraId="09444F47"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0.08</w:t>
            </w:r>
          </w:p>
        </w:tc>
        <w:tc>
          <w:tcPr>
            <w:tcW w:w="1021" w:type="dxa"/>
            <w:tcBorders>
              <w:top w:val="nil"/>
              <w:left w:val="nil"/>
              <w:bottom w:val="single" w:sz="8" w:space="0" w:color="5B9BD5"/>
              <w:right w:val="single" w:sz="8" w:space="0" w:color="5B9BD5"/>
            </w:tcBorders>
            <w:shd w:val="clear" w:color="auto" w:fill="auto"/>
            <w:noWrap/>
            <w:vAlign w:val="center"/>
            <w:hideMark/>
          </w:tcPr>
          <w:p w14:paraId="1CA20613"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0.02</w:t>
            </w:r>
          </w:p>
        </w:tc>
      </w:tr>
    </w:tbl>
    <w:p w14:paraId="55B7642C" w14:textId="77777777" w:rsidR="0087134D" w:rsidRPr="00A83C94" w:rsidRDefault="0087134D" w:rsidP="0087134D">
      <w:pPr>
        <w:spacing w:after="120" w:line="276" w:lineRule="auto"/>
        <w:ind w:firstLine="720"/>
        <w:rPr>
          <w:rFonts w:cs="Sylfaen"/>
          <w:b w:val="0"/>
          <w:lang w:val="hy-AM"/>
        </w:rPr>
      </w:pPr>
    </w:p>
    <w:p w14:paraId="778ACB97" w14:textId="77777777" w:rsidR="0087134D" w:rsidRPr="00A83C94" w:rsidRDefault="0087134D" w:rsidP="0087134D">
      <w:pPr>
        <w:spacing w:after="120" w:line="276" w:lineRule="auto"/>
        <w:ind w:firstLine="720"/>
        <w:rPr>
          <w:rFonts w:cs="Sylfaen"/>
          <w:b w:val="0"/>
          <w:lang w:val="hy-AM"/>
        </w:rPr>
      </w:pPr>
      <w:r w:rsidRPr="00A83C94">
        <w:rPr>
          <w:rFonts w:cs="Sylfaen"/>
          <w:b w:val="0"/>
          <w:lang w:val="hy-AM"/>
        </w:rPr>
        <w:t xml:space="preserve">Աղյուսակ 20-ի առաջին սյունը ներկայացնում է հարկային եկամուտների աճի միջակայքերը, իսկ 2-ից 5-րդ սյուները` նշված միջակայքերից յուրաքանչյուրում այդ աճի ձևավորվելու հավանականությունները` ըստ եռամսյակային կանխատեսումների: Համաձայն գնահատականների, 2022 թվականին առաջին երեք եռամսյակներում 16-20% միջակայքում և  չորրորդ եռամսյակում 20-24% միջակայքում գտնվելու հավանականություններն ամենաբարձրն են, (Գծապատկեր 2.1-ում այն մուգ կարմիր է, իսկ Աղյուսակ 20-ում՝ հոծ նշումով): </w:t>
      </w:r>
    </w:p>
    <w:p w14:paraId="22B1575E" w14:textId="77777777" w:rsidR="0087134D" w:rsidRPr="00A83C94" w:rsidRDefault="0087134D" w:rsidP="0087134D">
      <w:pPr>
        <w:spacing w:after="120" w:line="276" w:lineRule="auto"/>
        <w:ind w:firstLine="720"/>
        <w:rPr>
          <w:rFonts w:cs="Sylfaen"/>
          <w:b w:val="0"/>
          <w:lang w:val="hy-AM"/>
        </w:rPr>
      </w:pPr>
    </w:p>
    <w:p w14:paraId="08718034"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lang w:val="hy-AM"/>
        </w:rPr>
      </w:pPr>
      <w:r w:rsidRPr="00A83C94">
        <w:rPr>
          <w:rFonts w:cs="Sylfaen"/>
          <w:lang w:val="hy-AM"/>
        </w:rPr>
        <w:t xml:space="preserve">Ներդիր </w:t>
      </w:r>
    </w:p>
    <w:p w14:paraId="054FF035"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line="276" w:lineRule="auto"/>
        <w:ind w:firstLine="720"/>
        <w:rPr>
          <w:rFonts w:cs="Sylfaen"/>
          <w:lang w:val="hy-AM"/>
        </w:rPr>
      </w:pPr>
      <w:r w:rsidRPr="00A83C94">
        <w:rPr>
          <w:rFonts w:cs="Sylfaen"/>
          <w:lang w:val="hy-AM"/>
        </w:rPr>
        <w:t>Իրական ՀՆԱ-ի և հարկային եկամուտների կանխատեսումների հավանականային բաշխման գծապատկերի կառուցումը</w:t>
      </w:r>
    </w:p>
    <w:p w14:paraId="66BEE643"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b w:val="0"/>
          <w:lang w:val="hy-AM"/>
        </w:rPr>
      </w:pPr>
      <w:r w:rsidRPr="00A83C94">
        <w:rPr>
          <w:rFonts w:cs="Sylfaen"/>
          <w:b w:val="0"/>
          <w:lang w:val="hy-AM"/>
        </w:rPr>
        <w:t xml:space="preserve">Իրական ՀՆԱ-ի </w:t>
      </w:r>
      <w:r w:rsidRPr="00A83C94">
        <w:rPr>
          <w:b w:val="0"/>
          <w:lang w:val="hy-AM"/>
        </w:rPr>
        <w:t xml:space="preserve">և հարկային եկամուտների կանխատեսումների </w:t>
      </w:r>
      <w:r w:rsidRPr="00A83C94">
        <w:rPr>
          <w:rFonts w:cs="Sylfaen"/>
          <w:b w:val="0"/>
          <w:lang w:val="hy-AM"/>
        </w:rPr>
        <w:t>հավանականային</w:t>
      </w:r>
      <w:r w:rsidRPr="00A83C94">
        <w:rPr>
          <w:b w:val="0"/>
          <w:lang w:val="hy-AM"/>
        </w:rPr>
        <w:t xml:space="preserve"> բ</w:t>
      </w:r>
      <w:r w:rsidRPr="00A83C94">
        <w:rPr>
          <w:rFonts w:cs="Sylfaen"/>
          <w:b w:val="0"/>
          <w:lang w:val="hy-AM"/>
        </w:rPr>
        <w:t xml:space="preserve">աշխումը ներկայացնող գծապատկերները ցույց </w:t>
      </w:r>
      <w:r w:rsidRPr="00A83C94">
        <w:rPr>
          <w:b w:val="0"/>
          <w:lang w:val="hy-AM"/>
        </w:rPr>
        <w:t xml:space="preserve">են </w:t>
      </w:r>
      <w:r w:rsidRPr="00A83C94">
        <w:rPr>
          <w:rFonts w:cs="Sylfaen"/>
          <w:b w:val="0"/>
          <w:lang w:val="hy-AM"/>
        </w:rPr>
        <w:t xml:space="preserve">տալիս տնտեսության զարգացման ապագա ընթացքի վերաբերյալ կառավարության գնահատականները` տնտեսական աճի ծրագրային </w:t>
      </w:r>
      <w:r w:rsidRPr="00A83C94">
        <w:rPr>
          <w:rFonts w:cs="Sylfaen"/>
          <w:b w:val="0"/>
          <w:lang w:val="hy-AM"/>
        </w:rPr>
        <w:lastRenderedPageBreak/>
        <w:t>ցուցանիշների վերաբերյալ, ինչպես նաև հարկային եկամուտների հավաքագրման կանխատեսվող ընթացքը</w:t>
      </w:r>
      <w:r w:rsidRPr="00A83C94">
        <w:rPr>
          <w:b w:val="0"/>
          <w:lang w:val="hy-AM"/>
        </w:rPr>
        <w:t>:</w:t>
      </w:r>
    </w:p>
    <w:p w14:paraId="44947D58"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b w:val="0"/>
          <w:lang w:val="hy-AM"/>
        </w:rPr>
      </w:pPr>
      <w:r w:rsidRPr="00A83C94">
        <w:rPr>
          <w:rFonts w:cs="Sylfaen"/>
          <w:b w:val="0"/>
          <w:lang w:val="hy-AM"/>
        </w:rPr>
        <w:t>Կանխատեսումների հավանականային բաշխման գծապատկերի կառուցման անհրաժեշտությունը պայմանավորված է նրանով</w:t>
      </w:r>
      <w:r w:rsidRPr="00A83C94">
        <w:rPr>
          <w:b w:val="0"/>
          <w:lang w:val="hy-AM"/>
        </w:rPr>
        <w:t xml:space="preserve">, </w:t>
      </w:r>
      <w:r w:rsidRPr="00A83C94">
        <w:rPr>
          <w:rFonts w:cs="Sylfaen"/>
          <w:b w:val="0"/>
          <w:lang w:val="hy-AM"/>
        </w:rPr>
        <w:t>որ բոլոր կանխատեսումները ինչ</w:t>
      </w:r>
      <w:r w:rsidRPr="00A83C94">
        <w:rPr>
          <w:b w:val="0"/>
          <w:lang w:val="hy-AM"/>
        </w:rPr>
        <w:t>-</w:t>
      </w:r>
      <w:r w:rsidRPr="00A83C94">
        <w:rPr>
          <w:rFonts w:cs="Sylfaen"/>
          <w:b w:val="0"/>
          <w:lang w:val="hy-AM"/>
        </w:rPr>
        <w:t>որ չափով անորոշ են</w:t>
      </w:r>
      <w:r w:rsidRPr="00A83C94">
        <w:rPr>
          <w:b w:val="0"/>
          <w:lang w:val="hy-AM"/>
        </w:rPr>
        <w:t xml:space="preserve">: </w:t>
      </w:r>
      <w:r w:rsidRPr="00A83C94">
        <w:rPr>
          <w:rFonts w:cs="Sylfaen"/>
          <w:b w:val="0"/>
          <w:lang w:val="hy-AM"/>
        </w:rPr>
        <w:t>Կարևոր է հաշվի առնել ոչ միայն կոնկրետ կանխատեսված արժեքները</w:t>
      </w:r>
      <w:r w:rsidRPr="00A83C94">
        <w:rPr>
          <w:b w:val="0"/>
          <w:lang w:val="hy-AM"/>
        </w:rPr>
        <w:t xml:space="preserve">, </w:t>
      </w:r>
      <w:r w:rsidRPr="00A83C94">
        <w:rPr>
          <w:rFonts w:cs="Sylfaen"/>
          <w:b w:val="0"/>
          <w:lang w:val="hy-AM"/>
        </w:rPr>
        <w:t>այլ նաև բոլոր այն</w:t>
      </w:r>
      <w:r w:rsidRPr="00A83C94">
        <w:rPr>
          <w:b w:val="0"/>
          <w:lang w:val="hy-AM"/>
        </w:rPr>
        <w:t xml:space="preserve"> վերոնշյալ </w:t>
      </w:r>
      <w:r w:rsidRPr="00A83C94">
        <w:rPr>
          <w:rFonts w:cs="Sylfaen"/>
          <w:b w:val="0"/>
          <w:lang w:val="hy-AM"/>
        </w:rPr>
        <w:t>ռիսկերը</w:t>
      </w:r>
      <w:r w:rsidRPr="00A83C94">
        <w:rPr>
          <w:b w:val="0"/>
          <w:lang w:val="hy-AM"/>
        </w:rPr>
        <w:t xml:space="preserve">, </w:t>
      </w:r>
      <w:r w:rsidRPr="00A83C94">
        <w:rPr>
          <w:rFonts w:cs="Sylfaen"/>
          <w:b w:val="0"/>
          <w:lang w:val="hy-AM"/>
        </w:rPr>
        <w:t>որոնց արդյունքում կարող են շեղումներ առաջանալ իրական ՀՆԱ-ի կանխատեսումների և հարկերի կանխատեսումների կենտրոնական արժեքներից</w:t>
      </w:r>
      <w:r w:rsidRPr="00A83C94">
        <w:rPr>
          <w:b w:val="0"/>
          <w:lang w:val="hy-AM"/>
        </w:rPr>
        <w:t xml:space="preserve">: </w:t>
      </w:r>
      <w:r w:rsidRPr="00A83C94">
        <w:rPr>
          <w:rFonts w:cs="Sylfaen"/>
          <w:b w:val="0"/>
          <w:lang w:val="hy-AM"/>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A83C94">
        <w:rPr>
          <w:b w:val="0"/>
          <w:lang w:val="hy-AM"/>
        </w:rPr>
        <w:t xml:space="preserve"> դրանց </w:t>
      </w:r>
      <w:r w:rsidRPr="00A83C94">
        <w:rPr>
          <w:rFonts w:cs="Sylfaen"/>
          <w:b w:val="0"/>
          <w:lang w:val="hy-AM"/>
        </w:rPr>
        <w:t>աղբյուրների վերաբերյալ</w:t>
      </w:r>
      <w:r w:rsidRPr="00A83C94">
        <w:rPr>
          <w:b w:val="0"/>
          <w:lang w:val="hy-AM"/>
        </w:rPr>
        <w:t xml:space="preserve">: </w:t>
      </w:r>
      <w:r w:rsidRPr="00A83C94">
        <w:rPr>
          <w:rFonts w:cs="Sylfaen"/>
          <w:b w:val="0"/>
          <w:lang w:val="hy-AM"/>
        </w:rPr>
        <w:t>Այդ պատճառով կարևորվում է որոշակի վստահության միջակայքի կառուցման խնդիրը</w:t>
      </w:r>
      <w:r w:rsidRPr="00A83C94">
        <w:rPr>
          <w:b w:val="0"/>
          <w:lang w:val="hy-AM"/>
        </w:rPr>
        <w:t xml:space="preserve">, </w:t>
      </w:r>
      <w:r w:rsidRPr="00A83C94">
        <w:rPr>
          <w:rFonts w:cs="Sylfaen"/>
          <w:b w:val="0"/>
          <w:lang w:val="hy-AM"/>
        </w:rPr>
        <w:t>որը թույլ կտա գնահատել իրադարձությունների զարգացման հավանական ընթացքը</w:t>
      </w:r>
      <w:r w:rsidRPr="00A83C94">
        <w:rPr>
          <w:b w:val="0"/>
          <w:lang w:val="hy-AM"/>
        </w:rPr>
        <w:t xml:space="preserve">: Իրական ՀՆԱ-ի և հարկերի կանխատեսումների հավանականային բաշխման ներկայացված գծապատկերները հիմնվում են </w:t>
      </w:r>
      <w:r w:rsidRPr="00A83C94">
        <w:rPr>
          <w:rFonts w:cs="Sylfaen"/>
          <w:b w:val="0"/>
          <w:lang w:val="hy-AM"/>
        </w:rPr>
        <w:t>Անգլիայի բանկի կողմից մշակված մեթոդաբանության վրա և հաշվի է առնում</w:t>
      </w:r>
      <w:r w:rsidRPr="00A83C94">
        <w:rPr>
          <w:b w:val="0"/>
          <w:lang w:val="hy-AM"/>
        </w:rPr>
        <w:t xml:space="preserve"> կանխատեսումների հավանականային բաշխման </w:t>
      </w:r>
      <w:r w:rsidRPr="00A83C94">
        <w:rPr>
          <w:rFonts w:cs="Sylfaen"/>
          <w:b w:val="0"/>
          <w:lang w:val="hy-AM"/>
        </w:rPr>
        <w:t>ասիմետրիկության առկայությունը</w:t>
      </w:r>
      <w:r w:rsidRPr="00A83C94">
        <w:rPr>
          <w:b w:val="0"/>
          <w:lang w:val="hy-AM"/>
        </w:rPr>
        <w:t xml:space="preserve">: </w:t>
      </w:r>
    </w:p>
    <w:p w14:paraId="0F996D1E"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b w:val="0"/>
          <w:lang w:val="hy-AM"/>
        </w:rPr>
      </w:pPr>
      <w:r w:rsidRPr="00A83C94">
        <w:rPr>
          <w:rFonts w:cs="Sylfaen"/>
          <w:b w:val="0"/>
          <w:lang w:val="hy-AM"/>
        </w:rPr>
        <w:t>Հայաստանի համար իրական ՀՆԱ-ի և հարկերի աճի կանխատեսումների բաշխման գծապատկերները կառուցվել են երեք չափորոշիչների հիման վրա.</w:t>
      </w:r>
    </w:p>
    <w:p w14:paraId="0BFBCAB4"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b w:val="0"/>
          <w:lang w:val="hy-AM"/>
        </w:rPr>
      </w:pPr>
      <w:r w:rsidRPr="00A83C94">
        <w:rPr>
          <w:b w:val="0"/>
          <w:lang w:val="hy-AM"/>
        </w:rPr>
        <w:t xml:space="preserve">1. </w:t>
      </w:r>
      <w:r w:rsidRPr="00A83C94">
        <w:rPr>
          <w:rFonts w:cs="Sylfaen"/>
          <w:b w:val="0"/>
          <w:lang w:val="hy-AM"/>
        </w:rPr>
        <w:t xml:space="preserve">կենտրոնական արժեքները, </w:t>
      </w:r>
      <w:r w:rsidRPr="00A83C94">
        <w:rPr>
          <w:b w:val="0"/>
          <w:lang w:val="hy-AM"/>
        </w:rPr>
        <w:t xml:space="preserve">2. </w:t>
      </w:r>
      <w:r w:rsidRPr="00A83C94">
        <w:rPr>
          <w:rFonts w:cs="Sylfaen"/>
          <w:b w:val="0"/>
          <w:lang w:val="hy-AM"/>
        </w:rPr>
        <w:t>անորոշության չափը</w:t>
      </w:r>
      <w:r w:rsidRPr="00A83C94">
        <w:rPr>
          <w:b w:val="0"/>
          <w:lang w:val="hy-AM"/>
        </w:rPr>
        <w:t xml:space="preserve"> (</w:t>
      </w:r>
      <w:r w:rsidRPr="00A83C94">
        <w:rPr>
          <w:rFonts w:cs="Sylfaen"/>
          <w:b w:val="0"/>
          <w:lang w:val="hy-AM"/>
        </w:rPr>
        <w:t>դիսպերսիան</w:t>
      </w:r>
      <w:r w:rsidRPr="00A83C94">
        <w:rPr>
          <w:b w:val="0"/>
          <w:lang w:val="hy-AM"/>
        </w:rPr>
        <w:t>),</w:t>
      </w:r>
      <w:r w:rsidRPr="00A83C94">
        <w:rPr>
          <w:rFonts w:cs="Sylfaen"/>
          <w:b w:val="0"/>
          <w:lang w:val="hy-AM"/>
        </w:rPr>
        <w:t xml:space="preserve"> որը ստանալու համար հիմք են հանդիսացել փաստացի պատմական շարքերի կանխատեսումային սխալները և </w:t>
      </w:r>
      <w:r w:rsidRPr="00A83C94">
        <w:rPr>
          <w:b w:val="0"/>
          <w:lang w:val="hy-AM"/>
        </w:rPr>
        <w:t xml:space="preserve">3. </w:t>
      </w:r>
      <w:r w:rsidRPr="00A83C94">
        <w:rPr>
          <w:rFonts w:cs="Sylfaen"/>
          <w:b w:val="0"/>
          <w:lang w:val="hy-AM"/>
        </w:rPr>
        <w:t>ռիսկերի հարաբերական հաշվեկշիռը՝ անհամաչափության գործակցի գնահատման նպատակով:</w:t>
      </w:r>
    </w:p>
    <w:p w14:paraId="559C14B6"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b w:val="0"/>
          <w:lang w:val="hy-AM"/>
        </w:rPr>
      </w:pPr>
      <w:r w:rsidRPr="00A83C94">
        <w:rPr>
          <w:rFonts w:cs="Sylfaen"/>
          <w:b w:val="0"/>
          <w:lang w:val="hy-AM"/>
        </w:rPr>
        <w:t>Ունենալով կանխատեսված</w:t>
      </w:r>
      <w:r w:rsidRPr="00A83C94">
        <w:rPr>
          <w:b w:val="0"/>
          <w:lang w:val="hy-AM"/>
        </w:rPr>
        <w:t xml:space="preserve"> կենտրոնական արժեքները, անորոշության չափը (ցրվածքը) և ռիսկերի հաշվեկշիռը` կառուցվել են իրական ՀՆԱ-ի և հարկերի կանխատեսումների հավանականային բաշխման գրաֆիկները 2022 թվականի համար (տես` Գծապատկեր 2.1):</w:t>
      </w:r>
    </w:p>
    <w:p w14:paraId="5FD3623B"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b w:val="0"/>
          <w:lang w:val="hy-AM"/>
        </w:rPr>
      </w:pPr>
      <w:r w:rsidRPr="00A83C94">
        <w:rPr>
          <w:rFonts w:cs="Sylfaen"/>
          <w:b w:val="0"/>
          <w:lang w:val="hy-AM"/>
        </w:rPr>
        <w:t>ՀՆԱ-ի և հարկերի կանխատեսման գծապատկերներում կենտրոնական մուգ</w:t>
      </w:r>
      <w:r w:rsidRPr="00A83C94">
        <w:rPr>
          <w:b w:val="0"/>
          <w:lang w:val="hy-AM"/>
        </w:rPr>
        <w:t xml:space="preserve"> (</w:t>
      </w:r>
      <w:r w:rsidRPr="00A83C94">
        <w:rPr>
          <w:rFonts w:cs="Sylfaen"/>
          <w:b w:val="0"/>
          <w:lang w:val="hy-AM"/>
        </w:rPr>
        <w:t>կարմիր)</w:t>
      </w:r>
      <w:r w:rsidRPr="00A83C94">
        <w:rPr>
          <w:b w:val="0"/>
          <w:lang w:val="hy-AM"/>
        </w:rPr>
        <w:t xml:space="preserve"> ավելի նեղ </w:t>
      </w:r>
      <w:r w:rsidRPr="00A83C94">
        <w:rPr>
          <w:rFonts w:cs="Sylfaen"/>
          <w:b w:val="0"/>
          <w:lang w:val="hy-AM"/>
        </w:rPr>
        <w:t>միջակայքը ներառում է նաև</w:t>
      </w:r>
      <w:r w:rsidRPr="00A83C94">
        <w:rPr>
          <w:b w:val="0"/>
          <w:lang w:val="hy-AM"/>
        </w:rPr>
        <w:t xml:space="preserve"> կանխատեսման </w:t>
      </w:r>
      <w:r w:rsidRPr="00A83C94">
        <w:rPr>
          <w:rFonts w:cs="Sylfaen"/>
          <w:b w:val="0"/>
          <w:lang w:val="hy-AM"/>
        </w:rPr>
        <w:t>կենտրոնական սցենարը</w:t>
      </w:r>
      <w:r w:rsidRPr="00A83C94">
        <w:rPr>
          <w:b w:val="0"/>
          <w:lang w:val="hy-AM"/>
        </w:rPr>
        <w:t xml:space="preserve"> (</w:t>
      </w:r>
      <w:r w:rsidRPr="00A83C94">
        <w:rPr>
          <w:rFonts w:cs="Sylfaen"/>
          <w:b w:val="0"/>
          <w:lang w:val="hy-AM"/>
        </w:rPr>
        <w:t>կանխատեսված արժեքները</w:t>
      </w:r>
      <w:r w:rsidRPr="00A83C94">
        <w:rPr>
          <w:b w:val="0"/>
          <w:lang w:val="hy-AM"/>
        </w:rPr>
        <w:t>): Որքան հավանականային կանխատեսումները հեռանում են կենտրոնական սցենարից, այնքան ավելի ցածր է դառնում դրանց իրագործման հավանականությունը, ինչը գծապատկերում արտահայտվում է ավելի թույլ գունավորմամբ: Ներկայացված բաշխումը սիմետրիկ չէ, քանի որ ապագայի համար առկա են տնտեսական աճի և հարկերի կենտրոնական կանխատեսումից ավելի ցածր մակարդակների ձևավորման ռիսկեր:</w:t>
      </w:r>
    </w:p>
    <w:p w14:paraId="4B6C62A6" w14:textId="77777777" w:rsidR="0087134D" w:rsidRPr="00A83C94" w:rsidRDefault="0087134D" w:rsidP="0087134D">
      <w:pPr>
        <w:pStyle w:val="BodyText2"/>
        <w:ind w:firstLine="0"/>
        <w:rPr>
          <w:b/>
          <w:color w:val="1F497D" w:themeColor="text2"/>
          <w:sz w:val="24"/>
          <w:szCs w:val="24"/>
        </w:rPr>
      </w:pPr>
    </w:p>
    <w:p w14:paraId="181165C1" w14:textId="77777777" w:rsidR="0087134D" w:rsidRPr="00A83C94" w:rsidRDefault="0087134D" w:rsidP="0087134D">
      <w:pPr>
        <w:spacing w:before="0" w:line="276" w:lineRule="auto"/>
        <w:ind w:firstLine="0"/>
        <w:contextualSpacing w:val="0"/>
        <w:rPr>
          <w:sz w:val="24"/>
          <w:lang w:val="hy-AM"/>
        </w:rPr>
      </w:pPr>
      <w:r w:rsidRPr="00A83C94">
        <w:rPr>
          <w:sz w:val="24"/>
          <w:lang w:val="hy-AM"/>
        </w:rPr>
        <w:t>2.2. Պետական բյուջեի վրա մակրոտնտեսական ցուցանիշների կանխատեսվածից շեղման ռիսկերի ազդեցության ընդհանուր գնահատականը և դրանց մեղմման հնարավորությունները</w:t>
      </w:r>
    </w:p>
    <w:p w14:paraId="6E7962B8" w14:textId="77777777" w:rsidR="0087134D" w:rsidRPr="00A83C94" w:rsidRDefault="0087134D" w:rsidP="0087134D">
      <w:pPr>
        <w:spacing w:after="120" w:line="276" w:lineRule="auto"/>
        <w:ind w:firstLine="720"/>
        <w:rPr>
          <w:rFonts w:cs="Sylfaen"/>
          <w:b w:val="0"/>
          <w:lang w:val="hy-AM"/>
        </w:rPr>
      </w:pPr>
      <w:r w:rsidRPr="00A83C94">
        <w:rPr>
          <w:rFonts w:cs="Sylfaen"/>
          <w:b w:val="0"/>
          <w:lang w:val="hy-AM"/>
        </w:rPr>
        <w:t>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w:t>
      </w:r>
    </w:p>
    <w:p w14:paraId="41CD233B" w14:textId="24169DBB" w:rsidR="0087134D" w:rsidRPr="00A83C94" w:rsidRDefault="0087134D" w:rsidP="0087134D">
      <w:pPr>
        <w:pStyle w:val="Caption"/>
        <w:rPr>
          <w:b/>
        </w:rPr>
      </w:pPr>
      <w:bookmarkStart w:id="105" w:name="_Toc83928957"/>
      <w:bookmarkStart w:id="106" w:name="_Toc89428781"/>
      <w:r w:rsidRPr="008B1D49">
        <w:rPr>
          <w:lang w:val="hy-AM"/>
        </w:rPr>
        <w:lastRenderedPageBreak/>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21</w:t>
      </w:r>
      <w:r>
        <w:fldChar w:fldCharType="end"/>
      </w:r>
      <w:r w:rsidRPr="008B1D49">
        <w:rPr>
          <w:lang w:val="hy-AM"/>
        </w:rPr>
        <w:t xml:space="preserve">. </w:t>
      </w:r>
      <w:r w:rsidRPr="008B1D49">
        <w:rPr>
          <w:sz w:val="20"/>
          <w:szCs w:val="20"/>
          <w:lang w:val="hy-AM"/>
        </w:rPr>
        <w:t>ՀՀ պետական բյուջեի հարկային եկամուտների և ծախսերի, ինչպես նաև այլ հոսքերի գծով ռիսկերի ընդհանուր ազդեցությունը</w:t>
      </w:r>
      <w:r w:rsidRPr="00A83C94">
        <w:rPr>
          <w:sz w:val="20"/>
          <w:szCs w:val="20"/>
          <w:vertAlign w:val="superscript"/>
        </w:rPr>
        <w:footnoteReference w:id="25"/>
      </w:r>
      <w:r w:rsidRPr="008B1D49">
        <w:rPr>
          <w:sz w:val="20"/>
          <w:szCs w:val="20"/>
          <w:lang w:val="hy-AM"/>
        </w:rPr>
        <w:t xml:space="preserve">. </w:t>
      </w:r>
      <w:r w:rsidRPr="00A83C94">
        <w:rPr>
          <w:sz w:val="20"/>
          <w:szCs w:val="20"/>
        </w:rPr>
        <w:t>(ֆինանսավորման պահանջ` - պահանջի մեծացում, + պահանջի նվազում), մլրդ ՀՀ դրամ</w:t>
      </w:r>
      <w:bookmarkEnd w:id="105"/>
      <w:bookmarkEnd w:id="106"/>
      <w:r w:rsidRPr="00A83C94">
        <w:t xml:space="preserve"> </w:t>
      </w:r>
    </w:p>
    <w:tbl>
      <w:tblPr>
        <w:tblW w:w="7160" w:type="dxa"/>
        <w:tblInd w:w="1075" w:type="dxa"/>
        <w:tblLook w:val="04A0" w:firstRow="1" w:lastRow="0" w:firstColumn="1" w:lastColumn="0" w:noHBand="0" w:noVBand="1"/>
      </w:tblPr>
      <w:tblGrid>
        <w:gridCol w:w="5260"/>
        <w:gridCol w:w="1900"/>
      </w:tblGrid>
      <w:tr w:rsidR="0087134D" w:rsidRPr="00A83C94" w14:paraId="6B37726B" w14:textId="77777777" w:rsidTr="00383BAD">
        <w:trPr>
          <w:trHeight w:val="705"/>
        </w:trPr>
        <w:tc>
          <w:tcPr>
            <w:tcW w:w="5260" w:type="dxa"/>
            <w:vMerge w:val="restart"/>
            <w:tcBorders>
              <w:top w:val="single" w:sz="4" w:space="0" w:color="333399"/>
              <w:left w:val="single" w:sz="4" w:space="0" w:color="333399"/>
              <w:bottom w:val="nil"/>
              <w:right w:val="single" w:sz="4" w:space="0" w:color="333399"/>
            </w:tcBorders>
            <w:shd w:val="clear" w:color="000000" w:fill="0066CC"/>
            <w:vAlign w:val="center"/>
            <w:hideMark/>
          </w:tcPr>
          <w:p w14:paraId="75CD67F8" w14:textId="77777777" w:rsidR="0087134D" w:rsidRPr="00A83C94" w:rsidRDefault="0087134D" w:rsidP="00383BAD">
            <w:pPr>
              <w:spacing w:before="0" w:line="240" w:lineRule="auto"/>
              <w:ind w:firstLine="0"/>
              <w:jc w:val="center"/>
              <w:rPr>
                <w:b w:val="0"/>
                <w:bCs/>
                <w:color w:val="FFFFFF"/>
                <w:lang w:val="hy-AM"/>
              </w:rPr>
            </w:pPr>
            <w:r w:rsidRPr="00A83C94">
              <w:rPr>
                <w:b w:val="0"/>
                <w:bCs/>
                <w:color w:val="FFFFFF"/>
                <w:lang w:val="hy-AM"/>
              </w:rPr>
              <w:t>Մակրոտնտեսական ցուցանիշների կանխատեսվող ռիսկեր</w:t>
            </w:r>
          </w:p>
        </w:tc>
        <w:tc>
          <w:tcPr>
            <w:tcW w:w="1900" w:type="dxa"/>
            <w:tcBorders>
              <w:top w:val="single" w:sz="4" w:space="0" w:color="333399"/>
              <w:left w:val="nil"/>
              <w:bottom w:val="single" w:sz="4" w:space="0" w:color="333399"/>
              <w:right w:val="single" w:sz="4" w:space="0" w:color="333399"/>
            </w:tcBorders>
            <w:shd w:val="clear" w:color="000000" w:fill="0066CC"/>
            <w:vAlign w:val="center"/>
            <w:hideMark/>
          </w:tcPr>
          <w:p w14:paraId="641A979E" w14:textId="77777777" w:rsidR="0087134D" w:rsidRPr="00A83C94" w:rsidRDefault="0087134D" w:rsidP="00383BAD">
            <w:pPr>
              <w:spacing w:before="0" w:line="240" w:lineRule="auto"/>
              <w:ind w:firstLine="0"/>
              <w:jc w:val="center"/>
              <w:rPr>
                <w:b w:val="0"/>
                <w:bCs/>
                <w:color w:val="FFFFFF"/>
                <w:lang w:val="hy-AM"/>
              </w:rPr>
            </w:pPr>
            <w:r w:rsidRPr="00A83C94">
              <w:rPr>
                <w:b w:val="0"/>
                <w:bCs/>
                <w:color w:val="FFFFFF"/>
                <w:lang w:val="hy-AM"/>
              </w:rPr>
              <w:t>2022</w:t>
            </w:r>
          </w:p>
        </w:tc>
      </w:tr>
      <w:tr w:rsidR="0087134D" w:rsidRPr="00A83C94" w14:paraId="4FB23A54" w14:textId="77777777" w:rsidTr="00383BAD">
        <w:trPr>
          <w:trHeight w:val="255"/>
        </w:trPr>
        <w:tc>
          <w:tcPr>
            <w:tcW w:w="5260" w:type="dxa"/>
            <w:vMerge/>
            <w:tcBorders>
              <w:top w:val="single" w:sz="4" w:space="0" w:color="333399"/>
              <w:left w:val="single" w:sz="4" w:space="0" w:color="333399"/>
              <w:bottom w:val="nil"/>
              <w:right w:val="single" w:sz="4" w:space="0" w:color="333399"/>
            </w:tcBorders>
            <w:vAlign w:val="center"/>
            <w:hideMark/>
          </w:tcPr>
          <w:p w14:paraId="492D73E6" w14:textId="77777777" w:rsidR="0087134D" w:rsidRPr="00A83C94" w:rsidRDefault="0087134D" w:rsidP="00383BAD">
            <w:pPr>
              <w:spacing w:before="0" w:line="240" w:lineRule="auto"/>
              <w:ind w:firstLine="0"/>
              <w:jc w:val="left"/>
              <w:rPr>
                <w:b w:val="0"/>
                <w:bCs/>
                <w:color w:val="FFFFFF"/>
                <w:lang w:val="hy-AM"/>
              </w:rPr>
            </w:pPr>
          </w:p>
        </w:tc>
        <w:tc>
          <w:tcPr>
            <w:tcW w:w="1900" w:type="dxa"/>
            <w:tcBorders>
              <w:top w:val="nil"/>
              <w:left w:val="nil"/>
              <w:bottom w:val="single" w:sz="4" w:space="0" w:color="333399"/>
              <w:right w:val="single" w:sz="4" w:space="0" w:color="333399"/>
            </w:tcBorders>
            <w:shd w:val="clear" w:color="000000" w:fill="0066CC"/>
            <w:vAlign w:val="center"/>
            <w:hideMark/>
          </w:tcPr>
          <w:p w14:paraId="6FC4104D" w14:textId="77777777" w:rsidR="0087134D" w:rsidRPr="00A83C94" w:rsidRDefault="0087134D" w:rsidP="00383BAD">
            <w:pPr>
              <w:spacing w:before="0" w:line="240" w:lineRule="auto"/>
              <w:ind w:firstLine="0"/>
              <w:jc w:val="center"/>
              <w:rPr>
                <w:b w:val="0"/>
                <w:bCs/>
                <w:color w:val="FFFFFF"/>
                <w:lang w:val="hy-AM"/>
              </w:rPr>
            </w:pPr>
            <w:r w:rsidRPr="00A83C94">
              <w:rPr>
                <w:rFonts w:ascii="Calibri" w:hAnsi="Calibri" w:cs="Calibri"/>
                <w:b w:val="0"/>
                <w:bCs/>
                <w:color w:val="FFFFFF"/>
                <w:lang w:val="hy-AM"/>
              </w:rPr>
              <w:t> </w:t>
            </w:r>
          </w:p>
        </w:tc>
      </w:tr>
      <w:tr w:rsidR="0087134D" w:rsidRPr="00A83C94" w14:paraId="0D0ED417" w14:textId="77777777" w:rsidTr="00383BAD">
        <w:trPr>
          <w:trHeight w:val="660"/>
        </w:trPr>
        <w:tc>
          <w:tcPr>
            <w:tcW w:w="5260" w:type="dxa"/>
            <w:tcBorders>
              <w:top w:val="single" w:sz="4" w:space="0" w:color="333399"/>
              <w:left w:val="single" w:sz="4" w:space="0" w:color="333399"/>
              <w:bottom w:val="single" w:sz="4" w:space="0" w:color="333399"/>
              <w:right w:val="single" w:sz="4" w:space="0" w:color="333399"/>
            </w:tcBorders>
            <w:shd w:val="clear" w:color="auto" w:fill="auto"/>
            <w:vAlign w:val="center"/>
            <w:hideMark/>
          </w:tcPr>
          <w:p w14:paraId="03749923" w14:textId="77777777" w:rsidR="0087134D" w:rsidRPr="00A83C94" w:rsidRDefault="0087134D" w:rsidP="00383BAD">
            <w:pPr>
              <w:spacing w:before="0" w:line="240" w:lineRule="auto"/>
              <w:ind w:firstLine="0"/>
              <w:jc w:val="left"/>
              <w:rPr>
                <w:b w:val="0"/>
                <w:color w:val="000000"/>
                <w:lang w:val="hy-AM"/>
              </w:rPr>
            </w:pPr>
            <w:r w:rsidRPr="00A83C94">
              <w:rPr>
                <w:b w:val="0"/>
                <w:color w:val="000000"/>
                <w:lang w:val="hy-AM"/>
              </w:rPr>
              <w:t>1. Կանխատեսվածից 2.0 տոկոսային կետով ավելի ցածր իրական ՀՆԱ-ի աճ</w:t>
            </w:r>
          </w:p>
        </w:tc>
        <w:tc>
          <w:tcPr>
            <w:tcW w:w="1900" w:type="dxa"/>
            <w:tcBorders>
              <w:top w:val="nil"/>
              <w:left w:val="nil"/>
              <w:bottom w:val="single" w:sz="4" w:space="0" w:color="333399"/>
              <w:right w:val="single" w:sz="4" w:space="0" w:color="333399"/>
            </w:tcBorders>
            <w:shd w:val="clear" w:color="auto" w:fill="auto"/>
            <w:vAlign w:val="center"/>
            <w:hideMark/>
          </w:tcPr>
          <w:p w14:paraId="2B23876B" w14:textId="77777777" w:rsidR="0087134D" w:rsidRPr="00A83C94" w:rsidRDefault="0087134D" w:rsidP="00383BAD">
            <w:pPr>
              <w:spacing w:before="0" w:line="240" w:lineRule="auto"/>
              <w:ind w:firstLine="0"/>
              <w:jc w:val="center"/>
              <w:rPr>
                <w:b w:val="0"/>
                <w:color w:val="000000"/>
                <w:lang w:val="hy-AM"/>
              </w:rPr>
            </w:pPr>
            <w:r w:rsidRPr="00A83C94">
              <w:rPr>
                <w:b w:val="0"/>
                <w:color w:val="000000"/>
                <w:lang w:val="hy-AM"/>
              </w:rPr>
              <w:t>-11.9</w:t>
            </w:r>
          </w:p>
        </w:tc>
      </w:tr>
      <w:tr w:rsidR="0087134D" w:rsidRPr="00A83C94" w14:paraId="4E3CEACF" w14:textId="77777777" w:rsidTr="00383BAD">
        <w:trPr>
          <w:trHeight w:val="660"/>
        </w:trPr>
        <w:tc>
          <w:tcPr>
            <w:tcW w:w="5260" w:type="dxa"/>
            <w:tcBorders>
              <w:top w:val="nil"/>
              <w:left w:val="single" w:sz="4" w:space="0" w:color="333399"/>
              <w:bottom w:val="single" w:sz="4" w:space="0" w:color="333399"/>
              <w:right w:val="single" w:sz="4" w:space="0" w:color="333399"/>
            </w:tcBorders>
            <w:shd w:val="clear" w:color="auto" w:fill="auto"/>
            <w:vAlign w:val="center"/>
            <w:hideMark/>
          </w:tcPr>
          <w:p w14:paraId="0CEB1D06" w14:textId="77777777" w:rsidR="0087134D" w:rsidRPr="00A83C94" w:rsidRDefault="0087134D" w:rsidP="00383BAD">
            <w:pPr>
              <w:spacing w:before="0" w:line="240" w:lineRule="auto"/>
              <w:ind w:firstLine="0"/>
              <w:jc w:val="left"/>
              <w:rPr>
                <w:b w:val="0"/>
                <w:color w:val="000000"/>
                <w:lang w:val="hy-AM"/>
              </w:rPr>
            </w:pPr>
            <w:r w:rsidRPr="00A83C94">
              <w:rPr>
                <w:b w:val="0"/>
                <w:color w:val="000000"/>
                <w:lang w:val="hy-AM"/>
              </w:rPr>
              <w:t>2. 1.5 տոկոսային կետով ավելի ցածր գնաճի ռիսկ</w:t>
            </w:r>
          </w:p>
        </w:tc>
        <w:tc>
          <w:tcPr>
            <w:tcW w:w="1900" w:type="dxa"/>
            <w:tcBorders>
              <w:top w:val="nil"/>
              <w:left w:val="nil"/>
              <w:bottom w:val="single" w:sz="4" w:space="0" w:color="333399"/>
              <w:right w:val="single" w:sz="4" w:space="0" w:color="333399"/>
            </w:tcBorders>
            <w:shd w:val="clear" w:color="auto" w:fill="auto"/>
            <w:vAlign w:val="center"/>
            <w:hideMark/>
          </w:tcPr>
          <w:p w14:paraId="32C5182B" w14:textId="77777777" w:rsidR="0087134D" w:rsidRPr="00A83C94" w:rsidRDefault="0087134D" w:rsidP="00383BAD">
            <w:pPr>
              <w:spacing w:before="0" w:line="240" w:lineRule="auto"/>
              <w:ind w:firstLine="0"/>
              <w:jc w:val="center"/>
              <w:rPr>
                <w:b w:val="0"/>
                <w:color w:val="000000"/>
              </w:rPr>
            </w:pPr>
            <w:r w:rsidRPr="00A83C94">
              <w:rPr>
                <w:b w:val="0"/>
                <w:color w:val="000000"/>
              </w:rPr>
              <w:t>5.3</w:t>
            </w:r>
          </w:p>
        </w:tc>
      </w:tr>
      <w:tr w:rsidR="0087134D" w:rsidRPr="00A83C94" w14:paraId="2D416A32" w14:textId="77777777" w:rsidTr="00383BAD">
        <w:trPr>
          <w:trHeight w:val="660"/>
        </w:trPr>
        <w:tc>
          <w:tcPr>
            <w:tcW w:w="5260" w:type="dxa"/>
            <w:tcBorders>
              <w:top w:val="nil"/>
              <w:left w:val="single" w:sz="4" w:space="0" w:color="333399"/>
              <w:bottom w:val="nil"/>
              <w:right w:val="single" w:sz="4" w:space="0" w:color="333399"/>
            </w:tcBorders>
            <w:shd w:val="clear" w:color="auto" w:fill="auto"/>
            <w:vAlign w:val="center"/>
            <w:hideMark/>
          </w:tcPr>
          <w:p w14:paraId="1208E217" w14:textId="77777777" w:rsidR="0087134D" w:rsidRPr="00A83C94" w:rsidRDefault="0087134D" w:rsidP="00383BAD">
            <w:pPr>
              <w:spacing w:before="0" w:line="240" w:lineRule="auto"/>
              <w:ind w:firstLine="0"/>
              <w:jc w:val="left"/>
              <w:rPr>
                <w:b w:val="0"/>
                <w:color w:val="000000"/>
              </w:rPr>
            </w:pPr>
            <w:r w:rsidRPr="00A83C94">
              <w:rPr>
                <w:b w:val="0"/>
                <w:color w:val="000000"/>
              </w:rPr>
              <w:t>3. Փոխարժեքի առավելագույնը 4.0 տոկոսով արժեզրկման ռիսկ</w:t>
            </w:r>
          </w:p>
        </w:tc>
        <w:tc>
          <w:tcPr>
            <w:tcW w:w="1900" w:type="dxa"/>
            <w:tcBorders>
              <w:top w:val="nil"/>
              <w:left w:val="nil"/>
              <w:bottom w:val="nil"/>
              <w:right w:val="single" w:sz="4" w:space="0" w:color="333399"/>
            </w:tcBorders>
            <w:shd w:val="clear" w:color="auto" w:fill="auto"/>
            <w:vAlign w:val="center"/>
            <w:hideMark/>
          </w:tcPr>
          <w:p w14:paraId="79D64C7E" w14:textId="77777777" w:rsidR="0087134D" w:rsidRPr="00A83C94" w:rsidRDefault="0087134D" w:rsidP="00383BAD">
            <w:pPr>
              <w:spacing w:before="0" w:line="240" w:lineRule="auto"/>
              <w:ind w:firstLine="0"/>
              <w:jc w:val="center"/>
              <w:rPr>
                <w:b w:val="0"/>
                <w:color w:val="000000"/>
              </w:rPr>
            </w:pPr>
            <w:r w:rsidRPr="00A83C94">
              <w:rPr>
                <w:b w:val="0"/>
                <w:color w:val="000000"/>
              </w:rPr>
              <w:t>6.1</w:t>
            </w:r>
          </w:p>
        </w:tc>
      </w:tr>
      <w:tr w:rsidR="0087134D" w:rsidRPr="00A83C94" w14:paraId="7781B5D7" w14:textId="77777777" w:rsidTr="00383BAD">
        <w:trPr>
          <w:trHeight w:val="563"/>
        </w:trPr>
        <w:tc>
          <w:tcPr>
            <w:tcW w:w="5260" w:type="dxa"/>
            <w:tcBorders>
              <w:top w:val="single" w:sz="4" w:space="0" w:color="333399"/>
              <w:left w:val="single" w:sz="4" w:space="0" w:color="333399"/>
              <w:bottom w:val="single" w:sz="4" w:space="0" w:color="333399"/>
              <w:right w:val="single" w:sz="4" w:space="0" w:color="333399"/>
            </w:tcBorders>
            <w:shd w:val="clear" w:color="auto" w:fill="auto"/>
            <w:vAlign w:val="center"/>
            <w:hideMark/>
          </w:tcPr>
          <w:p w14:paraId="4193D3B6" w14:textId="77777777" w:rsidR="0087134D" w:rsidRPr="00A83C94" w:rsidRDefault="0087134D" w:rsidP="00383BAD">
            <w:pPr>
              <w:spacing w:before="0" w:line="240" w:lineRule="auto"/>
              <w:ind w:firstLine="0"/>
              <w:jc w:val="left"/>
              <w:rPr>
                <w:b w:val="0"/>
                <w:color w:val="000000"/>
              </w:rPr>
            </w:pPr>
            <w:r w:rsidRPr="00A83C94">
              <w:rPr>
                <w:b w:val="0"/>
                <w:color w:val="000000"/>
              </w:rPr>
              <w:t>4. Ներմուծման 11.8 տոկոսով նվազման ռիսկ</w:t>
            </w:r>
          </w:p>
        </w:tc>
        <w:tc>
          <w:tcPr>
            <w:tcW w:w="1900" w:type="dxa"/>
            <w:tcBorders>
              <w:top w:val="single" w:sz="4" w:space="0" w:color="333399"/>
              <w:left w:val="nil"/>
              <w:bottom w:val="single" w:sz="4" w:space="0" w:color="333399"/>
              <w:right w:val="single" w:sz="4" w:space="0" w:color="333399"/>
            </w:tcBorders>
            <w:shd w:val="clear" w:color="auto" w:fill="auto"/>
            <w:vAlign w:val="center"/>
            <w:hideMark/>
          </w:tcPr>
          <w:p w14:paraId="5F2DB4E6" w14:textId="77777777" w:rsidR="0087134D" w:rsidRPr="00A83C94" w:rsidRDefault="0087134D" w:rsidP="00383BAD">
            <w:pPr>
              <w:spacing w:before="0" w:line="240" w:lineRule="auto"/>
              <w:ind w:firstLine="0"/>
              <w:jc w:val="center"/>
              <w:rPr>
                <w:b w:val="0"/>
                <w:color w:val="000000"/>
              </w:rPr>
            </w:pPr>
            <w:r w:rsidRPr="00A83C94">
              <w:rPr>
                <w:b w:val="0"/>
                <w:color w:val="000000"/>
              </w:rPr>
              <w:t>-21.9</w:t>
            </w:r>
          </w:p>
        </w:tc>
      </w:tr>
      <w:tr w:rsidR="0087134D" w:rsidRPr="00A83C94" w14:paraId="53758FCA" w14:textId="77777777" w:rsidTr="00383BAD">
        <w:trPr>
          <w:trHeight w:val="380"/>
        </w:trPr>
        <w:tc>
          <w:tcPr>
            <w:tcW w:w="5260" w:type="dxa"/>
            <w:tcBorders>
              <w:top w:val="nil"/>
              <w:left w:val="single" w:sz="4" w:space="0" w:color="333399"/>
              <w:bottom w:val="single" w:sz="4" w:space="0" w:color="333399"/>
              <w:right w:val="single" w:sz="4" w:space="0" w:color="333399"/>
            </w:tcBorders>
            <w:shd w:val="clear" w:color="auto" w:fill="auto"/>
            <w:vAlign w:val="center"/>
            <w:hideMark/>
          </w:tcPr>
          <w:p w14:paraId="4629F496" w14:textId="77777777" w:rsidR="0087134D" w:rsidRPr="00A83C94" w:rsidRDefault="0087134D" w:rsidP="00383BAD">
            <w:pPr>
              <w:spacing w:before="0" w:line="240" w:lineRule="auto"/>
              <w:ind w:firstLine="0"/>
              <w:jc w:val="left"/>
              <w:rPr>
                <w:b w:val="0"/>
                <w:bCs/>
                <w:color w:val="000000"/>
              </w:rPr>
            </w:pPr>
            <w:r w:rsidRPr="00A83C94">
              <w:rPr>
                <w:b w:val="0"/>
                <w:bCs/>
                <w:color w:val="000000"/>
              </w:rPr>
              <w:t>Ընդամենը</w:t>
            </w:r>
          </w:p>
        </w:tc>
        <w:tc>
          <w:tcPr>
            <w:tcW w:w="1900" w:type="dxa"/>
            <w:tcBorders>
              <w:top w:val="nil"/>
              <w:left w:val="nil"/>
              <w:bottom w:val="single" w:sz="4" w:space="0" w:color="333399"/>
              <w:right w:val="single" w:sz="4" w:space="0" w:color="333399"/>
            </w:tcBorders>
            <w:shd w:val="clear" w:color="auto" w:fill="auto"/>
            <w:vAlign w:val="center"/>
            <w:hideMark/>
          </w:tcPr>
          <w:p w14:paraId="52990585" w14:textId="77777777" w:rsidR="0087134D" w:rsidRPr="00A83C94" w:rsidRDefault="0087134D" w:rsidP="00383BAD">
            <w:pPr>
              <w:spacing w:before="0" w:line="240" w:lineRule="auto"/>
              <w:ind w:firstLine="0"/>
              <w:jc w:val="center"/>
              <w:rPr>
                <w:b w:val="0"/>
                <w:bCs/>
                <w:color w:val="000000"/>
              </w:rPr>
            </w:pPr>
            <w:r w:rsidRPr="00A83C94">
              <w:rPr>
                <w:b w:val="0"/>
                <w:bCs/>
                <w:color w:val="000000"/>
              </w:rPr>
              <w:t>-22.4</w:t>
            </w:r>
          </w:p>
        </w:tc>
      </w:tr>
    </w:tbl>
    <w:p w14:paraId="601A155E" w14:textId="77777777" w:rsidR="0087134D" w:rsidRPr="00A83C94" w:rsidRDefault="0087134D" w:rsidP="0087134D">
      <w:pPr>
        <w:spacing w:after="120" w:line="276" w:lineRule="auto"/>
        <w:ind w:firstLine="720"/>
        <w:rPr>
          <w:rFonts w:cs="Sylfaen"/>
          <w:b w:val="0"/>
          <w:lang w:val="hy-AM"/>
        </w:rPr>
      </w:pPr>
    </w:p>
    <w:p w14:paraId="63B2A0F2" w14:textId="77777777" w:rsidR="0087134D" w:rsidRPr="00A83C94" w:rsidRDefault="0087134D" w:rsidP="0087134D">
      <w:pPr>
        <w:spacing w:after="120" w:line="276" w:lineRule="auto"/>
        <w:ind w:firstLine="720"/>
        <w:rPr>
          <w:rFonts w:cs="Sylfaen"/>
          <w:b w:val="0"/>
          <w:lang w:val="hy-AM"/>
        </w:rPr>
      </w:pPr>
      <w:r w:rsidRPr="00A83C94">
        <w:rPr>
          <w:rFonts w:cs="Sylfaen"/>
          <w:b w:val="0"/>
          <w:lang w:val="hy-AM"/>
        </w:rPr>
        <w:t xml:space="preserve">Աղյուսակ 21-ում ցույց են տրված գնահատված լրացուցիչ ռիսկերը, որոնք կհանգեցնեն լրացուցիչ ֆինանսավորման պահանջի առաջացման: Ակնհայտորեն երևում է, որ գնաճի տատանումների հետևանքով կնվազի նախատեսված ֆինանսավորման պահանջը և համապատասխանաբար կփոփոխվեն նաև պետական բյուջեի ծախսերը` նվազման ուղղությամբ: </w:t>
      </w:r>
    </w:p>
    <w:p w14:paraId="56D55009" w14:textId="77777777" w:rsidR="0087134D" w:rsidRPr="00A83C94" w:rsidRDefault="0087134D" w:rsidP="0087134D">
      <w:pPr>
        <w:spacing w:after="120" w:line="276" w:lineRule="auto"/>
        <w:ind w:firstLine="720"/>
        <w:rPr>
          <w:b w:val="0"/>
          <w:lang w:val="hy-AM"/>
        </w:rPr>
      </w:pPr>
      <w:r w:rsidRPr="00A83C94">
        <w:rPr>
          <w:rFonts w:cs="Sylfaen"/>
          <w:b w:val="0"/>
          <w:lang w:val="hy-AM"/>
        </w:rPr>
        <w:t xml:space="preserve">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2022 թվականին ՀՀ պետական բյուջեի դեֆիցիտի լրացուցիչ ֆինանսավորման պահանջը կկազմի շուրջ 22.4 մլրդ ՀՀ դրամ կամ ՀՆԱ-ի 0.3%-ը: </w:t>
      </w:r>
    </w:p>
    <w:p w14:paraId="506C473B" w14:textId="77777777" w:rsidR="0087134D" w:rsidRPr="00A83C94" w:rsidRDefault="0087134D" w:rsidP="0087134D">
      <w:pPr>
        <w:spacing w:before="0" w:line="240" w:lineRule="auto"/>
        <w:ind w:firstLine="0"/>
        <w:contextualSpacing w:val="0"/>
        <w:jc w:val="left"/>
        <w:rPr>
          <w:rFonts w:eastAsia="Calibri"/>
          <w:b w:val="0"/>
          <w:szCs w:val="22"/>
          <w:lang w:val="hy-AM" w:eastAsia="en-US"/>
        </w:rPr>
      </w:pPr>
      <w:r w:rsidRPr="00A83C94">
        <w:rPr>
          <w:rFonts w:eastAsia="Calibri"/>
          <w:b w:val="0"/>
          <w:szCs w:val="22"/>
          <w:lang w:val="hy-AM" w:eastAsia="en-US"/>
        </w:rPr>
        <w:br w:type="page"/>
      </w:r>
    </w:p>
    <w:p w14:paraId="64F573BB" w14:textId="77777777" w:rsidR="0087134D" w:rsidRPr="00A83C94" w:rsidRDefault="0087134D" w:rsidP="0087134D">
      <w:pPr>
        <w:keepNext/>
        <w:keepLines/>
        <w:spacing w:before="0" w:line="312" w:lineRule="auto"/>
        <w:ind w:firstLine="0"/>
        <w:jc w:val="left"/>
        <w:outlineLvl w:val="2"/>
        <w:rPr>
          <w:szCs w:val="22"/>
          <w:lang w:val="hy-AM" w:eastAsia="en-US"/>
        </w:rPr>
      </w:pPr>
      <w:bookmarkStart w:id="107" w:name="_Toc83663900"/>
      <w:bookmarkStart w:id="108" w:name="_Toc83972893"/>
      <w:bookmarkStart w:id="109" w:name="_Toc89428347"/>
      <w:r w:rsidRPr="00A83C94">
        <w:rPr>
          <w:szCs w:val="22"/>
          <w:lang w:val="hy-AM" w:eastAsia="en-US"/>
        </w:rPr>
        <w:lastRenderedPageBreak/>
        <w:t>3. ԱՅԼ ԿԱՌՈՒՅՑՆԵՐԻ ԿՈՂՄԻՑ ՀՀ ՏՆՏԵՍԱԿԱՆ ԱՃԻ ԿԱՆԽԱՏԵՍՈՒՄՆԵՐԻ ՀԵՏ ՀԱՄԵՄԱՏԱԿԱՆ</w:t>
      </w:r>
      <w:bookmarkEnd w:id="107"/>
      <w:bookmarkEnd w:id="108"/>
      <w:bookmarkEnd w:id="109"/>
    </w:p>
    <w:p w14:paraId="3765A9D8" w14:textId="77777777" w:rsidR="0087134D" w:rsidRPr="00A83C94" w:rsidRDefault="0087134D" w:rsidP="0087134D">
      <w:pPr>
        <w:spacing w:before="40" w:after="60" w:line="276" w:lineRule="auto"/>
        <w:ind w:firstLine="360"/>
        <w:rPr>
          <w:rFonts w:cs="Sylfaen"/>
          <w:b w:val="0"/>
          <w:bCs/>
          <w:szCs w:val="22"/>
          <w:lang w:val="hy-AM"/>
        </w:rPr>
      </w:pPr>
      <w:r w:rsidRPr="00A83C94">
        <w:rPr>
          <w:rFonts w:cs="Sylfaen"/>
          <w:bCs/>
          <w:szCs w:val="22"/>
          <w:u w:val="single"/>
          <w:lang w:val="hy-AM"/>
        </w:rPr>
        <w:t>Կանխատեսումներ։</w:t>
      </w:r>
      <w:r w:rsidRPr="00A83C94">
        <w:rPr>
          <w:rFonts w:cs="Sylfaen"/>
          <w:bCs/>
          <w:szCs w:val="22"/>
          <w:lang w:val="hy-AM"/>
        </w:rPr>
        <w:t xml:space="preserve"> </w:t>
      </w:r>
      <w:r w:rsidRPr="00A83C94">
        <w:rPr>
          <w:rFonts w:cs="Sylfaen"/>
          <w:b w:val="0"/>
          <w:bCs/>
          <w:szCs w:val="22"/>
          <w:lang w:val="hy-AM"/>
        </w:rPr>
        <w:t>Աղյուսակ 23-ում ներկայացված է ՀՀ ֆինանսների նախարարության և այլ կառույցների կողմից ՀՀ տնտեսական աճի 2021-2022թթ. կանխատեսումների համեմատականը: Նշված կառույցներից մի մասի կողմից 2021թ. ՀՀ տնտեսական աճի կանխատեսումները տարվա ընթացքում վերանայվել են աճի ուղղությամբ: Այսպես` ՀՀ կենտրոնական բանկը, Ֆիթչ վարկանիշային կազմակերպությունը և Արժույթի միջազգային հիմնադրամը 2021թ. ՀՆԱ կանխատեսվող ցուցանիշը սեպտեմբեր ամսին բարձրացրել են 0.8-5.5 տոկոսային կետով՝ կանխատեսելով համապատասխանաբար 5.4%, 5</w:t>
      </w:r>
      <w:r w:rsidRPr="00A83C94">
        <w:rPr>
          <w:rFonts w:ascii="Cambria Math" w:hAnsi="Cambria Math" w:cs="Cambria Math"/>
          <w:b w:val="0"/>
          <w:bCs/>
          <w:szCs w:val="22"/>
          <w:lang w:val="hy-AM"/>
        </w:rPr>
        <w:t>․</w:t>
      </w:r>
      <w:r w:rsidRPr="00A83C94">
        <w:rPr>
          <w:rFonts w:cs="Sylfaen"/>
          <w:b w:val="0"/>
          <w:bCs/>
          <w:szCs w:val="22"/>
          <w:lang w:val="hy-AM"/>
        </w:rPr>
        <w:t>5% և 6</w:t>
      </w:r>
      <w:r w:rsidRPr="00A83C94">
        <w:rPr>
          <w:rFonts w:ascii="Cambria Math" w:hAnsi="Cambria Math" w:cs="Cambria Math"/>
          <w:b w:val="0"/>
          <w:bCs/>
          <w:szCs w:val="22"/>
          <w:lang w:val="hy-AM"/>
        </w:rPr>
        <w:t>․</w:t>
      </w:r>
      <w:r w:rsidRPr="00A83C94">
        <w:rPr>
          <w:rFonts w:cs="Sylfaen"/>
          <w:b w:val="0"/>
          <w:bCs/>
          <w:szCs w:val="22"/>
          <w:lang w:val="hy-AM"/>
        </w:rPr>
        <w:t>5% տնտեսական աճ: Համաշխարհային բանկը հունիսին ևս վերանայել է իր կանխատեսումները դեպի վերև՝ կանխատեսելով 3</w:t>
      </w:r>
      <w:r w:rsidRPr="00A83C94">
        <w:rPr>
          <w:rFonts w:ascii="Cambria Math" w:hAnsi="Cambria Math" w:cs="Cambria Math"/>
          <w:b w:val="0"/>
          <w:bCs/>
          <w:szCs w:val="22"/>
          <w:lang w:val="hy-AM"/>
        </w:rPr>
        <w:t>․</w:t>
      </w:r>
      <w:r w:rsidRPr="00A83C94">
        <w:rPr>
          <w:rFonts w:cs="Sylfaen"/>
          <w:b w:val="0"/>
          <w:bCs/>
          <w:szCs w:val="22"/>
          <w:lang w:val="hy-AM"/>
        </w:rPr>
        <w:t xml:space="preserve">4% </w:t>
      </w:r>
      <w:r w:rsidRPr="00A83C94">
        <w:rPr>
          <w:rFonts w:cs="GHEA Grapalat"/>
          <w:b w:val="0"/>
          <w:bCs/>
          <w:szCs w:val="22"/>
          <w:lang w:val="hy-AM"/>
        </w:rPr>
        <w:t>տնտեսական</w:t>
      </w:r>
      <w:r w:rsidRPr="00A83C94">
        <w:rPr>
          <w:rFonts w:cs="Sylfaen"/>
          <w:b w:val="0"/>
          <w:bCs/>
          <w:szCs w:val="22"/>
          <w:lang w:val="hy-AM"/>
        </w:rPr>
        <w:t xml:space="preserve"> </w:t>
      </w:r>
      <w:r w:rsidRPr="00A83C94">
        <w:rPr>
          <w:rFonts w:cs="GHEA Grapalat"/>
          <w:b w:val="0"/>
          <w:bCs/>
          <w:szCs w:val="22"/>
          <w:lang w:val="hy-AM"/>
        </w:rPr>
        <w:t>աճ</w:t>
      </w:r>
      <w:r w:rsidRPr="00A83C94">
        <w:rPr>
          <w:rFonts w:cs="Sylfaen"/>
          <w:b w:val="0"/>
          <w:bCs/>
          <w:szCs w:val="22"/>
          <w:lang w:val="hy-AM"/>
        </w:rPr>
        <w:t>: Ըստ Մուդիս վարկանիշային կազմակերպության օգոստոս ամսվա կանխատեսումների՝ 2021թ. սպասվում է 4.5% տնտեսական աճ: 2021թ. ՀՀ տնտեսական աճի ավելի բարձր կանխատեսումները պայմանավորված են ինչպես ՀՀ, այնպես էլ աշխարհի տնտեսությունների վերջին զարգացումներով:</w:t>
      </w:r>
    </w:p>
    <w:p w14:paraId="5231A64C" w14:textId="4D21515E" w:rsidR="0087134D" w:rsidRPr="00A83C94" w:rsidRDefault="0087134D" w:rsidP="0087134D">
      <w:pPr>
        <w:pStyle w:val="Caption"/>
        <w:rPr>
          <w:rFonts w:cs="Sylfaen"/>
          <w:bCs w:val="0"/>
          <w:i/>
          <w:color w:val="auto"/>
          <w:sz w:val="20"/>
          <w:szCs w:val="20"/>
          <w:lang w:val="hy-AM"/>
        </w:rPr>
      </w:pPr>
      <w:bookmarkStart w:id="110" w:name="_Toc83928958"/>
      <w:bookmarkStart w:id="111" w:name="_Toc89428782"/>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22</w:t>
      </w:r>
      <w:r>
        <w:fldChar w:fldCharType="end"/>
      </w:r>
      <w:r w:rsidRPr="00A83C94">
        <w:rPr>
          <w:lang w:val="hy-AM"/>
        </w:rPr>
        <w:t>.</w:t>
      </w:r>
      <w:r w:rsidRPr="00A83C94">
        <w:rPr>
          <w:color w:val="auto"/>
          <w:sz w:val="20"/>
          <w:szCs w:val="20"/>
          <w:lang w:val="hy-AM"/>
        </w:rPr>
        <w:t xml:space="preserve"> </w:t>
      </w:r>
      <w:r w:rsidRPr="00A83C94">
        <w:rPr>
          <w:rFonts w:eastAsia="Calibri"/>
          <w:i/>
          <w:sz w:val="20"/>
          <w:szCs w:val="20"/>
          <w:lang w:val="hy-AM" w:eastAsia="en-US"/>
        </w:rPr>
        <w:t>ՀՀ ՖՆ և այլ կառույցների կողմից ՀՀ տնտեսական աճի կանխատեսումները (%)</w:t>
      </w:r>
      <w:bookmarkEnd w:id="110"/>
      <w:bookmarkEnd w:id="111"/>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7"/>
        <w:gridCol w:w="1549"/>
        <w:gridCol w:w="1580"/>
      </w:tblGrid>
      <w:tr w:rsidR="0087134D" w:rsidRPr="00A83C94" w14:paraId="05E5797A" w14:textId="77777777" w:rsidTr="00383BAD">
        <w:trPr>
          <w:trHeight w:val="206"/>
          <w:jc w:val="center"/>
        </w:trPr>
        <w:tc>
          <w:tcPr>
            <w:tcW w:w="6377" w:type="dxa"/>
            <w:tcBorders>
              <w:top w:val="single" w:sz="4" w:space="0" w:color="auto"/>
              <w:left w:val="single" w:sz="4" w:space="0" w:color="auto"/>
              <w:bottom w:val="single" w:sz="4" w:space="0" w:color="auto"/>
              <w:right w:val="single" w:sz="4" w:space="0" w:color="auto"/>
            </w:tcBorders>
            <w:shd w:val="clear" w:color="auto" w:fill="4F81BD"/>
            <w:noWrap/>
            <w:vAlign w:val="center"/>
          </w:tcPr>
          <w:p w14:paraId="55C5A1DA" w14:textId="77777777" w:rsidR="0087134D" w:rsidRPr="00A83C94" w:rsidRDefault="0087134D" w:rsidP="00383BAD">
            <w:pPr>
              <w:spacing w:before="40" w:after="60" w:line="276" w:lineRule="auto"/>
              <w:ind w:right="111" w:firstLine="0"/>
              <w:contextualSpacing w:val="0"/>
              <w:jc w:val="left"/>
              <w:rPr>
                <w:rFonts w:cs="Calibri"/>
                <w:color w:val="000000"/>
                <w:sz w:val="18"/>
                <w:szCs w:val="18"/>
                <w:lang w:val="it-IT" w:eastAsia="en-US"/>
              </w:rPr>
            </w:pPr>
          </w:p>
        </w:tc>
        <w:tc>
          <w:tcPr>
            <w:tcW w:w="1549" w:type="dxa"/>
            <w:tcBorders>
              <w:top w:val="single" w:sz="4" w:space="0" w:color="auto"/>
              <w:left w:val="single" w:sz="4" w:space="0" w:color="auto"/>
              <w:bottom w:val="single" w:sz="4" w:space="0" w:color="auto"/>
              <w:right w:val="single" w:sz="4" w:space="0" w:color="auto"/>
            </w:tcBorders>
            <w:shd w:val="clear" w:color="auto" w:fill="4F81BD"/>
            <w:noWrap/>
            <w:vAlign w:val="bottom"/>
            <w:hideMark/>
          </w:tcPr>
          <w:p w14:paraId="19DF05C9" w14:textId="77777777" w:rsidR="0087134D" w:rsidRPr="00A83C94" w:rsidRDefault="0087134D" w:rsidP="00383BAD">
            <w:pPr>
              <w:spacing w:before="40" w:after="60" w:line="276" w:lineRule="auto"/>
              <w:ind w:right="111" w:firstLine="0"/>
              <w:contextualSpacing w:val="0"/>
              <w:jc w:val="center"/>
              <w:rPr>
                <w:rFonts w:cs="Calibri"/>
                <w:b w:val="0"/>
                <w:bCs/>
                <w:color w:val="000000"/>
                <w:sz w:val="18"/>
                <w:szCs w:val="18"/>
                <w:lang w:val="hy-AM" w:eastAsia="en-US"/>
              </w:rPr>
            </w:pPr>
            <w:r w:rsidRPr="00A83C94">
              <w:rPr>
                <w:rFonts w:cs="Calibri"/>
                <w:b w:val="0"/>
                <w:bCs/>
                <w:color w:val="000000"/>
                <w:sz w:val="18"/>
                <w:szCs w:val="18"/>
                <w:lang w:val="hy-AM" w:eastAsia="en-US"/>
              </w:rPr>
              <w:t>2021</w:t>
            </w:r>
          </w:p>
        </w:tc>
        <w:tc>
          <w:tcPr>
            <w:tcW w:w="1580"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14:paraId="1BED9E7A" w14:textId="77777777" w:rsidR="0087134D" w:rsidRPr="00A83C94" w:rsidRDefault="0087134D" w:rsidP="00383BAD">
            <w:pPr>
              <w:spacing w:before="40" w:after="60" w:line="276" w:lineRule="auto"/>
              <w:ind w:right="111" w:firstLine="0"/>
              <w:contextualSpacing w:val="0"/>
              <w:jc w:val="center"/>
              <w:rPr>
                <w:rFonts w:cs="Calibri"/>
                <w:b w:val="0"/>
                <w:bCs/>
                <w:color w:val="000000"/>
                <w:sz w:val="18"/>
                <w:szCs w:val="18"/>
                <w:lang w:val="hy-AM" w:eastAsia="en-US"/>
              </w:rPr>
            </w:pPr>
            <w:r w:rsidRPr="00A83C94">
              <w:rPr>
                <w:rFonts w:cs="Calibri"/>
                <w:b w:val="0"/>
                <w:bCs/>
                <w:color w:val="000000"/>
                <w:sz w:val="18"/>
                <w:szCs w:val="18"/>
                <w:lang w:val="hy-AM" w:eastAsia="en-US"/>
              </w:rPr>
              <w:t>2022</w:t>
            </w:r>
          </w:p>
        </w:tc>
      </w:tr>
      <w:tr w:rsidR="0087134D" w:rsidRPr="00A83C94" w14:paraId="28FC12D9" w14:textId="77777777" w:rsidTr="00383BAD">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71F7EA" w14:textId="77777777" w:rsidR="0087134D" w:rsidRPr="00A83C94" w:rsidRDefault="0087134D" w:rsidP="00383BAD">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ՀՀ ֆինանսների նախարարություն</w:t>
            </w:r>
            <w:r w:rsidRPr="00A83C94">
              <w:rPr>
                <w:rFonts w:cs="Calibri"/>
                <w:b w:val="0"/>
                <w:color w:val="000000"/>
                <w:sz w:val="20"/>
                <w:szCs w:val="20"/>
                <w:lang w:val="en-US" w:eastAsia="en-US"/>
              </w:rPr>
              <w:t xml:space="preserve"> (2021 </w:t>
            </w:r>
            <w:r w:rsidRPr="00A83C94">
              <w:rPr>
                <w:rFonts w:cs="Calibri"/>
                <w:b w:val="0"/>
                <w:color w:val="000000"/>
                <w:sz w:val="20"/>
                <w:szCs w:val="20"/>
                <w:lang w:val="hy-AM" w:eastAsia="en-US"/>
              </w:rPr>
              <w:t>սեպտեմբեր</w:t>
            </w:r>
            <w:r w:rsidRPr="00A83C94">
              <w:rPr>
                <w:rFonts w:cs="Calibri"/>
                <w:b w:val="0"/>
                <w:color w:val="000000"/>
                <w:sz w:val="20"/>
                <w:szCs w:val="20"/>
                <w:lang w:val="en-US"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14:paraId="6240A77E" w14:textId="77777777" w:rsidR="0087134D" w:rsidRPr="00A83C94" w:rsidRDefault="0087134D" w:rsidP="00383BAD">
            <w:pPr>
              <w:spacing w:before="0" w:line="276" w:lineRule="auto"/>
              <w:ind w:right="111" w:firstLine="0"/>
              <w:contextualSpacing w:val="0"/>
              <w:jc w:val="center"/>
              <w:rPr>
                <w:rFonts w:cs="Calibri"/>
                <w:color w:val="000000"/>
                <w:sz w:val="20"/>
                <w:szCs w:val="20"/>
                <w:lang w:val="hy-AM" w:eastAsia="en-US"/>
              </w:rPr>
            </w:pPr>
            <w:r w:rsidRPr="00A83C94">
              <w:rPr>
                <w:rFonts w:cs="Calibri"/>
                <w:b w:val="0"/>
                <w:color w:val="000000"/>
                <w:sz w:val="20"/>
                <w:szCs w:val="20"/>
                <w:lang w:val="hy-AM" w:eastAsia="en-US"/>
              </w:rPr>
              <w:t>6.5</w:t>
            </w:r>
          </w:p>
        </w:tc>
        <w:tc>
          <w:tcPr>
            <w:tcW w:w="1580" w:type="dxa"/>
            <w:tcBorders>
              <w:top w:val="single" w:sz="4" w:space="0" w:color="auto"/>
              <w:left w:val="single" w:sz="4" w:space="0" w:color="auto"/>
              <w:bottom w:val="single" w:sz="4" w:space="0" w:color="auto"/>
              <w:right w:val="single" w:sz="4" w:space="0" w:color="auto"/>
            </w:tcBorders>
            <w:noWrap/>
            <w:vAlign w:val="center"/>
          </w:tcPr>
          <w:p w14:paraId="656684A8"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7</w:t>
            </w:r>
            <w:r w:rsidRPr="00A83C94">
              <w:rPr>
                <w:rFonts w:cs="Calibri"/>
                <w:b w:val="0"/>
                <w:color w:val="000000"/>
                <w:sz w:val="20"/>
                <w:szCs w:val="20"/>
                <w:lang w:val="hy-AM" w:eastAsia="en-US"/>
              </w:rPr>
              <w:t>.</w:t>
            </w:r>
            <w:r w:rsidRPr="00A83C94">
              <w:rPr>
                <w:rFonts w:cs="Calibri"/>
                <w:b w:val="0"/>
                <w:color w:val="000000"/>
                <w:sz w:val="20"/>
                <w:szCs w:val="20"/>
                <w:lang w:val="en-US" w:eastAsia="en-US"/>
              </w:rPr>
              <w:t>0</w:t>
            </w:r>
          </w:p>
        </w:tc>
      </w:tr>
      <w:tr w:rsidR="0087134D" w:rsidRPr="00A83C94" w14:paraId="74690DD5" w14:textId="77777777" w:rsidTr="00383BAD">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6BE54C" w14:textId="77777777" w:rsidR="0087134D" w:rsidRPr="00A83C94" w:rsidRDefault="0087134D" w:rsidP="00383BAD">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 xml:space="preserve">ՀՀ ֆինանսների նախարարություն (2021 </w:t>
            </w:r>
            <w:r w:rsidRPr="00A83C94">
              <w:rPr>
                <w:rFonts w:cs="Calibri"/>
                <w:b w:val="0"/>
                <w:color w:val="000000"/>
                <w:sz w:val="20"/>
                <w:szCs w:val="20"/>
                <w:lang w:val="en-US" w:eastAsia="en-US"/>
              </w:rPr>
              <w:t>հուլիս</w:t>
            </w:r>
            <w:r w:rsidRPr="00A83C94">
              <w:rPr>
                <w:rFonts w:cs="Calibri"/>
                <w:b w:val="0"/>
                <w:color w:val="000000"/>
                <w:sz w:val="20"/>
                <w:szCs w:val="20"/>
                <w:lang w:val="hy-AM"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14:paraId="6B4885F9"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6.0</w:t>
            </w:r>
          </w:p>
        </w:tc>
        <w:tc>
          <w:tcPr>
            <w:tcW w:w="1580" w:type="dxa"/>
            <w:tcBorders>
              <w:top w:val="single" w:sz="4" w:space="0" w:color="auto"/>
              <w:left w:val="single" w:sz="4" w:space="0" w:color="auto"/>
              <w:bottom w:val="single" w:sz="4" w:space="0" w:color="auto"/>
              <w:right w:val="single" w:sz="4" w:space="0" w:color="auto"/>
            </w:tcBorders>
            <w:noWrap/>
            <w:vAlign w:val="center"/>
          </w:tcPr>
          <w:p w14:paraId="58489AD7"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5.2</w:t>
            </w:r>
          </w:p>
        </w:tc>
      </w:tr>
      <w:tr w:rsidR="0087134D" w:rsidRPr="00A83C94" w14:paraId="5965A5A0" w14:textId="77777777" w:rsidTr="00383BAD">
        <w:trPr>
          <w:trHeight w:val="20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449B83" w14:textId="77777777" w:rsidR="0087134D" w:rsidRPr="00A83C94" w:rsidRDefault="0087134D" w:rsidP="00383BAD">
            <w:pPr>
              <w:spacing w:before="0" w:line="240" w:lineRule="auto"/>
              <w:ind w:right="115" w:firstLine="0"/>
              <w:contextualSpacing w:val="0"/>
              <w:jc w:val="left"/>
              <w:rPr>
                <w:rFonts w:cs="Calibri"/>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4C0EE999"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732479E8"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p>
        </w:tc>
      </w:tr>
      <w:tr w:rsidR="0087134D" w:rsidRPr="00A83C94" w14:paraId="419B508E" w14:textId="77777777" w:rsidTr="00383BAD">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8FDE24" w14:textId="77777777" w:rsidR="0087134D" w:rsidRPr="00A83C94" w:rsidRDefault="0087134D" w:rsidP="00383BAD">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ՀՀ կենտրոնական բանկ (2021 սեպտեմբեր)</w:t>
            </w:r>
          </w:p>
        </w:tc>
        <w:tc>
          <w:tcPr>
            <w:tcW w:w="1549" w:type="dxa"/>
            <w:tcBorders>
              <w:top w:val="single" w:sz="4" w:space="0" w:color="auto"/>
              <w:left w:val="single" w:sz="4" w:space="0" w:color="auto"/>
              <w:bottom w:val="single" w:sz="4" w:space="0" w:color="auto"/>
              <w:right w:val="single" w:sz="4" w:space="0" w:color="auto"/>
            </w:tcBorders>
            <w:noWrap/>
            <w:vAlign w:val="center"/>
          </w:tcPr>
          <w:p w14:paraId="4949DDF3"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5.4</w:t>
            </w:r>
          </w:p>
        </w:tc>
        <w:tc>
          <w:tcPr>
            <w:tcW w:w="1580" w:type="dxa"/>
            <w:tcBorders>
              <w:top w:val="single" w:sz="4" w:space="0" w:color="auto"/>
              <w:left w:val="single" w:sz="4" w:space="0" w:color="auto"/>
              <w:bottom w:val="single" w:sz="4" w:space="0" w:color="auto"/>
              <w:right w:val="single" w:sz="4" w:space="0" w:color="auto"/>
            </w:tcBorders>
            <w:noWrap/>
            <w:vAlign w:val="center"/>
          </w:tcPr>
          <w:p w14:paraId="31D48912"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w:t>
            </w:r>
          </w:p>
        </w:tc>
      </w:tr>
      <w:tr w:rsidR="0087134D" w:rsidRPr="00A83C94" w14:paraId="599C4492" w14:textId="77777777" w:rsidTr="00383BAD">
        <w:trPr>
          <w:trHeight w:val="372"/>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6E2954" w14:textId="77777777" w:rsidR="0087134D" w:rsidRPr="00A83C94" w:rsidRDefault="0087134D" w:rsidP="00383BAD">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ՀՀ կենտրոնական բանկ (2021 հունիս)</w:t>
            </w:r>
          </w:p>
        </w:tc>
        <w:tc>
          <w:tcPr>
            <w:tcW w:w="1549" w:type="dxa"/>
            <w:tcBorders>
              <w:top w:val="single" w:sz="4" w:space="0" w:color="auto"/>
              <w:left w:val="single" w:sz="4" w:space="0" w:color="auto"/>
              <w:bottom w:val="single" w:sz="4" w:space="0" w:color="auto"/>
              <w:right w:val="single" w:sz="4" w:space="0" w:color="auto"/>
            </w:tcBorders>
            <w:noWrap/>
            <w:vAlign w:val="center"/>
          </w:tcPr>
          <w:p w14:paraId="6334823C"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4.6</w:t>
            </w:r>
          </w:p>
        </w:tc>
        <w:tc>
          <w:tcPr>
            <w:tcW w:w="1580" w:type="dxa"/>
            <w:tcBorders>
              <w:top w:val="single" w:sz="4" w:space="0" w:color="auto"/>
              <w:left w:val="single" w:sz="4" w:space="0" w:color="auto"/>
              <w:bottom w:val="single" w:sz="4" w:space="0" w:color="auto"/>
              <w:right w:val="single" w:sz="4" w:space="0" w:color="auto"/>
            </w:tcBorders>
            <w:noWrap/>
            <w:vAlign w:val="center"/>
          </w:tcPr>
          <w:p w14:paraId="70752869"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2.8</w:t>
            </w:r>
          </w:p>
        </w:tc>
      </w:tr>
      <w:tr w:rsidR="0087134D" w:rsidRPr="00A83C94" w14:paraId="528310DF" w14:textId="77777777" w:rsidTr="00383BAD">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F7BC4" w14:textId="77777777" w:rsidR="0087134D" w:rsidRPr="00A83C94" w:rsidRDefault="0087134D" w:rsidP="00383BAD">
            <w:pPr>
              <w:spacing w:before="0" w:line="240" w:lineRule="auto"/>
              <w:ind w:right="115" w:firstLine="0"/>
              <w:contextualSpacing w:val="0"/>
              <w:jc w:val="left"/>
              <w:rPr>
                <w:rFonts w:cs="Calibri"/>
                <w:b w:val="0"/>
                <w:color w:val="000000"/>
                <w:sz w:val="20"/>
                <w:szCs w:val="20"/>
                <w:lang w:val="en-US"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163BE92B"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136CDDBB"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r>
      <w:tr w:rsidR="0087134D" w:rsidRPr="00A83C94" w14:paraId="0C23E3A4" w14:textId="77777777" w:rsidTr="00383BAD">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B0EDC" w14:textId="77777777" w:rsidR="0087134D" w:rsidRPr="00A83C94" w:rsidRDefault="0087134D" w:rsidP="00383BAD">
            <w:pPr>
              <w:spacing w:before="0" w:line="240" w:lineRule="auto"/>
              <w:ind w:right="115" w:firstLine="0"/>
              <w:contextualSpacing w:val="0"/>
              <w:jc w:val="left"/>
              <w:rPr>
                <w:rFonts w:cs="Calibri"/>
                <w:b w:val="0"/>
                <w:bCs/>
                <w:color w:val="000000"/>
                <w:sz w:val="20"/>
                <w:szCs w:val="20"/>
                <w:lang w:val="hy-AM" w:eastAsia="en-US"/>
              </w:rPr>
            </w:pPr>
            <w:r w:rsidRPr="00A83C94">
              <w:rPr>
                <w:rFonts w:cs="Calibri"/>
                <w:b w:val="0"/>
                <w:color w:val="000000"/>
                <w:sz w:val="20"/>
                <w:szCs w:val="20"/>
                <w:lang w:val="hy-AM" w:eastAsia="en-US"/>
              </w:rPr>
              <w:t>Արժույթի միջազգային հիմնադրամ (</w:t>
            </w:r>
            <w:r w:rsidRPr="00A83C94">
              <w:rPr>
                <w:rFonts w:cs="Calibri"/>
                <w:b w:val="0"/>
                <w:color w:val="000000"/>
                <w:sz w:val="20"/>
                <w:szCs w:val="20"/>
                <w:lang w:val="en-US" w:eastAsia="en-US"/>
              </w:rPr>
              <w:t xml:space="preserve">2021 </w:t>
            </w:r>
            <w:r w:rsidRPr="00A83C94">
              <w:rPr>
                <w:rFonts w:cs="Calibri"/>
                <w:b w:val="0"/>
                <w:color w:val="000000"/>
                <w:sz w:val="20"/>
                <w:szCs w:val="20"/>
                <w:lang w:val="hy-AM" w:eastAsia="en-US"/>
              </w:rPr>
              <w:t>սեպտեմբեր)</w:t>
            </w:r>
          </w:p>
        </w:tc>
        <w:tc>
          <w:tcPr>
            <w:tcW w:w="1549" w:type="dxa"/>
            <w:tcBorders>
              <w:top w:val="single" w:sz="4" w:space="0" w:color="auto"/>
              <w:left w:val="single" w:sz="4" w:space="0" w:color="auto"/>
              <w:bottom w:val="single" w:sz="4" w:space="0" w:color="auto"/>
              <w:right w:val="single" w:sz="4" w:space="0" w:color="auto"/>
            </w:tcBorders>
            <w:noWrap/>
            <w:vAlign w:val="center"/>
          </w:tcPr>
          <w:p w14:paraId="53E5CB36"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6.5</w:t>
            </w:r>
          </w:p>
        </w:tc>
        <w:tc>
          <w:tcPr>
            <w:tcW w:w="1580" w:type="dxa"/>
            <w:tcBorders>
              <w:top w:val="single" w:sz="4" w:space="0" w:color="auto"/>
              <w:left w:val="single" w:sz="4" w:space="0" w:color="auto"/>
              <w:bottom w:val="single" w:sz="4" w:space="0" w:color="auto"/>
              <w:right w:val="single" w:sz="4" w:space="0" w:color="auto"/>
            </w:tcBorders>
            <w:noWrap/>
            <w:vAlign w:val="center"/>
          </w:tcPr>
          <w:p w14:paraId="31B1C6C9"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4.5</w:t>
            </w:r>
          </w:p>
        </w:tc>
      </w:tr>
      <w:tr w:rsidR="0087134D" w:rsidRPr="00A83C94" w14:paraId="48021F71" w14:textId="77777777" w:rsidTr="00383BAD">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E0BD27" w14:textId="77777777" w:rsidR="0087134D" w:rsidRPr="00A83C94" w:rsidRDefault="0087134D" w:rsidP="00383BAD">
            <w:pPr>
              <w:spacing w:before="0" w:line="240" w:lineRule="auto"/>
              <w:ind w:right="115" w:firstLine="0"/>
              <w:contextualSpacing w:val="0"/>
              <w:jc w:val="left"/>
              <w:rPr>
                <w:rFonts w:cs="Calibri"/>
                <w:b w:val="0"/>
                <w:color w:val="000000"/>
                <w:sz w:val="20"/>
                <w:szCs w:val="20"/>
                <w:lang w:val="en-US" w:eastAsia="en-US"/>
              </w:rPr>
            </w:pPr>
            <w:r w:rsidRPr="00A83C94">
              <w:rPr>
                <w:rFonts w:cs="Calibri"/>
                <w:b w:val="0"/>
                <w:color w:val="000000"/>
                <w:sz w:val="20"/>
                <w:szCs w:val="20"/>
                <w:lang w:val="hy-AM" w:eastAsia="en-US"/>
              </w:rPr>
              <w:t>Արժույթի միջազգային հիմնադրամ (</w:t>
            </w:r>
            <w:r w:rsidRPr="00A83C94">
              <w:rPr>
                <w:rFonts w:cs="Calibri"/>
                <w:b w:val="0"/>
                <w:color w:val="000000"/>
                <w:sz w:val="20"/>
                <w:szCs w:val="20"/>
                <w:lang w:val="en-US" w:eastAsia="en-US"/>
              </w:rPr>
              <w:t xml:space="preserve">2021 </w:t>
            </w:r>
            <w:r w:rsidRPr="00A83C94">
              <w:rPr>
                <w:rFonts w:cs="Calibri"/>
                <w:b w:val="0"/>
                <w:color w:val="000000"/>
                <w:sz w:val="20"/>
                <w:szCs w:val="20"/>
                <w:lang w:val="hy-AM" w:eastAsia="en-US"/>
              </w:rPr>
              <w:t>ապրիլ)</w:t>
            </w:r>
          </w:p>
        </w:tc>
        <w:tc>
          <w:tcPr>
            <w:tcW w:w="1549" w:type="dxa"/>
            <w:tcBorders>
              <w:top w:val="single" w:sz="4" w:space="0" w:color="auto"/>
              <w:left w:val="single" w:sz="4" w:space="0" w:color="auto"/>
              <w:bottom w:val="single" w:sz="4" w:space="0" w:color="auto"/>
              <w:right w:val="single" w:sz="4" w:space="0" w:color="auto"/>
            </w:tcBorders>
            <w:noWrap/>
            <w:vAlign w:val="center"/>
          </w:tcPr>
          <w:p w14:paraId="63C5724F"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1.0</w:t>
            </w:r>
          </w:p>
        </w:tc>
        <w:tc>
          <w:tcPr>
            <w:tcW w:w="1580" w:type="dxa"/>
            <w:tcBorders>
              <w:top w:val="single" w:sz="4" w:space="0" w:color="auto"/>
              <w:left w:val="single" w:sz="4" w:space="0" w:color="auto"/>
              <w:bottom w:val="single" w:sz="4" w:space="0" w:color="auto"/>
              <w:right w:val="single" w:sz="4" w:space="0" w:color="auto"/>
            </w:tcBorders>
            <w:noWrap/>
            <w:vAlign w:val="center"/>
          </w:tcPr>
          <w:p w14:paraId="28BF252E"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3.5</w:t>
            </w:r>
          </w:p>
        </w:tc>
      </w:tr>
      <w:tr w:rsidR="0087134D" w:rsidRPr="00A83C94" w14:paraId="2A49FB7B" w14:textId="77777777" w:rsidTr="00383BAD">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7D01B4" w14:textId="77777777" w:rsidR="0087134D" w:rsidRPr="00A83C94" w:rsidRDefault="0087134D" w:rsidP="00383BAD">
            <w:pPr>
              <w:spacing w:before="0" w:line="240" w:lineRule="auto"/>
              <w:ind w:right="115" w:firstLine="0"/>
              <w:contextualSpacing w:val="0"/>
              <w:jc w:val="left"/>
              <w:rPr>
                <w:rFonts w:cs="Calibri"/>
                <w:b w:val="0"/>
                <w:color w:val="000000"/>
                <w:sz w:val="20"/>
                <w:szCs w:val="20"/>
                <w:lang w:val="en-US"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1AB70D17"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7B7DF5C2"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r>
      <w:tr w:rsidR="0087134D" w:rsidRPr="00A83C94" w14:paraId="348F654F" w14:textId="77777777" w:rsidTr="00383BAD">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4155A7" w14:textId="77777777" w:rsidR="0087134D" w:rsidRPr="00A83C94" w:rsidRDefault="0087134D" w:rsidP="00383BAD">
            <w:pPr>
              <w:spacing w:before="0" w:line="240" w:lineRule="auto"/>
              <w:ind w:right="115" w:firstLine="0"/>
              <w:contextualSpacing w:val="0"/>
              <w:jc w:val="left"/>
              <w:rPr>
                <w:rFonts w:cs="Calibri"/>
                <w:color w:val="000000"/>
                <w:sz w:val="20"/>
                <w:szCs w:val="20"/>
                <w:lang w:val="hy-AM" w:eastAsia="en-US"/>
              </w:rPr>
            </w:pPr>
            <w:r w:rsidRPr="00A83C94">
              <w:rPr>
                <w:rFonts w:cs="Calibri"/>
                <w:b w:val="0"/>
                <w:color w:val="000000"/>
                <w:sz w:val="20"/>
                <w:szCs w:val="20"/>
                <w:lang w:val="en-US" w:eastAsia="en-US"/>
              </w:rPr>
              <w:t xml:space="preserve">Ֆիթչ (2021 </w:t>
            </w:r>
            <w:r w:rsidRPr="00A83C94">
              <w:rPr>
                <w:rFonts w:cs="Calibri"/>
                <w:b w:val="0"/>
                <w:color w:val="000000"/>
                <w:sz w:val="20"/>
                <w:szCs w:val="20"/>
                <w:lang w:val="hy-AM" w:eastAsia="en-US"/>
              </w:rPr>
              <w:t>սեպտեմբեր</w:t>
            </w:r>
            <w:r w:rsidRPr="00A83C94">
              <w:rPr>
                <w:rFonts w:cs="Calibri"/>
                <w:b w:val="0"/>
                <w:color w:val="000000"/>
                <w:sz w:val="20"/>
                <w:szCs w:val="20"/>
                <w:lang w:val="en-US"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14:paraId="2C7FDBCF"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5.5</w:t>
            </w:r>
          </w:p>
        </w:tc>
        <w:tc>
          <w:tcPr>
            <w:tcW w:w="1580" w:type="dxa"/>
            <w:tcBorders>
              <w:top w:val="single" w:sz="4" w:space="0" w:color="auto"/>
              <w:left w:val="single" w:sz="4" w:space="0" w:color="auto"/>
              <w:bottom w:val="single" w:sz="4" w:space="0" w:color="auto"/>
              <w:right w:val="single" w:sz="4" w:space="0" w:color="auto"/>
            </w:tcBorders>
            <w:noWrap/>
            <w:vAlign w:val="center"/>
          </w:tcPr>
          <w:p w14:paraId="40205CA8"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5.3</w:t>
            </w:r>
          </w:p>
        </w:tc>
      </w:tr>
      <w:tr w:rsidR="0087134D" w:rsidRPr="00A83C94" w14:paraId="445089F8" w14:textId="77777777" w:rsidTr="00383BAD">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E5E17" w14:textId="77777777" w:rsidR="0087134D" w:rsidRPr="00A83C94" w:rsidRDefault="0087134D" w:rsidP="00383BAD">
            <w:pPr>
              <w:spacing w:before="0" w:line="276" w:lineRule="auto"/>
              <w:ind w:right="111" w:firstLine="0"/>
              <w:contextualSpacing w:val="0"/>
              <w:jc w:val="left"/>
              <w:rPr>
                <w:rFonts w:cs="Calibri"/>
                <w:b w:val="0"/>
                <w:color w:val="000000"/>
                <w:sz w:val="20"/>
                <w:szCs w:val="20"/>
                <w:lang w:val="hy-AM" w:eastAsia="en-US"/>
              </w:rPr>
            </w:pPr>
            <w:r w:rsidRPr="00A83C94">
              <w:rPr>
                <w:rFonts w:cs="Calibri"/>
                <w:b w:val="0"/>
                <w:color w:val="000000"/>
                <w:sz w:val="20"/>
                <w:szCs w:val="20"/>
                <w:lang w:val="en-US" w:eastAsia="en-US"/>
              </w:rPr>
              <w:t>Ֆիթչ (2021 մարտ)</w:t>
            </w:r>
          </w:p>
        </w:tc>
        <w:tc>
          <w:tcPr>
            <w:tcW w:w="1549" w:type="dxa"/>
            <w:tcBorders>
              <w:top w:val="single" w:sz="4" w:space="0" w:color="auto"/>
              <w:left w:val="single" w:sz="4" w:space="0" w:color="auto"/>
              <w:bottom w:val="single" w:sz="4" w:space="0" w:color="auto"/>
              <w:right w:val="single" w:sz="4" w:space="0" w:color="auto"/>
            </w:tcBorders>
            <w:noWrap/>
            <w:vAlign w:val="center"/>
          </w:tcPr>
          <w:p w14:paraId="19DC82C2"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3.2</w:t>
            </w:r>
          </w:p>
        </w:tc>
        <w:tc>
          <w:tcPr>
            <w:tcW w:w="1580" w:type="dxa"/>
            <w:tcBorders>
              <w:top w:val="single" w:sz="4" w:space="0" w:color="auto"/>
              <w:left w:val="single" w:sz="4" w:space="0" w:color="auto"/>
              <w:bottom w:val="single" w:sz="4" w:space="0" w:color="auto"/>
              <w:right w:val="single" w:sz="4" w:space="0" w:color="auto"/>
            </w:tcBorders>
            <w:noWrap/>
            <w:vAlign w:val="center"/>
          </w:tcPr>
          <w:p w14:paraId="3B90FD41"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4.0</w:t>
            </w:r>
          </w:p>
        </w:tc>
      </w:tr>
      <w:tr w:rsidR="0087134D" w:rsidRPr="00A83C94" w14:paraId="3C06B144" w14:textId="77777777" w:rsidTr="00383BAD">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C9C363" w14:textId="77777777" w:rsidR="0087134D" w:rsidRPr="00A83C94" w:rsidRDefault="0087134D" w:rsidP="00383BAD">
            <w:pPr>
              <w:spacing w:before="0" w:line="276" w:lineRule="auto"/>
              <w:ind w:right="111" w:firstLine="0"/>
              <w:contextualSpacing w:val="0"/>
              <w:jc w:val="left"/>
              <w:rPr>
                <w:rFonts w:cs="Calibri"/>
                <w:b w:val="0"/>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37599411"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0292279F"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r>
      <w:tr w:rsidR="0087134D" w:rsidRPr="00A83C94" w14:paraId="59E86A49" w14:textId="77777777" w:rsidTr="00383BAD">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CB4183" w14:textId="77777777" w:rsidR="0087134D" w:rsidRPr="00A83C94" w:rsidRDefault="0087134D" w:rsidP="00383BAD">
            <w:pPr>
              <w:spacing w:before="0" w:line="276" w:lineRule="auto"/>
              <w:ind w:right="111" w:firstLine="0"/>
              <w:contextualSpacing w:val="0"/>
              <w:jc w:val="left"/>
              <w:rPr>
                <w:rFonts w:cs="Calibri"/>
                <w:b w:val="0"/>
                <w:color w:val="000000"/>
                <w:sz w:val="20"/>
                <w:szCs w:val="20"/>
                <w:lang w:val="hy-AM" w:eastAsia="en-US"/>
              </w:rPr>
            </w:pPr>
            <w:r w:rsidRPr="00A83C94">
              <w:rPr>
                <w:rFonts w:cs="Calibri"/>
                <w:b w:val="0"/>
                <w:color w:val="000000"/>
                <w:sz w:val="20"/>
                <w:szCs w:val="20"/>
                <w:lang w:val="hy-AM" w:eastAsia="en-US"/>
              </w:rPr>
              <w:t>Մուդիս (2021թ. օգոստոս)</w:t>
            </w:r>
          </w:p>
        </w:tc>
        <w:tc>
          <w:tcPr>
            <w:tcW w:w="1549" w:type="dxa"/>
            <w:tcBorders>
              <w:top w:val="single" w:sz="4" w:space="0" w:color="auto"/>
              <w:left w:val="single" w:sz="4" w:space="0" w:color="auto"/>
              <w:bottom w:val="single" w:sz="4" w:space="0" w:color="auto"/>
              <w:right w:val="single" w:sz="4" w:space="0" w:color="auto"/>
            </w:tcBorders>
            <w:noWrap/>
            <w:vAlign w:val="center"/>
          </w:tcPr>
          <w:p w14:paraId="7B9D3E30"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4.5</w:t>
            </w:r>
          </w:p>
        </w:tc>
        <w:tc>
          <w:tcPr>
            <w:tcW w:w="1580" w:type="dxa"/>
            <w:tcBorders>
              <w:top w:val="single" w:sz="4" w:space="0" w:color="auto"/>
              <w:left w:val="single" w:sz="4" w:space="0" w:color="auto"/>
              <w:bottom w:val="single" w:sz="4" w:space="0" w:color="auto"/>
              <w:right w:val="single" w:sz="4" w:space="0" w:color="auto"/>
            </w:tcBorders>
            <w:noWrap/>
            <w:vAlign w:val="center"/>
          </w:tcPr>
          <w:p w14:paraId="5A67C474"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7.5</w:t>
            </w:r>
          </w:p>
        </w:tc>
      </w:tr>
      <w:tr w:rsidR="0087134D" w:rsidRPr="00A83C94" w14:paraId="1945C793" w14:textId="77777777" w:rsidTr="00383BAD">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424BAF" w14:textId="77777777" w:rsidR="0087134D" w:rsidRPr="00A83C94" w:rsidRDefault="0087134D" w:rsidP="00383BAD">
            <w:pPr>
              <w:spacing w:before="0" w:line="276" w:lineRule="auto"/>
              <w:ind w:right="111" w:firstLine="0"/>
              <w:contextualSpacing w:val="0"/>
              <w:jc w:val="left"/>
              <w:rPr>
                <w:rFonts w:cs="Calibri"/>
                <w:b w:val="0"/>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3E5E5842"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446CB418"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r>
      <w:tr w:rsidR="0087134D" w:rsidRPr="00A83C94" w14:paraId="2F63C0A5" w14:textId="77777777" w:rsidTr="00383BAD">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06177D" w14:textId="77777777" w:rsidR="0087134D" w:rsidRPr="00A83C94" w:rsidRDefault="0087134D" w:rsidP="00383BAD">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Համաշխարհային բանկ (</w:t>
            </w:r>
            <w:r w:rsidRPr="00A83C94">
              <w:rPr>
                <w:rFonts w:cs="Calibri"/>
                <w:b w:val="0"/>
                <w:color w:val="000000"/>
                <w:sz w:val="20"/>
                <w:szCs w:val="20"/>
                <w:lang w:val="en-US" w:eastAsia="en-US"/>
              </w:rPr>
              <w:t xml:space="preserve">2021 </w:t>
            </w:r>
            <w:r w:rsidRPr="00A83C94">
              <w:rPr>
                <w:rFonts w:cs="Calibri"/>
                <w:b w:val="0"/>
                <w:color w:val="000000"/>
                <w:sz w:val="20"/>
                <w:szCs w:val="20"/>
                <w:lang w:val="hy-AM" w:eastAsia="en-US"/>
              </w:rPr>
              <w:t>հունիս)</w:t>
            </w:r>
          </w:p>
        </w:tc>
        <w:tc>
          <w:tcPr>
            <w:tcW w:w="1549" w:type="dxa"/>
            <w:tcBorders>
              <w:top w:val="single" w:sz="4" w:space="0" w:color="auto"/>
              <w:left w:val="single" w:sz="4" w:space="0" w:color="auto"/>
              <w:bottom w:val="single" w:sz="4" w:space="0" w:color="auto"/>
              <w:right w:val="single" w:sz="4" w:space="0" w:color="auto"/>
            </w:tcBorders>
            <w:noWrap/>
            <w:vAlign w:val="center"/>
          </w:tcPr>
          <w:p w14:paraId="75BFDC04"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3.4</w:t>
            </w:r>
          </w:p>
        </w:tc>
        <w:tc>
          <w:tcPr>
            <w:tcW w:w="1580" w:type="dxa"/>
            <w:tcBorders>
              <w:top w:val="single" w:sz="4" w:space="0" w:color="auto"/>
              <w:left w:val="single" w:sz="4" w:space="0" w:color="auto"/>
              <w:bottom w:val="single" w:sz="4" w:space="0" w:color="auto"/>
              <w:right w:val="single" w:sz="4" w:space="0" w:color="auto"/>
            </w:tcBorders>
            <w:noWrap/>
            <w:vAlign w:val="center"/>
          </w:tcPr>
          <w:p w14:paraId="5C687BD7"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4.3</w:t>
            </w:r>
          </w:p>
        </w:tc>
      </w:tr>
      <w:tr w:rsidR="0087134D" w:rsidRPr="00A83C94" w14:paraId="2022D4CB" w14:textId="77777777" w:rsidTr="00383BAD">
        <w:trPr>
          <w:trHeight w:val="268"/>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E2561B" w14:textId="77777777" w:rsidR="0087134D" w:rsidRPr="00A83C94" w:rsidRDefault="0087134D" w:rsidP="00383BAD">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Համաշխարհային բանկ (</w:t>
            </w:r>
            <w:r w:rsidRPr="00A83C94">
              <w:rPr>
                <w:rFonts w:cs="Calibri"/>
                <w:b w:val="0"/>
                <w:color w:val="000000"/>
                <w:sz w:val="20"/>
                <w:szCs w:val="20"/>
                <w:lang w:val="en-US" w:eastAsia="en-US"/>
              </w:rPr>
              <w:t xml:space="preserve">2021 </w:t>
            </w:r>
            <w:r w:rsidRPr="00A83C94">
              <w:rPr>
                <w:rFonts w:cs="Calibri"/>
                <w:b w:val="0"/>
                <w:color w:val="000000"/>
                <w:sz w:val="20"/>
                <w:szCs w:val="20"/>
                <w:lang w:val="hy-AM" w:eastAsia="en-US"/>
              </w:rPr>
              <w:t>հուն</w:t>
            </w:r>
            <w:r w:rsidRPr="00A83C94">
              <w:rPr>
                <w:rFonts w:cs="Calibri"/>
                <w:b w:val="0"/>
                <w:color w:val="000000"/>
                <w:sz w:val="20"/>
                <w:szCs w:val="20"/>
                <w:lang w:val="en-US" w:eastAsia="en-US"/>
              </w:rPr>
              <w:t>վար</w:t>
            </w:r>
            <w:r w:rsidRPr="00A83C94">
              <w:rPr>
                <w:rFonts w:cs="Calibri"/>
                <w:b w:val="0"/>
                <w:color w:val="000000"/>
                <w:sz w:val="20"/>
                <w:szCs w:val="20"/>
                <w:lang w:val="hy-AM"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14:paraId="260E0D52" w14:textId="77777777" w:rsidR="0087134D" w:rsidRPr="00A83C94" w:rsidRDefault="0087134D" w:rsidP="00383BAD">
            <w:pPr>
              <w:spacing w:before="0" w:line="276" w:lineRule="auto"/>
              <w:ind w:right="111" w:firstLine="0"/>
              <w:contextualSpacing w:val="0"/>
              <w:jc w:val="center"/>
              <w:rPr>
                <w:rFonts w:cs="Calibri"/>
                <w:color w:val="000000"/>
                <w:sz w:val="20"/>
                <w:szCs w:val="20"/>
                <w:lang w:val="hy-AM" w:eastAsia="en-US"/>
              </w:rPr>
            </w:pPr>
            <w:r w:rsidRPr="00A83C94">
              <w:rPr>
                <w:rFonts w:cs="Calibri"/>
                <w:b w:val="0"/>
                <w:color w:val="000000"/>
                <w:sz w:val="20"/>
                <w:szCs w:val="20"/>
                <w:lang w:val="en-US" w:eastAsia="en-US"/>
              </w:rPr>
              <w:t>3.1</w:t>
            </w:r>
          </w:p>
        </w:tc>
        <w:tc>
          <w:tcPr>
            <w:tcW w:w="1580" w:type="dxa"/>
            <w:tcBorders>
              <w:top w:val="single" w:sz="4" w:space="0" w:color="auto"/>
              <w:left w:val="single" w:sz="4" w:space="0" w:color="auto"/>
              <w:bottom w:val="single" w:sz="4" w:space="0" w:color="auto"/>
              <w:right w:val="single" w:sz="4" w:space="0" w:color="auto"/>
            </w:tcBorders>
            <w:noWrap/>
            <w:vAlign w:val="center"/>
          </w:tcPr>
          <w:p w14:paraId="0421CF85"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4.5</w:t>
            </w:r>
          </w:p>
        </w:tc>
      </w:tr>
    </w:tbl>
    <w:p w14:paraId="734A416A" w14:textId="77777777" w:rsidR="0087134D" w:rsidRPr="00A83C94" w:rsidRDefault="0087134D" w:rsidP="0087134D">
      <w:pPr>
        <w:spacing w:before="40" w:after="60" w:line="480" w:lineRule="auto"/>
        <w:ind w:right="115" w:firstLine="0"/>
        <w:rPr>
          <w:b w:val="0"/>
          <w:bCs/>
          <w:color w:val="1F497D"/>
          <w:sz w:val="28"/>
          <w:szCs w:val="28"/>
        </w:rPr>
      </w:pPr>
      <w:r w:rsidRPr="00A83C94">
        <w:rPr>
          <w:b w:val="0"/>
          <w:sz w:val="18"/>
          <w:szCs w:val="18"/>
          <w:lang w:val="hy-AM"/>
        </w:rPr>
        <w:t>Աղբյուրը՝ համապատասխան կառույցների հրապարակումներ</w:t>
      </w:r>
    </w:p>
    <w:p w14:paraId="02BC7F44" w14:textId="77777777" w:rsidR="0087134D" w:rsidRPr="00A83C94" w:rsidRDefault="0087134D" w:rsidP="0087134D">
      <w:pPr>
        <w:spacing w:before="0" w:after="120" w:line="480" w:lineRule="auto"/>
        <w:ind w:right="111" w:firstLine="0"/>
        <w:contextualSpacing w:val="0"/>
        <w:jc w:val="left"/>
        <w:rPr>
          <w:rFonts w:ascii="Times New Roman" w:hAnsi="Times New Roman"/>
          <w:bCs/>
          <w:color w:val="1F497D"/>
          <w:sz w:val="18"/>
          <w:szCs w:val="18"/>
          <w:lang w:val="en-US" w:eastAsia="en-US"/>
        </w:rPr>
      </w:pPr>
    </w:p>
    <w:p w14:paraId="146AFBA5" w14:textId="77777777" w:rsidR="0087134D" w:rsidRPr="00A83C94" w:rsidRDefault="0087134D" w:rsidP="0087134D">
      <w:pPr>
        <w:spacing w:before="0" w:line="240" w:lineRule="auto"/>
        <w:ind w:firstLine="0"/>
        <w:contextualSpacing w:val="0"/>
        <w:jc w:val="left"/>
        <w:rPr>
          <w:lang w:val="hy-AM"/>
        </w:rPr>
      </w:pPr>
    </w:p>
    <w:p w14:paraId="6744954D" w14:textId="77777777" w:rsidR="0087134D" w:rsidRPr="00A83C94" w:rsidRDefault="0087134D" w:rsidP="0087134D">
      <w:pPr>
        <w:spacing w:before="0" w:line="276" w:lineRule="auto"/>
        <w:ind w:firstLine="0"/>
        <w:contextualSpacing w:val="0"/>
        <w:rPr>
          <w:color w:val="1F4E79"/>
          <w:sz w:val="24"/>
          <w:lang w:val="hy-AM"/>
        </w:rPr>
      </w:pPr>
    </w:p>
    <w:p w14:paraId="4D2089D5" w14:textId="77777777" w:rsidR="0087134D" w:rsidRPr="00A83C94" w:rsidRDefault="0087134D" w:rsidP="0087134D">
      <w:pPr>
        <w:spacing w:before="0" w:line="276" w:lineRule="auto"/>
        <w:ind w:firstLine="0"/>
        <w:contextualSpacing w:val="0"/>
        <w:rPr>
          <w:color w:val="1F4E79"/>
          <w:sz w:val="24"/>
          <w:lang w:val="hy-AM"/>
        </w:rPr>
      </w:pPr>
    </w:p>
    <w:sectPr w:rsidR="0087134D" w:rsidRPr="00A83C94" w:rsidSect="00B3034A">
      <w:footerReference w:type="default" r:id="rId63"/>
      <w:pgSz w:w="11906" w:h="16838" w:code="9"/>
      <w:pgMar w:top="1134" w:right="1016" w:bottom="426" w:left="1134" w:header="720" w:footer="1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47975" w14:textId="77777777" w:rsidR="006B7E7B" w:rsidRDefault="006B7E7B" w:rsidP="00F52B25">
      <w:r>
        <w:separator/>
      </w:r>
    </w:p>
  </w:endnote>
  <w:endnote w:type="continuationSeparator" w:id="0">
    <w:p w14:paraId="17D6E89A" w14:textId="77777777" w:rsidR="006B7E7B" w:rsidRDefault="006B7E7B"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LatArm">
    <w:panose1 w:val="0000000000000000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auto"/>
    <w:pitch w:val="variable"/>
    <w:sig w:usb0="80000267" w:usb1="00000000" w:usb2="00000000" w:usb3="00000000" w:csb0="000001F7" w:csb1="00000000"/>
  </w:font>
  <w:font w:name="MS Mincho">
    <w:altName w:val="Yu Gothic UI"/>
    <w:panose1 w:val="02020609040205080304"/>
    <w:charset w:val="80"/>
    <w:family w:val="modern"/>
    <w:pitch w:val="fixed"/>
    <w:sig w:usb0="E00002FF" w:usb1="6AC7FDFB" w:usb2="00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00000287" w:usb1="00000000" w:usb2="00000000" w:usb3="00000000" w:csb0="0000009F" w:csb1="00000000"/>
  </w:font>
  <w:font w:name="Russian Baltica">
    <w:charset w:val="00"/>
    <w:family w:val="roman"/>
    <w:pitch w:val="variable"/>
    <w:sig w:usb0="00000003" w:usb1="00000000" w:usb2="00000000" w:usb3="00000000" w:csb0="00000001" w:csb1="00000000"/>
  </w:font>
  <w:font w:name="Dallak Helv">
    <w:charset w:val="00"/>
    <w:family w:val="swiss"/>
    <w:pitch w:val="variable"/>
    <w:sig w:usb0="00000003" w:usb1="00000000" w:usb2="00000000" w:usb3="00000000" w:csb0="00000001" w:csb1="00000000"/>
  </w:font>
  <w:font w:name="Arial Unicode">
    <w:altName w:val="Arial Unicode MS"/>
    <w:charset w:val="80"/>
    <w:family w:val="swiss"/>
    <w:pitch w:val="variable"/>
    <w:sig w:usb0="00000000" w:usb1="E9DFFFFF" w:usb2="0000003F" w:usb3="00000000" w:csb0="003F01F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charset w:val="CC"/>
    <w:family w:val="roman"/>
    <w:pitch w:val="variable"/>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rriweather">
    <w:altName w:val="Times New Roman"/>
    <w:charset w:val="00"/>
    <w:family w:val="auto"/>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5E679" w14:textId="25464F7D" w:rsidR="006B7E7B" w:rsidRPr="00560CEC" w:rsidRDefault="006B7E7B">
    <w:pPr>
      <w:pStyle w:val="Footer"/>
      <w:jc w:val="center"/>
      <w:rPr>
        <w:sz w:val="18"/>
        <w:szCs w:val="18"/>
      </w:rPr>
    </w:pPr>
    <w:r w:rsidRPr="00560CEC">
      <w:rPr>
        <w:sz w:val="18"/>
        <w:szCs w:val="18"/>
      </w:rPr>
      <w:fldChar w:fldCharType="begin"/>
    </w:r>
    <w:r w:rsidRPr="00560CEC">
      <w:rPr>
        <w:sz w:val="18"/>
        <w:szCs w:val="18"/>
      </w:rPr>
      <w:instrText xml:space="preserve"> PAGE   \* MERGEFORMAT </w:instrText>
    </w:r>
    <w:r w:rsidRPr="00560CEC">
      <w:rPr>
        <w:sz w:val="18"/>
        <w:szCs w:val="18"/>
      </w:rPr>
      <w:fldChar w:fldCharType="separate"/>
    </w:r>
    <w:r w:rsidR="00674A6F">
      <w:rPr>
        <w:noProof/>
        <w:sz w:val="18"/>
        <w:szCs w:val="18"/>
      </w:rPr>
      <w:t>45</w:t>
    </w:r>
    <w:r w:rsidRPr="00560CEC">
      <w:rPr>
        <w:noProof/>
        <w:sz w:val="18"/>
        <w:szCs w:val="18"/>
      </w:rPr>
      <w:fldChar w:fldCharType="end"/>
    </w:r>
  </w:p>
  <w:p w14:paraId="61676F7F" w14:textId="77777777" w:rsidR="006B7E7B" w:rsidRDefault="006B7E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CFBB4" w14:textId="77777777" w:rsidR="006B7E7B" w:rsidRDefault="006B7E7B" w:rsidP="00F52B25">
      <w:r>
        <w:separator/>
      </w:r>
    </w:p>
  </w:footnote>
  <w:footnote w:type="continuationSeparator" w:id="0">
    <w:p w14:paraId="735190AF" w14:textId="77777777" w:rsidR="006B7E7B" w:rsidRDefault="006B7E7B" w:rsidP="00F52B25">
      <w:r>
        <w:continuationSeparator/>
      </w:r>
    </w:p>
  </w:footnote>
  <w:footnote w:id="1">
    <w:p w14:paraId="37D7CABB" w14:textId="77777777" w:rsidR="006B7E7B" w:rsidRPr="00500ADC" w:rsidRDefault="006B7E7B" w:rsidP="00027FBF">
      <w:pPr>
        <w:pStyle w:val="FootnoteText"/>
      </w:pPr>
      <w:r w:rsidRPr="00500ADC">
        <w:rPr>
          <w:rStyle w:val="FootnoteReference"/>
        </w:rPr>
        <w:footnoteRef/>
      </w:r>
      <w:r w:rsidRPr="00DE6C7D">
        <w:t>Կապիտալ ներդրումներում ներառված չէ պաշարների փոփոխությունը, ներկայացված են միայն հիմնական միջոցներում կատարված կապիտալ ներդրումները, քանի որ 2019թ.-ից ՀՀ ՎԿ կողմից պաշարների փոփոխությունը հաշվառվում է որպես հաշվեկշռող գործոն կամ այլ կերպ՝ վիճակագրական սխալները ներառվում են դրա մեջ:</w:t>
      </w:r>
    </w:p>
  </w:footnote>
  <w:footnote w:id="2">
    <w:p w14:paraId="6C894119" w14:textId="77777777" w:rsidR="006B7E7B" w:rsidRPr="00285F6F" w:rsidRDefault="006B7E7B" w:rsidP="00027FBF">
      <w:pPr>
        <w:pStyle w:val="FootnoteText"/>
        <w:rPr>
          <w:lang w:val="en-US"/>
        </w:rPr>
      </w:pPr>
      <w:r>
        <w:rPr>
          <w:rStyle w:val="FootnoteReference"/>
        </w:rPr>
        <w:footnoteRef/>
      </w:r>
      <w:r>
        <w:rPr>
          <w:rFonts w:eastAsia="Calibri"/>
          <w:szCs w:val="22"/>
          <w:lang w:val="hy-AM"/>
        </w:rPr>
        <w:t xml:space="preserve"> «</w:t>
      </w:r>
      <w:r w:rsidRPr="001F2937">
        <w:rPr>
          <w:rFonts w:eastAsia="Calibri"/>
          <w:szCs w:val="22"/>
          <w:lang w:val="hy-AM"/>
        </w:rPr>
        <w:t>Բլումբերգ</w:t>
      </w:r>
      <w:r>
        <w:rPr>
          <w:rFonts w:eastAsia="Calibri"/>
          <w:szCs w:val="22"/>
          <w:lang w:val="hy-AM"/>
        </w:rPr>
        <w:t xml:space="preserve">» </w:t>
      </w:r>
      <w:r w:rsidRPr="00586097">
        <w:t>միջազգայ</w:t>
      </w:r>
      <w:r>
        <w:t>ին հեղինակավոր կազմակերպության</w:t>
      </w:r>
      <w:r w:rsidRPr="001F2937">
        <w:rPr>
          <w:rFonts w:eastAsia="Calibri"/>
          <w:szCs w:val="22"/>
          <w:lang w:val="hy-AM"/>
        </w:rPr>
        <w:t xml:space="preserve"> 2021թ. օգոստոս</w:t>
      </w:r>
      <w:r>
        <w:rPr>
          <w:rFonts w:eastAsia="Calibri"/>
          <w:szCs w:val="22"/>
          <w:lang w:val="hy-AM"/>
        </w:rPr>
        <w:t>ի տվյալներ</w:t>
      </w:r>
      <w:r>
        <w:rPr>
          <w:rFonts w:eastAsia="Calibri"/>
          <w:szCs w:val="22"/>
          <w:lang w:val="en-US"/>
        </w:rPr>
        <w:t>:</w:t>
      </w:r>
    </w:p>
  </w:footnote>
  <w:footnote w:id="3">
    <w:p w14:paraId="68933BC3" w14:textId="77777777" w:rsidR="006B7E7B" w:rsidRPr="000927CC" w:rsidRDefault="006B7E7B" w:rsidP="00027FBF">
      <w:pPr>
        <w:pStyle w:val="FootnoteText"/>
        <w:rPr>
          <w:i/>
          <w:lang w:val="hy-AM"/>
        </w:rPr>
      </w:pPr>
      <w:r>
        <w:rPr>
          <w:rStyle w:val="FootnoteReference"/>
        </w:rPr>
        <w:footnoteRef/>
      </w:r>
      <w:r w:rsidRPr="000927CC">
        <w:rPr>
          <w:lang w:val="hy-AM"/>
        </w:rPr>
        <w:t xml:space="preserve"> </w:t>
      </w:r>
      <w:r w:rsidRPr="00544EFF">
        <w:rPr>
          <w:i/>
          <w:lang w:val="hy-AM"/>
        </w:rPr>
        <w:t>ՀՀ երկրի ռիսկի հավելավճարը՝ կորոնավիրուսի առաջին ալիքի ազդեցության որոշակի կայունացումից հետո, 2020թ</w:t>
      </w:r>
      <w:r w:rsidRPr="00544EFF">
        <w:rPr>
          <w:rFonts w:ascii="Cambria Math" w:hAnsi="Cambria Math" w:cs="Cambria Math"/>
          <w:i/>
          <w:lang w:val="hy-AM"/>
        </w:rPr>
        <w:t>․</w:t>
      </w:r>
      <w:r w:rsidRPr="00544EFF">
        <w:rPr>
          <w:i/>
          <w:lang w:val="hy-AM"/>
        </w:rPr>
        <w:t xml:space="preserve"> սեպտեմբերի 28–ից սկսել է բարձրանալ՝ պայմանավորված Արցախյան պատերազմական գործողություններով, դեկտեմբեր ամսից սկսել է կայունանալ, սակայն ավելի բարձր մակարդակում:</w:t>
      </w:r>
    </w:p>
  </w:footnote>
  <w:footnote w:id="4">
    <w:p w14:paraId="7368A664" w14:textId="77777777" w:rsidR="006B7E7B" w:rsidRPr="00F34E8D" w:rsidRDefault="006B7E7B" w:rsidP="00027FBF">
      <w:pPr>
        <w:pStyle w:val="FootnoteText"/>
        <w:rPr>
          <w:i/>
          <w:lang w:val="hy-AM"/>
        </w:rPr>
      </w:pPr>
      <w:r>
        <w:rPr>
          <w:rStyle w:val="FootnoteReference"/>
        </w:rPr>
        <w:footnoteRef/>
      </w:r>
      <w:r w:rsidRPr="00F34E8D">
        <w:rPr>
          <w:lang w:val="hy-AM"/>
        </w:rPr>
        <w:t xml:space="preserve"> </w:t>
      </w:r>
      <w:r w:rsidRPr="00F34E8D">
        <w:rPr>
          <w:i/>
          <w:lang w:val="hy-AM"/>
        </w:rPr>
        <w:t xml:space="preserve">Երկրի ռիսկի հավելավճարները հաշվարկված են որպես տվյալ երկրի եվրոպարտատոմսերի (դոլարային արժույթով) և ԱՄՆ համապատասխան ժամկետայնությամբ գանձապետական պարտատոմսերի եկամտաբերությունների տարբերություն (պարտատոմսերի մարման ժամկետները նշված են երկրների անվանումների կողքը՝ փակագծերում): </w:t>
      </w:r>
    </w:p>
  </w:footnote>
  <w:footnote w:id="5">
    <w:p w14:paraId="10C44284" w14:textId="77777777" w:rsidR="006B7E7B" w:rsidRDefault="006B7E7B" w:rsidP="00027FBF">
      <w:pPr>
        <w:pStyle w:val="FootnoteText"/>
        <w:jc w:val="left"/>
        <w:rPr>
          <w:rFonts w:cstheme="minorBidi"/>
          <w:sz w:val="18"/>
          <w:szCs w:val="18"/>
        </w:rPr>
      </w:pPr>
      <w:r>
        <w:rPr>
          <w:rStyle w:val="FootnoteReference"/>
          <w:sz w:val="18"/>
          <w:szCs w:val="18"/>
        </w:rPr>
        <w:footnoteRef/>
      </w:r>
      <w:r w:rsidRPr="00F34E8D">
        <w:rPr>
          <w:sz w:val="18"/>
          <w:szCs w:val="18"/>
          <w:lang w:val="hy-AM"/>
        </w:rPr>
        <w:t xml:space="preserve"> </w:t>
      </w:r>
      <w:r w:rsidRPr="00F34E8D">
        <w:rPr>
          <w:i/>
          <w:lang w:val="hy-AM"/>
        </w:rPr>
        <w:t>2021թ</w:t>
      </w:r>
      <w:r w:rsidRPr="00F34E8D">
        <w:rPr>
          <w:rFonts w:ascii="Cambria Math" w:hAnsi="Cambria Math" w:cs="Cambria Math"/>
          <w:i/>
          <w:lang w:val="hy-AM"/>
        </w:rPr>
        <w:t>․</w:t>
      </w:r>
      <w:r w:rsidRPr="00F34E8D">
        <w:rPr>
          <w:i/>
          <w:lang w:val="hy-AM"/>
        </w:rPr>
        <w:t xml:space="preserve"> </w:t>
      </w:r>
      <w:r>
        <w:rPr>
          <w:i/>
          <w:lang w:val="hy-AM"/>
        </w:rPr>
        <w:t>հուլիսի</w:t>
      </w:r>
      <w:r w:rsidRPr="00F34E8D">
        <w:rPr>
          <w:i/>
          <w:lang w:val="hy-AM"/>
        </w:rPr>
        <w:t xml:space="preserve"> դրությամբ։ Աղբյուրը՝ </w:t>
      </w:r>
      <w:r w:rsidRPr="00697476">
        <w:rPr>
          <w:i/>
          <w:lang w:val="hy-AM"/>
        </w:rPr>
        <w:t>Fiscal Monitor Database of Country Fiscal Measures in Response to the COVID-19 Pandemic</w:t>
      </w:r>
      <w:r w:rsidRPr="00F34E8D">
        <w:rPr>
          <w:i/>
          <w:lang w:val="hy-AM"/>
        </w:rPr>
        <w:t>.</w:t>
      </w:r>
      <w:r>
        <w:rPr>
          <w:i/>
          <w:lang w:val="hy-AM"/>
        </w:rPr>
        <w:t xml:space="preserve"> </w:t>
      </w:r>
      <w:r w:rsidRPr="00697476">
        <w:rPr>
          <w:rStyle w:val="Hyperlink"/>
        </w:rPr>
        <w:t>https://www.imf.org/en/Topics/imf-and-covid19/Fiscal-Policies-Database-in-Response-to-COVID-19</w:t>
      </w:r>
      <w:r>
        <w:t>:</w:t>
      </w:r>
      <w:r>
        <w:rPr>
          <w:sz w:val="18"/>
          <w:szCs w:val="18"/>
        </w:rPr>
        <w:t xml:space="preserve"> </w:t>
      </w:r>
    </w:p>
  </w:footnote>
  <w:footnote w:id="6">
    <w:p w14:paraId="543882EA" w14:textId="77777777" w:rsidR="006B7E7B" w:rsidRPr="00631206" w:rsidRDefault="006B7E7B" w:rsidP="00027FBF">
      <w:pPr>
        <w:pStyle w:val="FootnoteText"/>
        <w:rPr>
          <w:i/>
          <w:lang w:val="hy-AM"/>
        </w:rPr>
      </w:pPr>
      <w:r w:rsidRPr="000E6B55">
        <w:rPr>
          <w:rStyle w:val="FootnoteReference"/>
          <w:sz w:val="18"/>
          <w:szCs w:val="18"/>
        </w:rPr>
        <w:footnoteRef/>
      </w:r>
      <w:r w:rsidRPr="006D4E60">
        <w:rPr>
          <w:i/>
          <w:lang w:val="hy-AM"/>
        </w:rPr>
        <w:t>ՏԱՑ-ի աճին ճյուղերի նպաստումները ՀՀ ֆինանսների նախարարության գնահատականներն են: Գյուղատնտեսության ցուցանիշը ոչ բոլոր տեղերում է ներառված հաշվարկներում, քանի որ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7">
    <w:p w14:paraId="1703375B" w14:textId="77777777" w:rsidR="006B7E7B" w:rsidRPr="001D4244" w:rsidRDefault="006B7E7B" w:rsidP="00027FBF">
      <w:pPr>
        <w:pStyle w:val="FootnoteText"/>
        <w:rPr>
          <w:lang w:val="hy-AM"/>
        </w:rPr>
      </w:pPr>
      <w:r>
        <w:rPr>
          <w:rStyle w:val="FootnoteReference"/>
        </w:rPr>
        <w:footnoteRef/>
      </w:r>
      <w:r w:rsidRPr="007D3636">
        <w:rPr>
          <w:lang w:val="hy-AM"/>
        </w:rPr>
        <w:t xml:space="preserve"> </w:t>
      </w:r>
      <w:r>
        <w:rPr>
          <w:lang w:val="hy-AM"/>
        </w:rPr>
        <w:t>Աղբյուրը՝ ՀՀ ԿԲ, «</w:t>
      </w:r>
      <w:r w:rsidRPr="00C04300">
        <w:rPr>
          <w:rFonts w:cs="Sylfaen"/>
          <w:lang w:val="hy-AM"/>
        </w:rPr>
        <w:t xml:space="preserve">ՀՀ բանկերի միջոցով ֆիզիկական անձանց անունով արտերկրից ստացված </w:t>
      </w:r>
      <w:r>
        <w:rPr>
          <w:rFonts w:cs="Sylfaen"/>
          <w:lang w:val="hy-AM"/>
        </w:rPr>
        <w:t xml:space="preserve">և ՀՀ-ից ֆիզիկական անձանց կողմից արտերկիր իրականացված </w:t>
      </w:r>
      <w:r w:rsidRPr="00C04300">
        <w:rPr>
          <w:rFonts w:cs="Sylfaen"/>
          <w:lang w:val="hy-AM"/>
        </w:rPr>
        <w:t>փոխանցումներ</w:t>
      </w:r>
      <w:r>
        <w:rPr>
          <w:rFonts w:cs="Sylfaen"/>
          <w:lang w:val="hy-AM"/>
        </w:rPr>
        <w:t xml:space="preserve">», զուտ ներհոսք </w:t>
      </w:r>
      <w:r w:rsidRPr="001D4244">
        <w:rPr>
          <w:rFonts w:cs="Sylfaen"/>
          <w:lang w:val="hy-AM"/>
        </w:rPr>
        <w:t>(https://www.cba.am/am/SitePages/statexternalsector.aspx)</w:t>
      </w:r>
      <w:r>
        <w:rPr>
          <w:rFonts w:cs="Sylfaen"/>
          <w:lang w:val="hy-AM"/>
        </w:rPr>
        <w:t>։</w:t>
      </w:r>
    </w:p>
  </w:footnote>
  <w:footnote w:id="8">
    <w:p w14:paraId="716F6A8F" w14:textId="77777777" w:rsidR="006B7E7B" w:rsidRPr="009206BE" w:rsidRDefault="006B7E7B" w:rsidP="00027FBF">
      <w:pPr>
        <w:pStyle w:val="FootnoteText"/>
        <w:rPr>
          <w:lang w:val="hy-AM"/>
        </w:rPr>
      </w:pPr>
      <w:r>
        <w:rPr>
          <w:rStyle w:val="FootnoteReference"/>
        </w:rPr>
        <w:footnoteRef/>
      </w:r>
      <w:r w:rsidRPr="009206BE">
        <w:rPr>
          <w:lang w:val="hy-AM"/>
        </w:rPr>
        <w:t xml:space="preserve"> ՀՀ ՖՆ գնահատական, որը տրված է ՀՀ ՎԿ-ի ՀՆԱ-ի պաշտոնական տվյալների ըստ պահանջարկի բաղադրիչներից անցում կատարելով Վճարային հաշվեկշռի բաղադրիչների, համաձայն որի եր</w:t>
      </w:r>
      <w:r>
        <w:rPr>
          <w:lang w:val="hy-AM"/>
        </w:rPr>
        <w:t>կ</w:t>
      </w:r>
      <w:r w:rsidRPr="009206BE">
        <w:rPr>
          <w:lang w:val="hy-AM"/>
        </w:rPr>
        <w:t xml:space="preserve">րորդ եռամսյակում ծառայությունների արտահանման </w:t>
      </w:r>
      <w:r>
        <w:rPr>
          <w:lang w:val="hy-AM"/>
        </w:rPr>
        <w:t>աճը</w:t>
      </w:r>
      <w:r w:rsidRPr="009206BE">
        <w:rPr>
          <w:lang w:val="hy-AM"/>
        </w:rPr>
        <w:t xml:space="preserve"> գնահատվում է՝ </w:t>
      </w:r>
      <w:r>
        <w:rPr>
          <w:lang w:val="hy-AM"/>
        </w:rPr>
        <w:t>51</w:t>
      </w:r>
      <w:r w:rsidRPr="009206BE">
        <w:rPr>
          <w:lang w:val="hy-AM"/>
        </w:rPr>
        <w:t>.</w:t>
      </w:r>
      <w:r>
        <w:rPr>
          <w:lang w:val="hy-AM"/>
        </w:rPr>
        <w:t>7</w:t>
      </w:r>
      <w:r w:rsidRPr="009206BE">
        <w:rPr>
          <w:lang w:val="hy-AM"/>
        </w:rPr>
        <w:t>%, իսկ կուտակային</w:t>
      </w:r>
      <w:r>
        <w:rPr>
          <w:lang w:val="hy-AM"/>
        </w:rPr>
        <w:t xml:space="preserve"> կրճատվել է</w:t>
      </w:r>
      <w:r w:rsidRPr="009206BE">
        <w:rPr>
          <w:lang w:val="hy-AM"/>
        </w:rPr>
        <w:t xml:space="preserve"> </w:t>
      </w:r>
      <w:r>
        <w:rPr>
          <w:lang w:val="hy-AM"/>
        </w:rPr>
        <w:t>-14</w:t>
      </w:r>
      <w:r w:rsidRPr="00E61B0F">
        <w:rPr>
          <w:lang w:val="hy-AM"/>
        </w:rPr>
        <w:t>.</w:t>
      </w:r>
      <w:r>
        <w:rPr>
          <w:lang w:val="hy-AM"/>
        </w:rPr>
        <w:t>9</w:t>
      </w:r>
      <w:r w:rsidRPr="009206BE">
        <w:rPr>
          <w:lang w:val="hy-AM"/>
        </w:rPr>
        <w:t xml:space="preserve">%: </w:t>
      </w:r>
    </w:p>
  </w:footnote>
  <w:footnote w:id="9">
    <w:p w14:paraId="5A57DB3F" w14:textId="77777777" w:rsidR="006B7E7B" w:rsidRPr="009206BE" w:rsidRDefault="006B7E7B" w:rsidP="00027FBF">
      <w:pPr>
        <w:pStyle w:val="FootnoteText"/>
        <w:rPr>
          <w:lang w:val="hy-AM"/>
        </w:rPr>
      </w:pPr>
      <w:r>
        <w:rPr>
          <w:rStyle w:val="FootnoteReference"/>
        </w:rPr>
        <w:footnoteRef/>
      </w:r>
      <w:r w:rsidRPr="009206BE">
        <w:rPr>
          <w:lang w:val="hy-AM"/>
        </w:rPr>
        <w:t xml:space="preserve"> ՀՀ ՖՆ գնահատական, որը տրված է ՀՀ ՎԿ-ի ՀՆԱ-ի պաշտոնական տվյալների ըստ պահանջարկի բաղադրիչներից անցում կատարելով Վճարային հաշվեկշռի բաղադրիչների, համաձայն որի եր</w:t>
      </w:r>
      <w:r>
        <w:rPr>
          <w:lang w:val="hy-AM"/>
        </w:rPr>
        <w:t>կ</w:t>
      </w:r>
      <w:r w:rsidRPr="009206BE">
        <w:rPr>
          <w:lang w:val="hy-AM"/>
        </w:rPr>
        <w:t xml:space="preserve">րորդ եռամսյակում ծառայությունների </w:t>
      </w:r>
      <w:r>
        <w:rPr>
          <w:lang w:val="hy-AM"/>
        </w:rPr>
        <w:t>ներմուծման աճը</w:t>
      </w:r>
      <w:r w:rsidRPr="009206BE">
        <w:rPr>
          <w:lang w:val="hy-AM"/>
        </w:rPr>
        <w:t xml:space="preserve"> գնահատվում է՝ </w:t>
      </w:r>
      <w:r>
        <w:rPr>
          <w:lang w:val="hy-AM"/>
        </w:rPr>
        <w:t>53</w:t>
      </w:r>
      <w:r w:rsidRPr="009206BE">
        <w:rPr>
          <w:lang w:val="hy-AM"/>
        </w:rPr>
        <w:t>.</w:t>
      </w:r>
      <w:r>
        <w:rPr>
          <w:lang w:val="hy-AM"/>
        </w:rPr>
        <w:t>2</w:t>
      </w:r>
      <w:r w:rsidRPr="009206BE">
        <w:rPr>
          <w:lang w:val="hy-AM"/>
        </w:rPr>
        <w:t>%, իսկ կուտակային</w:t>
      </w:r>
      <w:r>
        <w:rPr>
          <w:lang w:val="hy-AM"/>
        </w:rPr>
        <w:t xml:space="preserve"> կրճատվել է</w:t>
      </w:r>
      <w:r w:rsidRPr="009206BE">
        <w:rPr>
          <w:lang w:val="hy-AM"/>
        </w:rPr>
        <w:t xml:space="preserve"> </w:t>
      </w:r>
      <w:r>
        <w:rPr>
          <w:lang w:val="hy-AM"/>
        </w:rPr>
        <w:t>-21</w:t>
      </w:r>
      <w:r w:rsidRPr="00E61B0F">
        <w:rPr>
          <w:lang w:val="hy-AM"/>
        </w:rPr>
        <w:t>.</w:t>
      </w:r>
      <w:r>
        <w:rPr>
          <w:lang w:val="hy-AM"/>
        </w:rPr>
        <w:t>6</w:t>
      </w:r>
      <w:r w:rsidRPr="009206BE">
        <w:rPr>
          <w:lang w:val="hy-AM"/>
        </w:rPr>
        <w:t xml:space="preserve">%: </w:t>
      </w:r>
    </w:p>
  </w:footnote>
  <w:footnote w:id="10">
    <w:p w14:paraId="7782DDEB" w14:textId="77777777" w:rsidR="006B7E7B" w:rsidRDefault="006B7E7B" w:rsidP="00027FBF">
      <w:pPr>
        <w:pStyle w:val="FootnoteText"/>
        <w:jc w:val="left"/>
        <w:rPr>
          <w:lang w:val="hy-AM"/>
        </w:rPr>
      </w:pPr>
      <w:r>
        <w:rPr>
          <w:rStyle w:val="FootnoteReference"/>
        </w:rPr>
        <w:footnoteRef/>
      </w:r>
      <w:r>
        <w:rPr>
          <w:lang w:val="hy-AM"/>
        </w:rPr>
        <w:t xml:space="preserve"> </w:t>
      </w:r>
      <w:r>
        <w:rPr>
          <w:i/>
          <w:lang w:val="hy-AM"/>
        </w:rPr>
        <w:t xml:space="preserve">Տե՛ս Գնաճի հաշվետվություն, 2021/2, ՀՀ ԿԲ, </w:t>
      </w:r>
      <w:r w:rsidRPr="003C6609">
        <w:rPr>
          <w:lang w:val="hy-AM"/>
        </w:rPr>
        <w:t>https://www.cba.am/Storage/AM/downloads/parberakan/DVQ/Monetary%20overview_II_2021.pdf</w:t>
      </w:r>
    </w:p>
  </w:footnote>
  <w:footnote w:id="11">
    <w:p w14:paraId="72887EFF" w14:textId="77777777" w:rsidR="006B7E7B" w:rsidRPr="00500ADC" w:rsidRDefault="006B7E7B" w:rsidP="00027FBF">
      <w:pPr>
        <w:pBdr>
          <w:top w:val="nil"/>
          <w:left w:val="nil"/>
          <w:bottom w:val="nil"/>
          <w:right w:val="nil"/>
          <w:between w:val="nil"/>
        </w:pBdr>
        <w:spacing w:line="240" w:lineRule="auto"/>
        <w:ind w:firstLine="0"/>
        <w:rPr>
          <w:rFonts w:eastAsia="Merriweather" w:cs="Merriweather"/>
          <w:color w:val="000000"/>
          <w:sz w:val="16"/>
          <w:szCs w:val="16"/>
          <w:lang w:val="hy-AM"/>
        </w:rPr>
      </w:pPr>
      <w:r w:rsidRPr="00500ADC">
        <w:rPr>
          <w:rStyle w:val="FootnoteReference"/>
          <w:sz w:val="16"/>
          <w:szCs w:val="16"/>
        </w:rPr>
        <w:footnoteRef/>
      </w:r>
      <w:r w:rsidRPr="000F0D27">
        <w:rPr>
          <w:b w:val="0"/>
          <w:i/>
          <w:iCs/>
          <w:sz w:val="16"/>
          <w:szCs w:val="16"/>
          <w:lang w:val="hy-AM" w:eastAsia="en-US"/>
        </w:rPr>
        <w:t>ՀՀ ֆինանսների նախարարության հարկաբյուջետային քաղաքականության դինամիկ ստոխաստիկ ընդհանուր հավասարակշռության մոդելը մշակվել է 2018-2020թթ. ընթացքում՝ ԱՄՀ կողմից տրամադրված տեխնիկական աջակցության շրջանակներում, Առավել մանրամասն տե՛ս ՀՀ կառավարության 2021թ. բյուջետային ուղերձ, Երևան 2020, էջ՝ 84,  ներդիր 2:</w:t>
      </w:r>
    </w:p>
  </w:footnote>
  <w:footnote w:id="12">
    <w:p w14:paraId="797CFBF0" w14:textId="77777777" w:rsidR="006B7E7B" w:rsidRPr="00EA45BA" w:rsidRDefault="006B7E7B" w:rsidP="00027FBF">
      <w:pPr>
        <w:pStyle w:val="FootnoteText"/>
        <w:rPr>
          <w:lang w:val="hy-AM"/>
        </w:rPr>
      </w:pPr>
      <w:r w:rsidRPr="00500ADC">
        <w:rPr>
          <w:rStyle w:val="FootnoteReference"/>
        </w:rPr>
        <w:footnoteRef/>
      </w:r>
      <w:r w:rsidRPr="00500ADC">
        <w:rPr>
          <w:lang w:val="hy-AM"/>
        </w:rPr>
        <w:t xml:space="preserve"> </w:t>
      </w:r>
      <w:r w:rsidRPr="00B419A1">
        <w:rPr>
          <w:i/>
          <w:lang w:val="hy-AM"/>
        </w:rPr>
        <w:t>ՀՀ գործընկեր երկրների արտաքին պահանաջարկի ցուցանիշը ՀՀ ՖՆ գնահատականն է, որը հաշվարկվել է որպես Ռուսաստանի, ԱՄՆ-ի, Չինաստանի և Եվրոգոտու տնտեսական աճերի կշռված միջին՝ ՀՀ արտահանման կառուցվածքին համապատասխան:  ՀՀ գործընկեր երկրների տնտեսական աճերի 2021 և 2022 թթ. ԱՄՀ կողմից հրապարակված կանխատեսումները ներկայացված են Աղյուսակ 1.2.-ում</w:t>
      </w:r>
    </w:p>
  </w:footnote>
  <w:footnote w:id="13">
    <w:p w14:paraId="4ADA1767" w14:textId="77777777" w:rsidR="006B7E7B" w:rsidRPr="000F0D27" w:rsidRDefault="006B7E7B" w:rsidP="00027FBF">
      <w:pPr>
        <w:spacing w:line="240" w:lineRule="auto"/>
        <w:rPr>
          <w:lang w:val="hy-AM"/>
        </w:rPr>
      </w:pPr>
      <w:r>
        <w:rPr>
          <w:rStyle w:val="FootnoteReference"/>
        </w:rPr>
        <w:footnoteRef/>
      </w:r>
      <w:r w:rsidRPr="000F0D27">
        <w:rPr>
          <w:lang w:val="hy-AM"/>
        </w:rPr>
        <w:t xml:space="preserve"> </w:t>
      </w:r>
      <w:r w:rsidRPr="000F0D27">
        <w:rPr>
          <w:b w:val="0"/>
          <w:i/>
          <w:sz w:val="16"/>
          <w:szCs w:val="16"/>
          <w:lang w:val="hy-AM"/>
        </w:rPr>
        <w:t>UNWTO, 21 հուլիսի 2021թ. (</w:t>
      </w:r>
      <w:hyperlink r:id="rId1" w:history="1">
        <w:r w:rsidRPr="000F0D27">
          <w:rPr>
            <w:rStyle w:val="Hyperlink"/>
            <w:b w:val="0"/>
            <w:i/>
            <w:sz w:val="16"/>
            <w:szCs w:val="16"/>
            <w:lang w:val="hy-AM"/>
          </w:rPr>
          <w:t>https://www.unwto.org/international-travel-largely-on-hold-despite-uptick-in-may</w:t>
        </w:r>
      </w:hyperlink>
      <w:r w:rsidRPr="000F0D27">
        <w:rPr>
          <w:i/>
          <w:sz w:val="16"/>
          <w:szCs w:val="16"/>
          <w:lang w:val="hy-AM"/>
        </w:rPr>
        <w:t>)</w:t>
      </w:r>
    </w:p>
    <w:p w14:paraId="2BC0B5F1" w14:textId="77777777" w:rsidR="006B7E7B" w:rsidRPr="00B60BF9" w:rsidRDefault="006B7E7B" w:rsidP="00027FBF">
      <w:pPr>
        <w:pStyle w:val="FootnoteText"/>
        <w:rPr>
          <w:lang w:val="hy-AM"/>
        </w:rPr>
      </w:pPr>
    </w:p>
  </w:footnote>
  <w:footnote w:id="14">
    <w:p w14:paraId="1B10AB21" w14:textId="77777777" w:rsidR="006B7E7B" w:rsidRPr="00E55F13" w:rsidRDefault="006B7E7B" w:rsidP="00027FBF">
      <w:pPr>
        <w:pStyle w:val="FootnoteText"/>
        <w:rPr>
          <w:i/>
          <w:lang w:val="hy-AM"/>
        </w:rPr>
      </w:pPr>
      <w:r w:rsidRPr="00E55F13">
        <w:rPr>
          <w:rStyle w:val="FootnoteReference"/>
        </w:rPr>
        <w:footnoteRef/>
      </w:r>
      <w:r w:rsidRPr="00E55F13">
        <w:rPr>
          <w:lang w:val="hy-AM"/>
        </w:rPr>
        <w:t xml:space="preserve"> </w:t>
      </w:r>
      <w:r w:rsidRPr="00E55F13">
        <w:rPr>
          <w:i/>
          <w:lang w:val="hy-AM"/>
        </w:rPr>
        <w:t xml:space="preserve">Տե՛ս «Տնտեսական արձագանքման ծրագիրը և գործողությունների պլանը հաստատելու մասին» ՀՀ կառավարության 2021թ. փետրվարի 4-ի թիվ </w:t>
      </w:r>
      <w:r w:rsidRPr="00B419A1">
        <w:rPr>
          <w:i/>
          <w:lang w:val="hy-AM"/>
        </w:rPr>
        <w:t>142-Լ որոշում, հավելված 1:</w:t>
      </w:r>
    </w:p>
  </w:footnote>
  <w:footnote w:id="15">
    <w:p w14:paraId="6981DCE3" w14:textId="77777777" w:rsidR="006B7E7B" w:rsidRPr="003A75CD" w:rsidRDefault="006B7E7B" w:rsidP="00027FBF">
      <w:pPr>
        <w:spacing w:line="276" w:lineRule="auto"/>
        <w:rPr>
          <w:i/>
          <w:lang w:val="hy-AM"/>
        </w:rPr>
      </w:pPr>
      <w:r w:rsidRPr="004C2E77">
        <w:rPr>
          <w:sz w:val="16"/>
          <w:szCs w:val="20"/>
          <w:vertAlign w:val="superscript"/>
          <w:lang w:val="hy-AM"/>
        </w:rPr>
        <w:footnoteRef/>
      </w:r>
      <w:r w:rsidRPr="004C2E77">
        <w:rPr>
          <w:sz w:val="16"/>
          <w:szCs w:val="20"/>
          <w:vertAlign w:val="superscript"/>
          <w:lang w:val="hy-AM"/>
        </w:rPr>
        <w:t xml:space="preserve"> </w:t>
      </w:r>
      <w:r w:rsidRPr="007E62BD">
        <w:rPr>
          <w:b w:val="0"/>
          <w:i/>
          <w:sz w:val="18"/>
          <w:szCs w:val="18"/>
          <w:lang w:val="hy-AM"/>
        </w:rPr>
        <w:t>Աղյուսակի 1-ին սյունը իրենից ներկայացնում է տնտեսական աճի հնարավոր միջա</w:t>
      </w:r>
      <w:r w:rsidRPr="007E62BD">
        <w:rPr>
          <w:b w:val="0"/>
          <w:i/>
          <w:sz w:val="18"/>
          <w:szCs w:val="18"/>
          <w:lang w:val="hy-AM"/>
        </w:rPr>
        <w:softHyphen/>
        <w:t>կայքերը, իսկ 2-ից 5-րդ սյուները` համապատասխան միջակայքերում տնտեսական աճի գտնվելու հավանականությունները։ Աղյուսակում ներկայացվել են տնտեսական աճի ամենահավանական միջակայքերը, որոնք միասին ծածկում են բաշխման ընդհանուր հավանականության շուրջ 83%-ը, այսինքն` հավանականությունը, որ տնտեսական աճը կգտնվի 1%-ից 9%  միջակայքում, կազմում է մոտ 83%:</w:t>
      </w:r>
    </w:p>
  </w:footnote>
  <w:footnote w:id="16">
    <w:p w14:paraId="7D1BEDAA" w14:textId="77777777" w:rsidR="006B7E7B" w:rsidRDefault="006B7E7B" w:rsidP="00027FBF">
      <w:pPr>
        <w:pStyle w:val="af2"/>
        <w:jc w:val="left"/>
      </w:pPr>
      <w:r>
        <w:rPr>
          <w:rStyle w:val="FootnoteReference"/>
        </w:rPr>
        <w:footnoteRef/>
      </w:r>
      <w:r>
        <w:t xml:space="preserve"> </w:t>
      </w:r>
      <w:r w:rsidRPr="002D1236">
        <w:rPr>
          <w:sz w:val="16"/>
          <w:szCs w:val="16"/>
        </w:rPr>
        <w:t>Առավել մանրամասն ներկայացված է «2.5. Հարկաբյուջետային քաղաքականության համապատասխանությունը հարկաբյուջետային կանոններին» հատվածում</w:t>
      </w:r>
    </w:p>
  </w:footnote>
  <w:footnote w:id="17">
    <w:p w14:paraId="33797E48" w14:textId="77777777" w:rsidR="006B7E7B" w:rsidRPr="00472D7A" w:rsidRDefault="006B7E7B" w:rsidP="00027FBF">
      <w:pPr>
        <w:pStyle w:val="af2"/>
        <w:ind w:firstLine="0"/>
        <w:rPr>
          <w:sz w:val="18"/>
          <w:szCs w:val="18"/>
        </w:rPr>
      </w:pPr>
      <w:r w:rsidRPr="00472D7A">
        <w:rPr>
          <w:rStyle w:val="FootnoteReference"/>
          <w:sz w:val="18"/>
          <w:szCs w:val="18"/>
        </w:rPr>
        <w:footnoteRef/>
      </w:r>
      <w:r w:rsidRPr="00472D7A">
        <w:rPr>
          <w:sz w:val="18"/>
          <w:szCs w:val="18"/>
        </w:rPr>
        <w:t xml:space="preserve"> 2021 թվականի հուլիսի դրությամբ։ Աղբյուրը՝ IMF, Fiscal Monitor Database of Country Fiscal Measures in Response to the COVID-19 Pandemic․</w:t>
      </w:r>
      <w:hyperlink r:id="rId2" w:history="1">
        <w:r w:rsidRPr="00472D7A">
          <w:rPr>
            <w:rStyle w:val="Hyperlink"/>
            <w:sz w:val="18"/>
            <w:szCs w:val="18"/>
          </w:rPr>
          <w:t>https://www.imf.org/en/Topics/imf-and-covid19/Fiscal-Policies-Database-in-Response-to-COVID-19</w:t>
        </w:r>
      </w:hyperlink>
      <w:r w:rsidRPr="00472D7A">
        <w:rPr>
          <w:sz w:val="18"/>
          <w:szCs w:val="18"/>
        </w:rPr>
        <w:t xml:space="preserve">։ </w:t>
      </w:r>
    </w:p>
  </w:footnote>
  <w:footnote w:id="18">
    <w:p w14:paraId="56EE5CCF" w14:textId="77777777" w:rsidR="006B7E7B" w:rsidRPr="00A96E72" w:rsidRDefault="006B7E7B" w:rsidP="00027FBF">
      <w:pPr>
        <w:pStyle w:val="FootnoteText"/>
        <w:rPr>
          <w:lang w:val="hy-AM"/>
        </w:rPr>
      </w:pPr>
      <w:r w:rsidRPr="00807484">
        <w:rPr>
          <w:rStyle w:val="FootnoteReference"/>
          <w:sz w:val="18"/>
          <w:szCs w:val="18"/>
        </w:rPr>
        <w:footnoteRef/>
      </w:r>
      <w:r w:rsidRPr="00A96E72">
        <w:rPr>
          <w:lang w:val="hy-AM"/>
        </w:rPr>
        <w:t xml:space="preserve"> Այս ցուցանիշը իր մեջ ներառում է համավարակի սոցիալ-տնտեսական հետևանքների չեզոքացմանն ուղղված միջոցառումների ամբողջական 150 մլրդ դրամ փաթեթը, քանի որ միջազգային համադրումների համար ԱՄՀ տվյալների բազան վերաբերում է պլանավորված ցուցանիշներին: </w:t>
      </w:r>
    </w:p>
  </w:footnote>
  <w:footnote w:id="19">
    <w:p w14:paraId="116B4413" w14:textId="77777777" w:rsidR="006B7E7B" w:rsidRPr="00A96E72" w:rsidRDefault="006B7E7B" w:rsidP="00027FBF">
      <w:pPr>
        <w:pStyle w:val="FootnoteText"/>
        <w:rPr>
          <w:lang w:val="hy-AM"/>
        </w:rPr>
      </w:pPr>
      <w:r w:rsidRPr="0038225D">
        <w:rPr>
          <w:rStyle w:val="FootnoteReference"/>
          <w:sz w:val="18"/>
          <w:szCs w:val="18"/>
        </w:rPr>
        <w:footnoteRef/>
      </w:r>
      <w:r w:rsidRPr="00A96E72">
        <w:rPr>
          <w:lang w:val="hy-AM"/>
        </w:rPr>
        <w:t xml:space="preserve"> Հարկաբյուջետային կանխատեսումների համար հիմք է հանդիսացել 202</w:t>
      </w:r>
      <w:r>
        <w:rPr>
          <w:lang w:val="hy-AM"/>
        </w:rPr>
        <w:t>1</w:t>
      </w:r>
      <w:r w:rsidRPr="00A96E72">
        <w:rPr>
          <w:lang w:val="hy-AM"/>
        </w:rPr>
        <w:t xml:space="preserve">թ.-ի </w:t>
      </w:r>
      <w:r>
        <w:rPr>
          <w:lang w:val="hy-AM"/>
        </w:rPr>
        <w:t>օգոստոսի</w:t>
      </w:r>
      <w:r w:rsidRPr="00A96E72">
        <w:rPr>
          <w:lang w:val="hy-AM"/>
        </w:rPr>
        <w:t xml:space="preserve"> վերջի դրությամբ առկա տեղեկատվությունը՝ համավարակի տարածման արագության, դրա տնտեսական ազդեցությունների, միջազգային կազմակերպությունների կանխատեսումների, ինչպես նաև հարկաբյուջետային քաղաքականության հակաճգնաժամային միջոցառումների վերաբերյալ:</w:t>
      </w:r>
    </w:p>
  </w:footnote>
  <w:footnote w:id="20">
    <w:p w14:paraId="5B1F3C55" w14:textId="77777777" w:rsidR="006B7E7B" w:rsidRPr="00B7540A" w:rsidRDefault="006B7E7B" w:rsidP="00027FBF">
      <w:pPr>
        <w:pStyle w:val="FootnoteText"/>
        <w:rPr>
          <w:lang w:val="hy-AM"/>
        </w:rPr>
      </w:pPr>
      <w:r w:rsidRPr="00E2325B">
        <w:rPr>
          <w:rStyle w:val="FootnoteReference"/>
        </w:rPr>
        <w:footnoteRef/>
      </w:r>
      <w:r w:rsidRPr="00B7540A">
        <w:rPr>
          <w:lang w:val="hy-AM"/>
        </w:rPr>
        <w:t xml:space="preserve"> Այս հատվածում նկարագրված ռիսկերի առավել մանրամասն վերլուծությունը ներկայացված է այս փաստաթղթի ՄԱՍ IV-ի «Պետական բյուջեի վրա մակրոտնտեսական կանխատեսված ցուցանիշներից շեղման ռիսկերի ազդեցության քանակական գնահատում» և «ՀՀ կառավարության պարտքի կայունության վերլուծություն» բաժիններում։ </w:t>
      </w:r>
    </w:p>
  </w:footnote>
  <w:footnote w:id="21">
    <w:p w14:paraId="53FB513F" w14:textId="77777777" w:rsidR="006B7E7B" w:rsidRPr="00117D85" w:rsidRDefault="006B7E7B" w:rsidP="0087134D">
      <w:pPr>
        <w:pStyle w:val="FootnoteText"/>
        <w:rPr>
          <w:sz w:val="14"/>
          <w:lang w:val="sk-SK"/>
        </w:rPr>
      </w:pPr>
      <w:r w:rsidRPr="00E14DDE">
        <w:rPr>
          <w:rStyle w:val="FootnoteReference"/>
          <w:sz w:val="18"/>
        </w:rPr>
        <w:footnoteRef/>
      </w:r>
      <w:r w:rsidRPr="008624F6">
        <w:rPr>
          <w:lang w:val="hy-AM"/>
        </w:rPr>
        <w:t>Սա</w:t>
      </w:r>
      <w:r w:rsidRPr="004C6A11">
        <w:rPr>
          <w:lang w:val="sk-SK"/>
        </w:rPr>
        <w:t xml:space="preserve"> </w:t>
      </w:r>
      <w:r w:rsidRPr="008624F6">
        <w:rPr>
          <w:lang w:val="hy-AM"/>
        </w:rPr>
        <w:t>որոշակիորեն</w:t>
      </w:r>
      <w:r w:rsidRPr="004C6A11">
        <w:rPr>
          <w:lang w:val="sk-SK"/>
        </w:rPr>
        <w:t xml:space="preserve"> </w:t>
      </w:r>
      <w:r w:rsidRPr="008624F6">
        <w:rPr>
          <w:lang w:val="hy-AM"/>
        </w:rPr>
        <w:t>կապված</w:t>
      </w:r>
      <w:r w:rsidRPr="004C6A11">
        <w:rPr>
          <w:lang w:val="sk-SK"/>
        </w:rPr>
        <w:t xml:space="preserve"> </w:t>
      </w:r>
      <w:r w:rsidRPr="008624F6">
        <w:rPr>
          <w:lang w:val="hy-AM"/>
        </w:rPr>
        <w:t>է</w:t>
      </w:r>
      <w:r w:rsidRPr="004C6A11">
        <w:rPr>
          <w:lang w:val="sk-SK"/>
        </w:rPr>
        <w:t xml:space="preserve"> </w:t>
      </w:r>
      <w:r w:rsidRPr="008624F6">
        <w:rPr>
          <w:lang w:val="hy-AM"/>
        </w:rPr>
        <w:t>նաև</w:t>
      </w:r>
      <w:r w:rsidRPr="004C6A11">
        <w:rPr>
          <w:lang w:val="sk-SK"/>
        </w:rPr>
        <w:t xml:space="preserve"> </w:t>
      </w:r>
      <w:r w:rsidRPr="008624F6">
        <w:rPr>
          <w:lang w:val="hy-AM"/>
        </w:rPr>
        <w:t>մոդելների</w:t>
      </w:r>
      <w:r w:rsidRPr="004C6A11">
        <w:rPr>
          <w:lang w:val="sk-SK"/>
        </w:rPr>
        <w:t xml:space="preserve"> </w:t>
      </w:r>
      <w:r w:rsidRPr="008624F6">
        <w:rPr>
          <w:lang w:val="hy-AM"/>
        </w:rPr>
        <w:t>սպեցիֆիկացիաների</w:t>
      </w:r>
      <w:r w:rsidRPr="004C6A11">
        <w:rPr>
          <w:lang w:val="sk-SK"/>
        </w:rPr>
        <w:t xml:space="preserve"> </w:t>
      </w:r>
      <w:r w:rsidRPr="008624F6">
        <w:rPr>
          <w:lang w:val="hy-AM"/>
        </w:rPr>
        <w:t>հետ</w:t>
      </w:r>
      <w:r w:rsidRPr="004C6A11">
        <w:rPr>
          <w:lang w:val="sk-SK"/>
        </w:rPr>
        <w:t xml:space="preserve">, </w:t>
      </w:r>
      <w:r w:rsidRPr="008624F6">
        <w:rPr>
          <w:lang w:val="hy-AM"/>
        </w:rPr>
        <w:t>քանի</w:t>
      </w:r>
      <w:r w:rsidRPr="004C6A11">
        <w:rPr>
          <w:lang w:val="sk-SK"/>
        </w:rPr>
        <w:t xml:space="preserve"> </w:t>
      </w:r>
      <w:r w:rsidRPr="008624F6">
        <w:rPr>
          <w:lang w:val="hy-AM"/>
        </w:rPr>
        <w:t>որ</w:t>
      </w:r>
      <w:r w:rsidRPr="004C6A11">
        <w:rPr>
          <w:lang w:val="sk-SK"/>
        </w:rPr>
        <w:t xml:space="preserve"> </w:t>
      </w:r>
      <w:r w:rsidRPr="008624F6">
        <w:rPr>
          <w:lang w:val="hy-AM"/>
        </w:rPr>
        <w:t>ժամանակային</w:t>
      </w:r>
      <w:r w:rsidRPr="004C6A11">
        <w:rPr>
          <w:lang w:val="sk-SK"/>
        </w:rPr>
        <w:t xml:space="preserve"> </w:t>
      </w:r>
      <w:r w:rsidRPr="008624F6">
        <w:rPr>
          <w:lang w:val="hy-AM"/>
        </w:rPr>
        <w:t>շարքերի</w:t>
      </w:r>
      <w:r w:rsidRPr="004C6A11">
        <w:rPr>
          <w:lang w:val="sk-SK"/>
        </w:rPr>
        <w:t xml:space="preserve"> </w:t>
      </w:r>
      <w:r w:rsidRPr="008624F6">
        <w:rPr>
          <w:lang w:val="hy-AM"/>
        </w:rPr>
        <w:t>վրա</w:t>
      </w:r>
      <w:r w:rsidRPr="004C6A11">
        <w:rPr>
          <w:lang w:val="sk-SK"/>
        </w:rPr>
        <w:t xml:space="preserve"> </w:t>
      </w:r>
      <w:r w:rsidRPr="008624F6">
        <w:rPr>
          <w:lang w:val="hy-AM"/>
        </w:rPr>
        <w:t>հիմնված</w:t>
      </w:r>
      <w:r w:rsidRPr="004C6A11">
        <w:rPr>
          <w:lang w:val="sk-SK"/>
        </w:rPr>
        <w:t xml:space="preserve"> </w:t>
      </w:r>
      <w:r w:rsidRPr="008624F6">
        <w:rPr>
          <w:lang w:val="hy-AM"/>
        </w:rPr>
        <w:t>մոդելներն</w:t>
      </w:r>
      <w:r w:rsidRPr="004C6A11">
        <w:rPr>
          <w:lang w:val="sk-SK"/>
        </w:rPr>
        <w:t xml:space="preserve"> </w:t>
      </w:r>
      <w:r w:rsidRPr="008624F6">
        <w:rPr>
          <w:lang w:val="hy-AM"/>
        </w:rPr>
        <w:t>իրենց</w:t>
      </w:r>
      <w:r w:rsidRPr="004C6A11">
        <w:rPr>
          <w:lang w:val="sk-SK"/>
        </w:rPr>
        <w:t xml:space="preserve"> </w:t>
      </w:r>
      <w:r w:rsidRPr="008624F6">
        <w:rPr>
          <w:lang w:val="hy-AM"/>
        </w:rPr>
        <w:t>մեջ</w:t>
      </w:r>
      <w:r w:rsidRPr="004C6A11">
        <w:rPr>
          <w:lang w:val="sk-SK"/>
        </w:rPr>
        <w:t xml:space="preserve"> </w:t>
      </w:r>
      <w:r w:rsidRPr="008624F6">
        <w:rPr>
          <w:lang w:val="hy-AM"/>
        </w:rPr>
        <w:t>ներառում</w:t>
      </w:r>
      <w:r w:rsidRPr="004C6A11">
        <w:rPr>
          <w:lang w:val="sk-SK"/>
        </w:rPr>
        <w:t xml:space="preserve"> </w:t>
      </w:r>
      <w:r w:rsidRPr="008624F6">
        <w:rPr>
          <w:lang w:val="hy-AM"/>
        </w:rPr>
        <w:t>են</w:t>
      </w:r>
      <w:r w:rsidRPr="004C6A11">
        <w:rPr>
          <w:lang w:val="sk-SK"/>
        </w:rPr>
        <w:t xml:space="preserve"> </w:t>
      </w:r>
      <w:r w:rsidRPr="008624F6">
        <w:rPr>
          <w:lang w:val="hy-AM"/>
        </w:rPr>
        <w:t>տնտեսության</w:t>
      </w:r>
      <w:r w:rsidRPr="004C6A11">
        <w:rPr>
          <w:lang w:val="sk-SK"/>
        </w:rPr>
        <w:t xml:space="preserve"> </w:t>
      </w:r>
      <w:r w:rsidRPr="008624F6">
        <w:rPr>
          <w:lang w:val="hy-AM"/>
        </w:rPr>
        <w:t>նախորդ</w:t>
      </w:r>
      <w:r w:rsidRPr="004C6A11">
        <w:rPr>
          <w:lang w:val="sk-SK"/>
        </w:rPr>
        <w:t xml:space="preserve"> </w:t>
      </w:r>
      <w:r w:rsidRPr="008624F6">
        <w:rPr>
          <w:lang w:val="hy-AM"/>
        </w:rPr>
        <w:t>ժամանակահատվածի</w:t>
      </w:r>
      <w:r w:rsidRPr="004C6A11">
        <w:rPr>
          <w:lang w:val="sk-SK"/>
        </w:rPr>
        <w:t xml:space="preserve"> </w:t>
      </w:r>
      <w:r w:rsidRPr="008624F6">
        <w:rPr>
          <w:lang w:val="hy-AM"/>
        </w:rPr>
        <w:t>զարգացումների</w:t>
      </w:r>
      <w:r w:rsidRPr="004C6A11">
        <w:rPr>
          <w:lang w:val="sk-SK"/>
        </w:rPr>
        <w:t xml:space="preserve"> </w:t>
      </w:r>
      <w:r w:rsidRPr="008624F6">
        <w:rPr>
          <w:lang w:val="hy-AM"/>
        </w:rPr>
        <w:t>տեղեկատվությունը</w:t>
      </w:r>
      <w:r w:rsidRPr="004C6A11">
        <w:rPr>
          <w:lang w:val="sk-SK"/>
        </w:rPr>
        <w:t xml:space="preserve">, </w:t>
      </w:r>
      <w:r w:rsidRPr="008624F6">
        <w:rPr>
          <w:lang w:val="hy-AM"/>
        </w:rPr>
        <w:t>իսկ</w:t>
      </w:r>
      <w:r w:rsidRPr="004C6A11">
        <w:rPr>
          <w:lang w:val="sk-SK"/>
        </w:rPr>
        <w:t xml:space="preserve"> </w:t>
      </w:r>
      <w:r w:rsidRPr="008624F6">
        <w:rPr>
          <w:lang w:val="hy-AM"/>
        </w:rPr>
        <w:t>կանխատեսվող</w:t>
      </w:r>
      <w:r w:rsidRPr="004C6A11">
        <w:rPr>
          <w:lang w:val="sk-SK"/>
        </w:rPr>
        <w:t xml:space="preserve"> </w:t>
      </w:r>
      <w:r w:rsidRPr="008624F6">
        <w:rPr>
          <w:lang w:val="hy-AM"/>
        </w:rPr>
        <w:t>տարում</w:t>
      </w:r>
      <w:r w:rsidRPr="004C6A11">
        <w:rPr>
          <w:lang w:val="sk-SK"/>
        </w:rPr>
        <w:t xml:space="preserve"> </w:t>
      </w:r>
      <w:r w:rsidRPr="008624F6">
        <w:rPr>
          <w:lang w:val="hy-AM"/>
        </w:rPr>
        <w:t>ի</w:t>
      </w:r>
      <w:r w:rsidRPr="004C6A11">
        <w:rPr>
          <w:lang w:val="sk-SK"/>
        </w:rPr>
        <w:t xml:space="preserve"> </w:t>
      </w:r>
      <w:r w:rsidRPr="008624F6">
        <w:rPr>
          <w:lang w:val="hy-AM"/>
        </w:rPr>
        <w:t>հայտ</w:t>
      </w:r>
      <w:r w:rsidRPr="004C6A11">
        <w:rPr>
          <w:lang w:val="sk-SK"/>
        </w:rPr>
        <w:t xml:space="preserve"> </w:t>
      </w:r>
      <w:r w:rsidRPr="008624F6">
        <w:rPr>
          <w:lang w:val="hy-AM"/>
        </w:rPr>
        <w:t>եկող</w:t>
      </w:r>
      <w:r w:rsidRPr="004C6A11">
        <w:rPr>
          <w:lang w:val="sk-SK"/>
        </w:rPr>
        <w:t xml:space="preserve"> </w:t>
      </w:r>
      <w:r w:rsidRPr="008624F6">
        <w:rPr>
          <w:lang w:val="hy-AM"/>
        </w:rPr>
        <w:t>տնտեսության</w:t>
      </w:r>
      <w:r w:rsidRPr="004C6A11">
        <w:rPr>
          <w:lang w:val="sk-SK"/>
        </w:rPr>
        <w:t xml:space="preserve"> </w:t>
      </w:r>
      <w:r w:rsidRPr="008624F6">
        <w:rPr>
          <w:lang w:val="hy-AM"/>
        </w:rPr>
        <w:t>կառուցվածքային</w:t>
      </w:r>
      <w:r w:rsidRPr="004C6A11">
        <w:rPr>
          <w:lang w:val="sk-SK"/>
        </w:rPr>
        <w:t xml:space="preserve"> </w:t>
      </w:r>
      <w:r w:rsidRPr="008624F6">
        <w:rPr>
          <w:lang w:val="hy-AM"/>
        </w:rPr>
        <w:t>տեղաշարժը</w:t>
      </w:r>
      <w:r w:rsidRPr="004C6A11">
        <w:rPr>
          <w:lang w:val="sk-SK"/>
        </w:rPr>
        <w:t xml:space="preserve"> </w:t>
      </w:r>
      <w:r w:rsidRPr="008624F6">
        <w:rPr>
          <w:lang w:val="hy-AM"/>
        </w:rPr>
        <w:t>միայն</w:t>
      </w:r>
      <w:r w:rsidRPr="004C6A11">
        <w:rPr>
          <w:lang w:val="sk-SK"/>
        </w:rPr>
        <w:t xml:space="preserve"> </w:t>
      </w:r>
      <w:r w:rsidRPr="008624F6">
        <w:rPr>
          <w:lang w:val="hy-AM"/>
        </w:rPr>
        <w:t>կարող</w:t>
      </w:r>
      <w:r w:rsidRPr="004C6A11">
        <w:rPr>
          <w:lang w:val="sk-SK"/>
        </w:rPr>
        <w:t xml:space="preserve"> </w:t>
      </w:r>
      <w:r w:rsidRPr="008624F6">
        <w:rPr>
          <w:lang w:val="hy-AM"/>
        </w:rPr>
        <w:t>է</w:t>
      </w:r>
      <w:r w:rsidRPr="004C6A11">
        <w:rPr>
          <w:lang w:val="sk-SK"/>
        </w:rPr>
        <w:t xml:space="preserve"> </w:t>
      </w:r>
      <w:r w:rsidRPr="008624F6">
        <w:rPr>
          <w:lang w:val="hy-AM"/>
        </w:rPr>
        <w:t>ներառվել</w:t>
      </w:r>
      <w:r w:rsidRPr="004C6A11">
        <w:rPr>
          <w:lang w:val="sk-SK"/>
        </w:rPr>
        <w:t xml:space="preserve"> </w:t>
      </w:r>
      <w:r w:rsidRPr="008624F6">
        <w:rPr>
          <w:lang w:val="hy-AM"/>
        </w:rPr>
        <w:t>հաջորդ</w:t>
      </w:r>
      <w:r w:rsidRPr="004C6A11">
        <w:rPr>
          <w:lang w:val="sk-SK"/>
        </w:rPr>
        <w:t xml:space="preserve"> </w:t>
      </w:r>
      <w:r w:rsidRPr="008624F6">
        <w:rPr>
          <w:lang w:val="hy-AM"/>
        </w:rPr>
        <w:t>տարվա</w:t>
      </w:r>
      <w:r w:rsidRPr="004C6A11">
        <w:rPr>
          <w:lang w:val="sk-SK"/>
        </w:rPr>
        <w:t xml:space="preserve"> </w:t>
      </w:r>
      <w:r w:rsidRPr="008624F6">
        <w:rPr>
          <w:lang w:val="hy-AM"/>
        </w:rPr>
        <w:t>կանխատեսումների</w:t>
      </w:r>
      <w:r w:rsidRPr="004C6A11">
        <w:rPr>
          <w:lang w:val="sk-SK"/>
        </w:rPr>
        <w:t xml:space="preserve"> </w:t>
      </w:r>
      <w:r w:rsidRPr="008624F6">
        <w:rPr>
          <w:lang w:val="hy-AM"/>
        </w:rPr>
        <w:t>մոդելներում</w:t>
      </w:r>
      <w:r w:rsidRPr="004C6A11">
        <w:rPr>
          <w:lang w:val="sk-SK"/>
        </w:rPr>
        <w:t>:</w:t>
      </w:r>
      <w:r w:rsidRPr="00117D85">
        <w:rPr>
          <w:sz w:val="18"/>
          <w:lang w:val="sk-SK"/>
        </w:rPr>
        <w:t xml:space="preserve"> </w:t>
      </w:r>
    </w:p>
  </w:footnote>
  <w:footnote w:id="22">
    <w:p w14:paraId="6B68CA3B" w14:textId="77777777" w:rsidR="006B7E7B" w:rsidRDefault="006B7E7B" w:rsidP="0087134D">
      <w:pPr>
        <w:pStyle w:val="FootnoteText"/>
        <w:rPr>
          <w:lang w:val="ro-RO"/>
        </w:rPr>
      </w:pPr>
      <w:r>
        <w:rPr>
          <w:rStyle w:val="FootnoteReference"/>
          <w:rFonts w:eastAsiaTheme="majorEastAsia"/>
        </w:rPr>
        <w:footnoteRef/>
      </w:r>
      <w:r w:rsidRPr="007D33E8">
        <w:rPr>
          <w:lang w:val="sk-SK"/>
        </w:rPr>
        <w:t xml:space="preserve"> </w:t>
      </w:r>
      <w:r>
        <w:t>ՀՆԱ</w:t>
      </w:r>
      <w:r>
        <w:rPr>
          <w:lang w:val="ro-RO"/>
        </w:rPr>
        <w:t xml:space="preserve">, </w:t>
      </w:r>
      <w:r>
        <w:t>ներմուծման</w:t>
      </w:r>
      <w:r>
        <w:rPr>
          <w:lang w:val="ro-RO"/>
        </w:rPr>
        <w:t xml:space="preserve">, </w:t>
      </w:r>
      <w:r>
        <w:t>փոխարժեքի</w:t>
      </w:r>
      <w:r>
        <w:rPr>
          <w:lang w:val="sk-SK"/>
        </w:rPr>
        <w:t xml:space="preserve"> </w:t>
      </w:r>
      <w:r>
        <w:t>և</w:t>
      </w:r>
      <w:r>
        <w:rPr>
          <w:lang w:val="sk-SK"/>
        </w:rPr>
        <w:t xml:space="preserve"> </w:t>
      </w:r>
      <w:r>
        <w:t>գների</w:t>
      </w:r>
      <w:r>
        <w:rPr>
          <w:lang w:val="sk-SK"/>
        </w:rPr>
        <w:t xml:space="preserve"> </w:t>
      </w:r>
      <w:r>
        <w:t>գծով</w:t>
      </w:r>
      <w:r>
        <w:rPr>
          <w:lang w:val="sk-SK"/>
        </w:rPr>
        <w:t xml:space="preserve"> </w:t>
      </w:r>
      <w:r>
        <w:t>հավանական</w:t>
      </w:r>
      <w:r>
        <w:rPr>
          <w:lang w:val="sk-SK"/>
        </w:rPr>
        <w:t xml:space="preserve"> </w:t>
      </w:r>
      <w:r>
        <w:t>ռիսկերի</w:t>
      </w:r>
      <w:r>
        <w:rPr>
          <w:lang w:val="sk-SK"/>
        </w:rPr>
        <w:t xml:space="preserve"> </w:t>
      </w:r>
      <w:r>
        <w:t>քանակային</w:t>
      </w:r>
      <w:r>
        <w:rPr>
          <w:lang w:val="sk-SK"/>
        </w:rPr>
        <w:t xml:space="preserve"> </w:t>
      </w:r>
      <w:r>
        <w:t>գնահատականը</w:t>
      </w:r>
      <w:r>
        <w:rPr>
          <w:lang w:val="sk-SK"/>
        </w:rPr>
        <w:t xml:space="preserve"> </w:t>
      </w:r>
      <w:r>
        <w:t>ստացվել</w:t>
      </w:r>
      <w:r>
        <w:rPr>
          <w:lang w:val="sk-SK"/>
        </w:rPr>
        <w:t xml:space="preserve"> </w:t>
      </w:r>
      <w:r>
        <w:t>է</w:t>
      </w:r>
      <w:r>
        <w:rPr>
          <w:lang w:val="sk-SK"/>
        </w:rPr>
        <w:t xml:space="preserve">` </w:t>
      </w:r>
      <w:r>
        <w:t>հիմք</w:t>
      </w:r>
      <w:r>
        <w:rPr>
          <w:lang w:val="sk-SK"/>
        </w:rPr>
        <w:t xml:space="preserve"> ըն</w:t>
      </w:r>
      <w:r>
        <w:t>դունելով</w:t>
      </w:r>
      <w:r>
        <w:rPr>
          <w:lang w:val="sk-SK"/>
        </w:rPr>
        <w:t xml:space="preserve"> </w:t>
      </w:r>
      <w:r>
        <w:t>այս</w:t>
      </w:r>
      <w:r>
        <w:rPr>
          <w:lang w:val="sk-SK"/>
        </w:rPr>
        <w:t xml:space="preserve"> </w:t>
      </w:r>
      <w:r>
        <w:t>գործոնների</w:t>
      </w:r>
      <w:r>
        <w:rPr>
          <w:lang w:val="sk-SK"/>
        </w:rPr>
        <w:t xml:space="preserve"> </w:t>
      </w:r>
      <w:r>
        <w:t>պատմական</w:t>
      </w:r>
      <w:r>
        <w:rPr>
          <w:lang w:val="sk-SK"/>
        </w:rPr>
        <w:t xml:space="preserve"> </w:t>
      </w:r>
      <w:r>
        <w:t>շարժի</w:t>
      </w:r>
      <w:r>
        <w:rPr>
          <w:lang w:val="sk-SK"/>
        </w:rPr>
        <w:t xml:space="preserve"> </w:t>
      </w:r>
      <w:r>
        <w:t>բացարձակ</w:t>
      </w:r>
      <w:r>
        <w:rPr>
          <w:lang w:val="sk-SK"/>
        </w:rPr>
        <w:t xml:space="preserve"> </w:t>
      </w:r>
      <w:r>
        <w:t>միջին</w:t>
      </w:r>
      <w:r>
        <w:rPr>
          <w:lang w:val="sk-SK"/>
        </w:rPr>
        <w:t xml:space="preserve"> </w:t>
      </w:r>
      <w:r>
        <w:t>սխալը</w:t>
      </w:r>
      <w:r>
        <w:rPr>
          <w:lang w:val="ro-RO"/>
        </w:rPr>
        <w:t>:</w:t>
      </w:r>
    </w:p>
  </w:footnote>
  <w:footnote w:id="23">
    <w:p w14:paraId="2E232C4D" w14:textId="77777777" w:rsidR="006B7E7B" w:rsidRDefault="006B7E7B" w:rsidP="0087134D">
      <w:pPr>
        <w:rPr>
          <w:rFonts w:cs="Sylfaen"/>
          <w:i/>
          <w:sz w:val="16"/>
          <w:szCs w:val="16"/>
          <w:lang w:val="ro-RO"/>
        </w:rPr>
      </w:pPr>
      <w:r>
        <w:rPr>
          <w:rStyle w:val="FootnoteReference"/>
          <w:sz w:val="16"/>
          <w:szCs w:val="16"/>
        </w:rPr>
        <w:footnoteRef/>
      </w:r>
      <w:r>
        <w:rPr>
          <w:rFonts w:cs="Sylfaen"/>
          <w:sz w:val="16"/>
          <w:szCs w:val="16"/>
        </w:rPr>
        <w:t>Հարկային</w:t>
      </w:r>
      <w:r>
        <w:rPr>
          <w:rFonts w:cs="Sylfaen"/>
          <w:sz w:val="16"/>
          <w:szCs w:val="16"/>
          <w:lang w:val="ro-RO"/>
        </w:rPr>
        <w:t xml:space="preserve"> </w:t>
      </w:r>
      <w:r>
        <w:rPr>
          <w:rFonts w:cs="Sylfaen"/>
          <w:sz w:val="16"/>
          <w:szCs w:val="16"/>
        </w:rPr>
        <w:t>եկամուտների</w:t>
      </w:r>
      <w:r>
        <w:rPr>
          <w:rFonts w:cs="Sylfaen"/>
          <w:sz w:val="16"/>
          <w:szCs w:val="16"/>
          <w:lang w:val="ro-RO"/>
        </w:rPr>
        <w:t xml:space="preserve"> </w:t>
      </w:r>
      <w:r>
        <w:rPr>
          <w:rFonts w:cs="Sylfaen"/>
          <w:sz w:val="16"/>
          <w:szCs w:val="16"/>
        </w:rPr>
        <w:t>գծով</w:t>
      </w:r>
      <w:r>
        <w:rPr>
          <w:rFonts w:cs="Sylfaen"/>
          <w:sz w:val="16"/>
          <w:szCs w:val="16"/>
          <w:lang w:val="ro-RO"/>
        </w:rPr>
        <w:t xml:space="preserve"> </w:t>
      </w:r>
      <w:r>
        <w:rPr>
          <w:rFonts w:cs="Sylfaen"/>
          <w:sz w:val="16"/>
          <w:szCs w:val="16"/>
        </w:rPr>
        <w:t>ռիսկերի</w:t>
      </w:r>
      <w:r>
        <w:rPr>
          <w:rFonts w:cs="Sylfaen"/>
          <w:sz w:val="16"/>
          <w:szCs w:val="16"/>
          <w:lang w:val="ro-RO"/>
        </w:rPr>
        <w:t xml:space="preserve"> ազդեցության </w:t>
      </w:r>
      <w:r>
        <w:rPr>
          <w:rFonts w:cs="Sylfaen"/>
          <w:sz w:val="16"/>
          <w:szCs w:val="16"/>
        </w:rPr>
        <w:t>գնահատականը</w:t>
      </w:r>
      <w:r>
        <w:rPr>
          <w:rFonts w:cs="Sylfaen"/>
          <w:sz w:val="16"/>
          <w:szCs w:val="16"/>
          <w:lang w:val="ro-RO"/>
        </w:rPr>
        <w:t xml:space="preserve"> </w:t>
      </w:r>
      <w:r>
        <w:rPr>
          <w:rFonts w:cs="Sylfaen"/>
          <w:sz w:val="16"/>
          <w:szCs w:val="16"/>
        </w:rPr>
        <w:t>կառուցվել</w:t>
      </w:r>
      <w:r>
        <w:rPr>
          <w:rFonts w:cs="Sylfaen"/>
          <w:sz w:val="16"/>
          <w:szCs w:val="16"/>
          <w:lang w:val="ro-RO"/>
        </w:rPr>
        <w:t xml:space="preserve"> </w:t>
      </w:r>
      <w:r>
        <w:rPr>
          <w:rFonts w:cs="Sylfaen"/>
          <w:sz w:val="16"/>
          <w:szCs w:val="16"/>
        </w:rPr>
        <w:t>է</w:t>
      </w:r>
      <w:r>
        <w:rPr>
          <w:rFonts w:cs="Sylfaen"/>
          <w:sz w:val="16"/>
          <w:szCs w:val="16"/>
          <w:lang w:val="ro-RO"/>
        </w:rPr>
        <w:t xml:space="preserve"> </w:t>
      </w:r>
      <w:r>
        <w:rPr>
          <w:rFonts w:cs="Sylfaen"/>
          <w:sz w:val="16"/>
          <w:szCs w:val="16"/>
        </w:rPr>
        <w:t>ՀՀ</w:t>
      </w:r>
      <w:r>
        <w:rPr>
          <w:rFonts w:cs="Sylfaen"/>
          <w:sz w:val="16"/>
          <w:szCs w:val="16"/>
          <w:lang w:val="ro-RO"/>
        </w:rPr>
        <w:t xml:space="preserve"> ֆ</w:t>
      </w:r>
      <w:r>
        <w:rPr>
          <w:rFonts w:cs="Sylfaen"/>
          <w:sz w:val="16"/>
          <w:szCs w:val="16"/>
        </w:rPr>
        <w:t>ինանսների</w:t>
      </w:r>
      <w:r>
        <w:rPr>
          <w:rFonts w:cs="Sylfaen"/>
          <w:sz w:val="16"/>
          <w:szCs w:val="16"/>
          <w:lang w:val="ro-RO"/>
        </w:rPr>
        <w:t xml:space="preserve"> </w:t>
      </w:r>
      <w:r>
        <w:rPr>
          <w:rFonts w:cs="Sylfaen"/>
          <w:sz w:val="16"/>
          <w:szCs w:val="16"/>
        </w:rPr>
        <w:t>նախարարության</w:t>
      </w:r>
      <w:r>
        <w:rPr>
          <w:rFonts w:cs="Sylfaen"/>
          <w:sz w:val="16"/>
          <w:szCs w:val="16"/>
          <w:lang w:val="ro-RO"/>
        </w:rPr>
        <w:t xml:space="preserve"> </w:t>
      </w:r>
      <w:r>
        <w:rPr>
          <w:rFonts w:cs="Sylfaen"/>
          <w:sz w:val="16"/>
          <w:szCs w:val="16"/>
        </w:rPr>
        <w:t>ռիսկերի</w:t>
      </w:r>
      <w:r>
        <w:rPr>
          <w:rFonts w:cs="Sylfaen"/>
          <w:sz w:val="16"/>
          <w:szCs w:val="16"/>
          <w:lang w:val="ro-RO"/>
        </w:rPr>
        <w:t xml:space="preserve"> </w:t>
      </w:r>
      <w:r>
        <w:rPr>
          <w:rFonts w:cs="Sylfaen"/>
          <w:sz w:val="16"/>
          <w:szCs w:val="16"/>
        </w:rPr>
        <w:t>գնահատման</w:t>
      </w:r>
      <w:r>
        <w:rPr>
          <w:rFonts w:cs="Sylfaen"/>
          <w:sz w:val="16"/>
          <w:szCs w:val="16"/>
          <w:lang w:val="ro-RO"/>
        </w:rPr>
        <w:t xml:space="preserve"> </w:t>
      </w:r>
      <w:r>
        <w:rPr>
          <w:rFonts w:cs="Sylfaen"/>
          <w:sz w:val="16"/>
          <w:szCs w:val="16"/>
        </w:rPr>
        <w:t>համակարգի</w:t>
      </w:r>
      <w:r>
        <w:rPr>
          <w:rFonts w:cs="Sylfaen"/>
          <w:sz w:val="16"/>
          <w:szCs w:val="16"/>
          <w:lang w:val="ro-RO"/>
        </w:rPr>
        <w:t xml:space="preserve"> </w:t>
      </w:r>
      <w:r>
        <w:rPr>
          <w:rFonts w:cs="Sylfaen"/>
          <w:sz w:val="16"/>
          <w:szCs w:val="16"/>
        </w:rPr>
        <w:t>ներքո</w:t>
      </w:r>
      <w:r>
        <w:rPr>
          <w:rFonts w:cs="Sylfaen"/>
          <w:sz w:val="16"/>
          <w:szCs w:val="16"/>
          <w:lang w:val="ro-RO"/>
        </w:rPr>
        <w:t xml:space="preserve"> </w:t>
      </w:r>
      <w:r>
        <w:rPr>
          <w:rFonts w:cs="Sylfaen"/>
          <w:sz w:val="16"/>
          <w:szCs w:val="16"/>
        </w:rPr>
        <w:t>կառուցված</w:t>
      </w:r>
      <w:r>
        <w:rPr>
          <w:rFonts w:cs="Sylfaen"/>
          <w:sz w:val="16"/>
          <w:szCs w:val="16"/>
          <w:lang w:val="ro-RO"/>
        </w:rPr>
        <w:t xml:space="preserve"> </w:t>
      </w:r>
      <w:r>
        <w:rPr>
          <w:rFonts w:cs="Sylfaen"/>
          <w:sz w:val="16"/>
          <w:szCs w:val="16"/>
        </w:rPr>
        <w:t>մոդելի</w:t>
      </w:r>
      <w:r>
        <w:rPr>
          <w:rFonts w:cs="Sylfaen"/>
          <w:sz w:val="16"/>
          <w:szCs w:val="16"/>
          <w:lang w:val="ro-RO"/>
        </w:rPr>
        <w:t xml:space="preserve"> </w:t>
      </w:r>
      <w:r>
        <w:rPr>
          <w:rFonts w:cs="Sylfaen"/>
          <w:sz w:val="16"/>
          <w:szCs w:val="16"/>
        </w:rPr>
        <w:t>հիման</w:t>
      </w:r>
      <w:r>
        <w:rPr>
          <w:rFonts w:cs="Sylfaen"/>
          <w:sz w:val="16"/>
          <w:szCs w:val="16"/>
          <w:lang w:val="ro-RO"/>
        </w:rPr>
        <w:t xml:space="preserve"> </w:t>
      </w:r>
      <w:r>
        <w:rPr>
          <w:rFonts w:cs="Sylfaen"/>
          <w:sz w:val="16"/>
          <w:szCs w:val="16"/>
        </w:rPr>
        <w:t>վրա</w:t>
      </w:r>
      <w:r>
        <w:rPr>
          <w:rFonts w:cs="Sylfaen"/>
          <w:sz w:val="16"/>
          <w:szCs w:val="16"/>
          <w:lang w:val="ro-RO"/>
        </w:rPr>
        <w:t>:</w:t>
      </w:r>
      <w:r>
        <w:rPr>
          <w:rFonts w:cs="Sylfaen"/>
          <w:i/>
          <w:sz w:val="16"/>
          <w:szCs w:val="16"/>
          <w:lang w:val="ro-RO"/>
        </w:rPr>
        <w:t xml:space="preserve"> </w:t>
      </w:r>
    </w:p>
  </w:footnote>
  <w:footnote w:id="24">
    <w:p w14:paraId="16674AFC" w14:textId="77777777" w:rsidR="006B7E7B" w:rsidRPr="00CA4440" w:rsidRDefault="006B7E7B" w:rsidP="0087134D">
      <w:pPr>
        <w:pStyle w:val="FootnoteText"/>
        <w:rPr>
          <w:sz w:val="14"/>
          <w:lang w:val="ro-RO"/>
        </w:rPr>
      </w:pPr>
      <w:r w:rsidRPr="00CA4440">
        <w:rPr>
          <w:rStyle w:val="FootnoteReference"/>
          <w:rFonts w:eastAsiaTheme="majorEastAsia"/>
          <w:sz w:val="18"/>
        </w:rPr>
        <w:footnoteRef/>
      </w:r>
      <w:r w:rsidRPr="00CA4440">
        <w:rPr>
          <w:sz w:val="18"/>
        </w:rPr>
        <w:t>Հավանականային</w:t>
      </w:r>
      <w:r w:rsidRPr="00CA4440">
        <w:rPr>
          <w:sz w:val="18"/>
          <w:lang w:val="ro-RO"/>
        </w:rPr>
        <w:t xml:space="preserve"> </w:t>
      </w:r>
      <w:r w:rsidRPr="00CA4440">
        <w:rPr>
          <w:sz w:val="18"/>
        </w:rPr>
        <w:t>կանխատեսման</w:t>
      </w:r>
      <w:r w:rsidRPr="00CA4440">
        <w:rPr>
          <w:sz w:val="18"/>
          <w:lang w:val="ro-RO"/>
        </w:rPr>
        <w:t xml:space="preserve"> </w:t>
      </w:r>
      <w:r w:rsidRPr="00CA4440">
        <w:rPr>
          <w:sz w:val="18"/>
        </w:rPr>
        <w:t>գրաֆիկի</w:t>
      </w:r>
      <w:r w:rsidRPr="00CA4440">
        <w:rPr>
          <w:sz w:val="18"/>
          <w:lang w:val="ro-RO"/>
        </w:rPr>
        <w:t xml:space="preserve"> </w:t>
      </w:r>
      <w:r w:rsidRPr="00CA4440">
        <w:rPr>
          <w:sz w:val="18"/>
        </w:rPr>
        <w:t>կառուցման</w:t>
      </w:r>
      <w:r w:rsidRPr="00CA4440">
        <w:rPr>
          <w:sz w:val="18"/>
          <w:lang w:val="ro-RO"/>
        </w:rPr>
        <w:t xml:space="preserve"> </w:t>
      </w:r>
      <w:r w:rsidRPr="00CA4440">
        <w:rPr>
          <w:sz w:val="18"/>
        </w:rPr>
        <w:t>ընդհանուր</w:t>
      </w:r>
      <w:r w:rsidRPr="00CA4440">
        <w:rPr>
          <w:sz w:val="18"/>
          <w:lang w:val="ro-RO"/>
        </w:rPr>
        <w:t xml:space="preserve"> </w:t>
      </w:r>
      <w:r w:rsidRPr="00CA4440">
        <w:rPr>
          <w:sz w:val="18"/>
        </w:rPr>
        <w:t>մեթոդաբանությունը</w:t>
      </w:r>
      <w:r w:rsidRPr="00CA4440">
        <w:rPr>
          <w:sz w:val="18"/>
          <w:lang w:val="ro-RO"/>
        </w:rPr>
        <w:t xml:space="preserve"> </w:t>
      </w:r>
      <w:r w:rsidRPr="00CA4440">
        <w:rPr>
          <w:sz w:val="18"/>
        </w:rPr>
        <w:t>ներկայացված</w:t>
      </w:r>
      <w:r w:rsidRPr="00CA4440">
        <w:rPr>
          <w:sz w:val="18"/>
          <w:lang w:val="ro-RO"/>
        </w:rPr>
        <w:t xml:space="preserve"> </w:t>
      </w:r>
      <w:r w:rsidRPr="00CA4440">
        <w:rPr>
          <w:sz w:val="18"/>
        </w:rPr>
        <w:t>է</w:t>
      </w:r>
      <w:r w:rsidRPr="00CA4440">
        <w:rPr>
          <w:sz w:val="18"/>
          <w:lang w:val="ro-RO"/>
        </w:rPr>
        <w:t xml:space="preserve"> </w:t>
      </w:r>
      <w:r w:rsidRPr="00CA4440">
        <w:rPr>
          <w:sz w:val="18"/>
        </w:rPr>
        <w:t>Ներդիր</w:t>
      </w:r>
      <w:r>
        <w:rPr>
          <w:sz w:val="18"/>
          <w:lang w:val="hy-AM"/>
        </w:rPr>
        <w:t>ում</w:t>
      </w:r>
      <w:r w:rsidRPr="00CA4440">
        <w:rPr>
          <w:sz w:val="18"/>
          <w:lang w:val="ro-RO"/>
        </w:rPr>
        <w:t>:</w:t>
      </w:r>
    </w:p>
  </w:footnote>
  <w:footnote w:id="25">
    <w:p w14:paraId="13B46431" w14:textId="77777777" w:rsidR="006B7E7B" w:rsidRPr="00010E8E" w:rsidRDefault="006B7E7B" w:rsidP="0087134D">
      <w:pPr>
        <w:pStyle w:val="FootnoteText"/>
        <w:rPr>
          <w:lang w:val="ro-RO"/>
        </w:rPr>
      </w:pPr>
      <w:r w:rsidRPr="00010E8E">
        <w:rPr>
          <w:rStyle w:val="FootnoteReference"/>
        </w:rPr>
        <w:footnoteRef/>
      </w:r>
      <w:r>
        <w:rPr>
          <w:lang w:val="ro-RO"/>
        </w:rPr>
        <w:t xml:space="preserve"> </w:t>
      </w:r>
      <w:r w:rsidRPr="00010E8E">
        <w:rPr>
          <w:lang w:val="ro-RO"/>
        </w:rPr>
        <w:t>Ընդհանուր ազդեցության գնահատականը հիմնված է մակրոտնտեսական ռիսկերի առանձին հանդես գալու ենթադրության վրա:</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9AC5A72"/>
    <w:lvl w:ilvl="0">
      <w:start w:val="1"/>
      <w:numFmt w:val="decimal"/>
      <w:pStyle w:val="ListNumber"/>
      <w:lvlText w:val="%1."/>
      <w:lvlJc w:val="left"/>
      <w:pPr>
        <w:tabs>
          <w:tab w:val="num" w:pos="540"/>
        </w:tabs>
        <w:ind w:left="540" w:hanging="360"/>
      </w:pPr>
    </w:lvl>
  </w:abstractNum>
  <w:abstractNum w:abstractNumId="1"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D1E6F"/>
    <w:multiLevelType w:val="hybridMultilevel"/>
    <w:tmpl w:val="908CCCA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9A402E7"/>
    <w:multiLevelType w:val="hybridMultilevel"/>
    <w:tmpl w:val="FCC0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9690A"/>
    <w:multiLevelType w:val="hybridMultilevel"/>
    <w:tmpl w:val="53BE3A02"/>
    <w:lvl w:ilvl="0" w:tplc="04090011">
      <w:start w:val="1"/>
      <w:numFmt w:val="decimal"/>
      <w:lvlText w:val="%1)"/>
      <w:lvlJc w:val="left"/>
      <w:pPr>
        <w:ind w:left="1069" w:hanging="360"/>
      </w:pPr>
      <w:rPr>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BC77A68"/>
    <w:multiLevelType w:val="hybridMultilevel"/>
    <w:tmpl w:val="4426BC50"/>
    <w:lvl w:ilvl="0" w:tplc="A790EA68">
      <w:start w:val="1"/>
      <w:numFmt w:val="decimal"/>
      <w:lvlText w:val="%1."/>
      <w:lvlJc w:val="left"/>
      <w:pPr>
        <w:ind w:left="765" w:hanging="405"/>
      </w:pPr>
      <w:rPr>
        <w:rFonts w:hint="default"/>
        <w:color w:val="6C75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F45B06"/>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B08AC"/>
    <w:multiLevelType w:val="hybridMultilevel"/>
    <w:tmpl w:val="9E582F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E7A5A"/>
    <w:multiLevelType w:val="singleLevel"/>
    <w:tmpl w:val="4EDA947C"/>
    <w:lvl w:ilvl="0">
      <w:start w:val="1"/>
      <w:numFmt w:val="decimal"/>
      <w:pStyle w:val="a"/>
      <w:lvlText w:val="%1."/>
      <w:lvlJc w:val="left"/>
      <w:pPr>
        <w:tabs>
          <w:tab w:val="num" w:pos="360"/>
        </w:tabs>
        <w:ind w:left="360" w:hanging="360"/>
      </w:pPr>
      <w:rPr>
        <w:rFonts w:hint="default"/>
      </w:rPr>
    </w:lvl>
  </w:abstractNum>
  <w:abstractNum w:abstractNumId="10" w15:restartNumberingAfterBreak="0">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4E967BB"/>
    <w:multiLevelType w:val="hybridMultilevel"/>
    <w:tmpl w:val="6CA80AE6"/>
    <w:lvl w:ilvl="0" w:tplc="04090001">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12" w15:restartNumberingAfterBreak="0">
    <w:nsid w:val="15187AA5"/>
    <w:multiLevelType w:val="hybridMultilevel"/>
    <w:tmpl w:val="7A7C69D6"/>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71CA6"/>
    <w:multiLevelType w:val="hybridMultilevel"/>
    <w:tmpl w:val="884E997A"/>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6F572A"/>
    <w:multiLevelType w:val="hybridMultilevel"/>
    <w:tmpl w:val="6C4C41B2"/>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755021"/>
    <w:multiLevelType w:val="multilevel"/>
    <w:tmpl w:val="207550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A707DA"/>
    <w:multiLevelType w:val="hybridMultilevel"/>
    <w:tmpl w:val="E7566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F9677B"/>
    <w:multiLevelType w:val="hybridMultilevel"/>
    <w:tmpl w:val="5FC0DC7E"/>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54D5A"/>
    <w:multiLevelType w:val="hybridMultilevel"/>
    <w:tmpl w:val="928A287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9" w15:restartNumberingAfterBreak="0">
    <w:nsid w:val="2442376F"/>
    <w:multiLevelType w:val="hybridMultilevel"/>
    <w:tmpl w:val="BBA43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9E056F"/>
    <w:multiLevelType w:val="hybridMultilevel"/>
    <w:tmpl w:val="E6782794"/>
    <w:lvl w:ilvl="0" w:tplc="4030E7EC">
      <w:numFmt w:val="bullet"/>
      <w:lvlText w:val="-"/>
      <w:lvlJc w:val="left"/>
      <w:pPr>
        <w:ind w:left="1800" w:hanging="360"/>
      </w:pPr>
      <w:rPr>
        <w:rFonts w:ascii="GHEA Grapalat" w:eastAsia="Times New Roman" w:hAnsi="GHEA Grapalat"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917017C"/>
    <w:multiLevelType w:val="hybridMultilevel"/>
    <w:tmpl w:val="6318ECA2"/>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931B24"/>
    <w:multiLevelType w:val="hybridMultilevel"/>
    <w:tmpl w:val="F0FCBE86"/>
    <w:lvl w:ilvl="0" w:tplc="933CC878">
      <w:start w:val="2"/>
      <w:numFmt w:val="bullet"/>
      <w:lvlText w:val="-"/>
      <w:lvlJc w:val="left"/>
      <w:pPr>
        <w:tabs>
          <w:tab w:val="num" w:pos="720"/>
        </w:tabs>
        <w:ind w:left="720" w:hanging="360"/>
      </w:pPr>
      <w:rPr>
        <w:rFonts w:ascii="GHEA Grapalat" w:eastAsia="Times New Roman" w:hAnsi="GHEA Grapalat" w:cs="GHEA Grapalat"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4" w15:restartNumberingAfterBreak="0">
    <w:nsid w:val="2EF10E72"/>
    <w:multiLevelType w:val="multilevel"/>
    <w:tmpl w:val="AF18A748"/>
    <w:lvl w:ilvl="0">
      <w:start w:val="1"/>
      <w:numFmt w:val="bullet"/>
      <w:lvlText w:val=""/>
      <w:lvlJc w:val="left"/>
      <w:pPr>
        <w:tabs>
          <w:tab w:val="num" w:pos="0"/>
        </w:tabs>
        <w:ind w:left="1287" w:hanging="360"/>
      </w:pPr>
      <w:rPr>
        <w:rFonts w:ascii="Symbol" w:hAnsi="Symbol" w:cs="Symbol" w:hint="default"/>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5" w15:restartNumberingAfterBreak="0">
    <w:nsid w:val="30795E74"/>
    <w:multiLevelType w:val="hybridMultilevel"/>
    <w:tmpl w:val="BB52AED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F63321"/>
    <w:multiLevelType w:val="hybridMultilevel"/>
    <w:tmpl w:val="6EC02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2235AC"/>
    <w:multiLevelType w:val="hybridMultilevel"/>
    <w:tmpl w:val="4F4A4EE6"/>
    <w:lvl w:ilvl="0" w:tplc="04090001">
      <w:start w:val="1"/>
      <w:numFmt w:val="bullet"/>
      <w:lvlText w:val=""/>
      <w:lvlJc w:val="left"/>
      <w:pPr>
        <w:ind w:left="1440" w:hanging="360"/>
      </w:pPr>
      <w:rPr>
        <w:rFonts w:ascii="Symbol" w:hAnsi="Symbol" w:hint="default"/>
      </w:rPr>
    </w:lvl>
    <w:lvl w:ilvl="1" w:tplc="4FEEEB46">
      <w:start w:val="1"/>
      <w:numFmt w:val="bullet"/>
      <w:lvlText w:val="-"/>
      <w:lvlJc w:val="left"/>
      <w:pPr>
        <w:ind w:left="2160" w:hanging="360"/>
      </w:pPr>
      <w:rPr>
        <w:rFonts w:ascii="MS Reference Sans Serif" w:hAnsi="MS Reference Sans Serif"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A8841CD"/>
    <w:multiLevelType w:val="hybridMultilevel"/>
    <w:tmpl w:val="27D202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461B8D"/>
    <w:multiLevelType w:val="hybridMultilevel"/>
    <w:tmpl w:val="2F7C06BE"/>
    <w:lvl w:ilvl="0" w:tplc="04090011">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272D1A"/>
    <w:multiLevelType w:val="hybridMultilevel"/>
    <w:tmpl w:val="EA94F14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4232AC"/>
    <w:multiLevelType w:val="hybridMultilevel"/>
    <w:tmpl w:val="5DEEE422"/>
    <w:lvl w:ilvl="0" w:tplc="8CF404C4">
      <w:start w:val="1"/>
      <w:numFmt w:val="bullet"/>
      <w:lvlText w:val=""/>
      <w:lvlJc w:val="center"/>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43C765F3"/>
    <w:multiLevelType w:val="hybridMultilevel"/>
    <w:tmpl w:val="ED1E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0A0543"/>
    <w:multiLevelType w:val="hybridMultilevel"/>
    <w:tmpl w:val="FCB0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B817A3"/>
    <w:multiLevelType w:val="hybridMultilevel"/>
    <w:tmpl w:val="DD160F58"/>
    <w:lvl w:ilvl="0" w:tplc="992EE318">
      <w:numFmt w:val="bullet"/>
      <w:lvlText w:val="-"/>
      <w:lvlJc w:val="left"/>
      <w:pPr>
        <w:ind w:left="1287" w:hanging="360"/>
      </w:pPr>
      <w:rPr>
        <w:rFonts w:ascii="GHEA Grapalat" w:eastAsia="Times New Roman" w:hAnsi="GHEA Grapalat"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4BF777EE"/>
    <w:multiLevelType w:val="hybridMultilevel"/>
    <w:tmpl w:val="C8804922"/>
    <w:lvl w:ilvl="0" w:tplc="FFE20F6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4D992FB0"/>
    <w:multiLevelType w:val="hybridMultilevel"/>
    <w:tmpl w:val="6D2A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51154DB5"/>
    <w:multiLevelType w:val="hybridMultilevel"/>
    <w:tmpl w:val="2FC854C2"/>
    <w:lvl w:ilvl="0" w:tplc="16E6CDD0">
      <w:start w:val="1"/>
      <w:numFmt w:val="decimal"/>
      <w:pStyle w:val="Charts"/>
      <w:lvlText w:val="Գծապատկեր %1."/>
      <w:lvlJc w:val="left"/>
      <w:pPr>
        <w:ind w:left="1170" w:hanging="360"/>
      </w:pPr>
      <w:rPr>
        <w:rFonts w:ascii="GHEA Grapalat" w:hAnsi="GHEA Grapalat"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1" w15:restartNumberingAfterBreak="0">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82A0742"/>
    <w:multiLevelType w:val="hybridMultilevel"/>
    <w:tmpl w:val="5C24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904267E"/>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957624"/>
    <w:multiLevelType w:val="hybridMultilevel"/>
    <w:tmpl w:val="28022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A761E34"/>
    <w:multiLevelType w:val="hybridMultilevel"/>
    <w:tmpl w:val="03C02330"/>
    <w:lvl w:ilvl="0" w:tplc="49D6164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49" w15:restartNumberingAfterBreak="0">
    <w:nsid w:val="5E92419D"/>
    <w:multiLevelType w:val="hybridMultilevel"/>
    <w:tmpl w:val="D0D8956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9E436A"/>
    <w:multiLevelType w:val="hybridMultilevel"/>
    <w:tmpl w:val="51B28F1A"/>
    <w:lvl w:ilvl="0" w:tplc="78B647A6">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51" w15:restartNumberingAfterBreak="0">
    <w:nsid w:val="658D1367"/>
    <w:multiLevelType w:val="hybridMultilevel"/>
    <w:tmpl w:val="87FEA1AA"/>
    <w:lvl w:ilvl="0" w:tplc="A588E60C">
      <w:start w:val="1"/>
      <w:numFmt w:val="decimal"/>
      <w:pStyle w:val="Tables"/>
      <w:lvlText w:val="Աղյուսակ %1."/>
      <w:lvlJc w:val="left"/>
      <w:pPr>
        <w:ind w:left="1710" w:hanging="360"/>
      </w:pPr>
      <w:rPr>
        <w:rFonts w:ascii="GHEA Grapalat" w:hAnsi="GHEA Grapalat" w:hint="default"/>
        <w:b/>
        <w:i w:val="0"/>
        <w:sz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2" w15:restartNumberingAfterBreak="0">
    <w:nsid w:val="68DF11F3"/>
    <w:multiLevelType w:val="hybridMultilevel"/>
    <w:tmpl w:val="9FE49D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15:restartNumberingAfterBreak="0">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9EC513E"/>
    <w:multiLevelType w:val="hybridMultilevel"/>
    <w:tmpl w:val="F3220BE2"/>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A93615"/>
    <w:multiLevelType w:val="hybridMultilevel"/>
    <w:tmpl w:val="767E5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005C77"/>
    <w:multiLevelType w:val="hybridMultilevel"/>
    <w:tmpl w:val="03CCEA02"/>
    <w:lvl w:ilvl="0" w:tplc="933CC878">
      <w:start w:val="2"/>
      <w:numFmt w:val="bullet"/>
      <w:lvlText w:val="-"/>
      <w:lvlJc w:val="left"/>
      <w:pPr>
        <w:ind w:left="1287" w:hanging="360"/>
      </w:pPr>
      <w:rPr>
        <w:rFonts w:ascii="GHEA Grapalat" w:eastAsia="Times New Roman" w:hAnsi="GHEA Grapalat" w:cs="GHEA Grapalat"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15:restartNumberingAfterBreak="0">
    <w:nsid w:val="72865D68"/>
    <w:multiLevelType w:val="hybridMultilevel"/>
    <w:tmpl w:val="61F69DC6"/>
    <w:lvl w:ilvl="0" w:tplc="59E4F234">
      <w:start w:val="2022"/>
      <w:numFmt w:val="bullet"/>
      <w:lvlText w:val="-"/>
      <w:lvlJc w:val="left"/>
      <w:pPr>
        <w:ind w:left="1080" w:hanging="360"/>
      </w:pPr>
      <w:rPr>
        <w:rFonts w:ascii="GHEA Grapalat" w:eastAsia="Calibri" w:hAnsi="GHEA Grapalat"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72E75BA7"/>
    <w:multiLevelType w:val="hybridMultilevel"/>
    <w:tmpl w:val="BA2EFF2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A752B0"/>
    <w:multiLevelType w:val="hybridMultilevel"/>
    <w:tmpl w:val="E920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6A856C3"/>
    <w:multiLevelType w:val="hybridMultilevel"/>
    <w:tmpl w:val="763E87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B6F1633"/>
    <w:multiLevelType w:val="hybridMultilevel"/>
    <w:tmpl w:val="D974D19C"/>
    <w:lvl w:ilvl="0" w:tplc="453C851A">
      <w:numFmt w:val="bullet"/>
      <w:lvlText w:val="•"/>
      <w:lvlJc w:val="left"/>
      <w:pPr>
        <w:ind w:left="1069" w:hanging="360"/>
      </w:pPr>
      <w:rPr>
        <w:rFonts w:ascii="GHEA Grapalat" w:eastAsia="Times New Roman" w:hAnsi="GHEA Grapalat"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num>
  <w:num w:numId="3">
    <w:abstractNumId w:val="63"/>
  </w:num>
  <w:num w:numId="4">
    <w:abstractNumId w:val="56"/>
  </w:num>
  <w:num w:numId="5">
    <w:abstractNumId w:val="47"/>
  </w:num>
  <w:num w:numId="6">
    <w:abstractNumId w:val="43"/>
  </w:num>
  <w:num w:numId="7">
    <w:abstractNumId w:val="41"/>
  </w:num>
  <w:num w:numId="8">
    <w:abstractNumId w:val="1"/>
  </w:num>
  <w:num w:numId="9">
    <w:abstractNumId w:val="0"/>
  </w:num>
  <w:num w:numId="10">
    <w:abstractNumId w:val="48"/>
  </w:num>
  <w:num w:numId="11">
    <w:abstractNumId w:val="33"/>
  </w:num>
  <w:num w:numId="12">
    <w:abstractNumId w:val="53"/>
  </w:num>
  <w:num w:numId="13">
    <w:abstractNumId w:val="39"/>
  </w:num>
  <w:num w:numId="14">
    <w:abstractNumId w:val="34"/>
  </w:num>
  <w:num w:numId="15">
    <w:abstractNumId w:val="10"/>
  </w:num>
  <w:num w:numId="16">
    <w:abstractNumId w:val="51"/>
  </w:num>
  <w:num w:numId="17">
    <w:abstractNumId w:val="40"/>
  </w:num>
  <w:num w:numId="18">
    <w:abstractNumId w:val="25"/>
  </w:num>
  <w:num w:numId="19">
    <w:abstractNumId w:val="31"/>
  </w:num>
  <w:num w:numId="20">
    <w:abstractNumId w:val="13"/>
  </w:num>
  <w:num w:numId="21">
    <w:abstractNumId w:val="54"/>
  </w:num>
  <w:num w:numId="22">
    <w:abstractNumId w:val="21"/>
  </w:num>
  <w:num w:numId="23">
    <w:abstractNumId w:val="8"/>
  </w:num>
  <w:num w:numId="24">
    <w:abstractNumId w:val="17"/>
  </w:num>
  <w:num w:numId="25">
    <w:abstractNumId w:val="49"/>
  </w:num>
  <w:num w:numId="26">
    <w:abstractNumId w:val="60"/>
  </w:num>
  <w:num w:numId="27">
    <w:abstractNumId w:val="14"/>
  </w:num>
  <w:num w:numId="28">
    <w:abstractNumId w:val="38"/>
  </w:num>
  <w:num w:numId="29">
    <w:abstractNumId w:val="9"/>
  </w:num>
  <w:num w:numId="30">
    <w:abstractNumId w:val="5"/>
  </w:num>
  <w:num w:numId="31">
    <w:abstractNumId w:val="44"/>
  </w:num>
  <w:num w:numId="32">
    <w:abstractNumId w:val="30"/>
  </w:num>
  <w:num w:numId="33">
    <w:abstractNumId w:val="45"/>
  </w:num>
  <w:num w:numId="34">
    <w:abstractNumId w:val="46"/>
  </w:num>
  <w:num w:numId="35">
    <w:abstractNumId w:val="7"/>
  </w:num>
  <w:num w:numId="36">
    <w:abstractNumId w:val="62"/>
  </w:num>
  <w:num w:numId="37">
    <w:abstractNumId w:val="4"/>
  </w:num>
  <w:num w:numId="38">
    <w:abstractNumId w:val="27"/>
  </w:num>
  <w:num w:numId="39">
    <w:abstractNumId w:val="42"/>
  </w:num>
  <w:num w:numId="40">
    <w:abstractNumId w:val="12"/>
  </w:num>
  <w:num w:numId="41">
    <w:abstractNumId w:val="26"/>
  </w:num>
  <w:num w:numId="42">
    <w:abstractNumId w:val="24"/>
  </w:num>
  <w:num w:numId="43">
    <w:abstractNumId w:val="36"/>
  </w:num>
  <w:num w:numId="44">
    <w:abstractNumId w:val="22"/>
  </w:num>
  <w:num w:numId="45">
    <w:abstractNumId w:val="19"/>
  </w:num>
  <w:num w:numId="46">
    <w:abstractNumId w:val="64"/>
  </w:num>
  <w:num w:numId="47">
    <w:abstractNumId w:val="37"/>
  </w:num>
  <w:num w:numId="48">
    <w:abstractNumId w:val="59"/>
  </w:num>
  <w:num w:numId="49">
    <w:abstractNumId w:val="32"/>
  </w:num>
  <w:num w:numId="50">
    <w:abstractNumId w:val="35"/>
  </w:num>
  <w:num w:numId="51">
    <w:abstractNumId w:val="2"/>
  </w:num>
  <w:num w:numId="52">
    <w:abstractNumId w:val="52"/>
  </w:num>
  <w:num w:numId="53">
    <w:abstractNumId w:val="3"/>
  </w:num>
  <w:num w:numId="54">
    <w:abstractNumId w:val="16"/>
  </w:num>
  <w:num w:numId="55">
    <w:abstractNumId w:val="11"/>
  </w:num>
  <w:num w:numId="56">
    <w:abstractNumId w:val="29"/>
  </w:num>
  <w:num w:numId="57">
    <w:abstractNumId w:val="18"/>
  </w:num>
  <w:num w:numId="58">
    <w:abstractNumId w:val="61"/>
  </w:num>
  <w:num w:numId="59">
    <w:abstractNumId w:val="15"/>
  </w:num>
  <w:num w:numId="60">
    <w:abstractNumId w:val="6"/>
  </w:num>
  <w:num w:numId="61">
    <w:abstractNumId w:val="58"/>
  </w:num>
  <w:num w:numId="62">
    <w:abstractNumId w:val="20"/>
  </w:num>
  <w:num w:numId="63">
    <w:abstractNumId w:val="55"/>
  </w:num>
  <w:num w:numId="64">
    <w:abstractNumId w:val="5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ru-RU" w:vendorID="64" w:dllVersion="131078" w:nlCheck="1" w:checkStyle="0"/>
  <w:activeWritingStyle w:appName="MSWord" w:lang="es-ES"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712"/>
    <w:rsid w:val="00000C04"/>
    <w:rsid w:val="00000E2D"/>
    <w:rsid w:val="0000131E"/>
    <w:rsid w:val="00001792"/>
    <w:rsid w:val="00001EB0"/>
    <w:rsid w:val="00002163"/>
    <w:rsid w:val="00002289"/>
    <w:rsid w:val="00002BFC"/>
    <w:rsid w:val="000030DA"/>
    <w:rsid w:val="00003327"/>
    <w:rsid w:val="00003D9B"/>
    <w:rsid w:val="000045D9"/>
    <w:rsid w:val="00004807"/>
    <w:rsid w:val="000048AC"/>
    <w:rsid w:val="00004A4C"/>
    <w:rsid w:val="00004B36"/>
    <w:rsid w:val="00004B4A"/>
    <w:rsid w:val="000056C3"/>
    <w:rsid w:val="00005BEA"/>
    <w:rsid w:val="00005DA7"/>
    <w:rsid w:val="00006265"/>
    <w:rsid w:val="000068F4"/>
    <w:rsid w:val="00006BCE"/>
    <w:rsid w:val="00006FF5"/>
    <w:rsid w:val="0000757E"/>
    <w:rsid w:val="000076AD"/>
    <w:rsid w:val="0000784F"/>
    <w:rsid w:val="00007A08"/>
    <w:rsid w:val="00007BB6"/>
    <w:rsid w:val="000102B4"/>
    <w:rsid w:val="00010660"/>
    <w:rsid w:val="000108DE"/>
    <w:rsid w:val="0001133C"/>
    <w:rsid w:val="00011747"/>
    <w:rsid w:val="00011C4D"/>
    <w:rsid w:val="00011E49"/>
    <w:rsid w:val="00012290"/>
    <w:rsid w:val="000123D5"/>
    <w:rsid w:val="0001311A"/>
    <w:rsid w:val="0001324E"/>
    <w:rsid w:val="00013413"/>
    <w:rsid w:val="00013809"/>
    <w:rsid w:val="000139F0"/>
    <w:rsid w:val="00013F46"/>
    <w:rsid w:val="000144D6"/>
    <w:rsid w:val="000147A7"/>
    <w:rsid w:val="000148FC"/>
    <w:rsid w:val="00014A35"/>
    <w:rsid w:val="00014FD2"/>
    <w:rsid w:val="00015B69"/>
    <w:rsid w:val="00015BFA"/>
    <w:rsid w:val="0001623D"/>
    <w:rsid w:val="000163F7"/>
    <w:rsid w:val="000169D1"/>
    <w:rsid w:val="00016AEC"/>
    <w:rsid w:val="000173AD"/>
    <w:rsid w:val="000177C6"/>
    <w:rsid w:val="0002016C"/>
    <w:rsid w:val="00020693"/>
    <w:rsid w:val="00020CD6"/>
    <w:rsid w:val="00020E3C"/>
    <w:rsid w:val="0002109A"/>
    <w:rsid w:val="00021391"/>
    <w:rsid w:val="000213D2"/>
    <w:rsid w:val="0002170C"/>
    <w:rsid w:val="00023171"/>
    <w:rsid w:val="00023246"/>
    <w:rsid w:val="0002346F"/>
    <w:rsid w:val="0002358C"/>
    <w:rsid w:val="0002364A"/>
    <w:rsid w:val="00023799"/>
    <w:rsid w:val="000237F2"/>
    <w:rsid w:val="00023911"/>
    <w:rsid w:val="000243EB"/>
    <w:rsid w:val="000243F4"/>
    <w:rsid w:val="00024F24"/>
    <w:rsid w:val="0002572A"/>
    <w:rsid w:val="000257D7"/>
    <w:rsid w:val="00025BE2"/>
    <w:rsid w:val="00025DF2"/>
    <w:rsid w:val="00025E82"/>
    <w:rsid w:val="000266F4"/>
    <w:rsid w:val="00026AFA"/>
    <w:rsid w:val="000271C2"/>
    <w:rsid w:val="00027FBF"/>
    <w:rsid w:val="00030424"/>
    <w:rsid w:val="00030DB1"/>
    <w:rsid w:val="0003153D"/>
    <w:rsid w:val="00031D3A"/>
    <w:rsid w:val="000321E8"/>
    <w:rsid w:val="000322A5"/>
    <w:rsid w:val="00032581"/>
    <w:rsid w:val="00032B9B"/>
    <w:rsid w:val="00033370"/>
    <w:rsid w:val="00033572"/>
    <w:rsid w:val="00033587"/>
    <w:rsid w:val="00033984"/>
    <w:rsid w:val="00033C8B"/>
    <w:rsid w:val="00033D44"/>
    <w:rsid w:val="0003413E"/>
    <w:rsid w:val="00034178"/>
    <w:rsid w:val="00034648"/>
    <w:rsid w:val="000346B3"/>
    <w:rsid w:val="000347CE"/>
    <w:rsid w:val="000347E3"/>
    <w:rsid w:val="00034A9D"/>
    <w:rsid w:val="0003558C"/>
    <w:rsid w:val="000355C9"/>
    <w:rsid w:val="00035D1C"/>
    <w:rsid w:val="0003612A"/>
    <w:rsid w:val="00036E13"/>
    <w:rsid w:val="00037081"/>
    <w:rsid w:val="000371D5"/>
    <w:rsid w:val="000372BA"/>
    <w:rsid w:val="00037AB5"/>
    <w:rsid w:val="00037AFC"/>
    <w:rsid w:val="00037B1F"/>
    <w:rsid w:val="00037D17"/>
    <w:rsid w:val="00037F8A"/>
    <w:rsid w:val="00040371"/>
    <w:rsid w:val="000410F9"/>
    <w:rsid w:val="000414CA"/>
    <w:rsid w:val="000414CC"/>
    <w:rsid w:val="00042787"/>
    <w:rsid w:val="000427F7"/>
    <w:rsid w:val="00042B2E"/>
    <w:rsid w:val="00042C07"/>
    <w:rsid w:val="00042CD9"/>
    <w:rsid w:val="00043388"/>
    <w:rsid w:val="00043421"/>
    <w:rsid w:val="000434B1"/>
    <w:rsid w:val="00043F36"/>
    <w:rsid w:val="0004480B"/>
    <w:rsid w:val="00045E3A"/>
    <w:rsid w:val="0004603A"/>
    <w:rsid w:val="0004655D"/>
    <w:rsid w:val="000466B1"/>
    <w:rsid w:val="00046959"/>
    <w:rsid w:val="000473D4"/>
    <w:rsid w:val="00047B46"/>
    <w:rsid w:val="00047C7F"/>
    <w:rsid w:val="000500D2"/>
    <w:rsid w:val="000501A7"/>
    <w:rsid w:val="00050EFF"/>
    <w:rsid w:val="000515D9"/>
    <w:rsid w:val="000516CC"/>
    <w:rsid w:val="0005179C"/>
    <w:rsid w:val="00052380"/>
    <w:rsid w:val="0005274F"/>
    <w:rsid w:val="00052F87"/>
    <w:rsid w:val="00053116"/>
    <w:rsid w:val="00053709"/>
    <w:rsid w:val="00053CF6"/>
    <w:rsid w:val="0005404C"/>
    <w:rsid w:val="000540D6"/>
    <w:rsid w:val="0005461A"/>
    <w:rsid w:val="00054D48"/>
    <w:rsid w:val="00055F53"/>
    <w:rsid w:val="00056009"/>
    <w:rsid w:val="00056182"/>
    <w:rsid w:val="0005665D"/>
    <w:rsid w:val="00056866"/>
    <w:rsid w:val="00056F87"/>
    <w:rsid w:val="000572A2"/>
    <w:rsid w:val="000573ED"/>
    <w:rsid w:val="00057632"/>
    <w:rsid w:val="00057BA9"/>
    <w:rsid w:val="000601EE"/>
    <w:rsid w:val="00060470"/>
    <w:rsid w:val="0006050F"/>
    <w:rsid w:val="00061422"/>
    <w:rsid w:val="000616C1"/>
    <w:rsid w:val="0006181E"/>
    <w:rsid w:val="00061877"/>
    <w:rsid w:val="0006190C"/>
    <w:rsid w:val="00061BFA"/>
    <w:rsid w:val="00061E00"/>
    <w:rsid w:val="00061EB6"/>
    <w:rsid w:val="000621D1"/>
    <w:rsid w:val="00063142"/>
    <w:rsid w:val="00063485"/>
    <w:rsid w:val="00063D12"/>
    <w:rsid w:val="00063F7A"/>
    <w:rsid w:val="000648E7"/>
    <w:rsid w:val="000652C0"/>
    <w:rsid w:val="000656F0"/>
    <w:rsid w:val="00065E90"/>
    <w:rsid w:val="00066B40"/>
    <w:rsid w:val="0006727C"/>
    <w:rsid w:val="0006757C"/>
    <w:rsid w:val="000707D9"/>
    <w:rsid w:val="00070CAE"/>
    <w:rsid w:val="00070FC3"/>
    <w:rsid w:val="0007137A"/>
    <w:rsid w:val="0007188C"/>
    <w:rsid w:val="00071A75"/>
    <w:rsid w:val="00071C2A"/>
    <w:rsid w:val="000725F0"/>
    <w:rsid w:val="00072BEF"/>
    <w:rsid w:val="00072C98"/>
    <w:rsid w:val="00073A85"/>
    <w:rsid w:val="00075040"/>
    <w:rsid w:val="000750BE"/>
    <w:rsid w:val="00075431"/>
    <w:rsid w:val="000761B0"/>
    <w:rsid w:val="0007665D"/>
    <w:rsid w:val="0007672E"/>
    <w:rsid w:val="00076CE9"/>
    <w:rsid w:val="00076FEA"/>
    <w:rsid w:val="000771B3"/>
    <w:rsid w:val="000776D9"/>
    <w:rsid w:val="000777B6"/>
    <w:rsid w:val="000777E1"/>
    <w:rsid w:val="00080951"/>
    <w:rsid w:val="00081260"/>
    <w:rsid w:val="000813B9"/>
    <w:rsid w:val="000822AA"/>
    <w:rsid w:val="000825DA"/>
    <w:rsid w:val="000834DF"/>
    <w:rsid w:val="000838D8"/>
    <w:rsid w:val="00083F38"/>
    <w:rsid w:val="00083F9C"/>
    <w:rsid w:val="00084A46"/>
    <w:rsid w:val="00085490"/>
    <w:rsid w:val="00085674"/>
    <w:rsid w:val="00085A0D"/>
    <w:rsid w:val="00085C56"/>
    <w:rsid w:val="00085D43"/>
    <w:rsid w:val="000864E5"/>
    <w:rsid w:val="00086994"/>
    <w:rsid w:val="00086B99"/>
    <w:rsid w:val="00086E52"/>
    <w:rsid w:val="00086F85"/>
    <w:rsid w:val="000873BC"/>
    <w:rsid w:val="00087A4B"/>
    <w:rsid w:val="00087CB3"/>
    <w:rsid w:val="00087E63"/>
    <w:rsid w:val="000901E7"/>
    <w:rsid w:val="000902F4"/>
    <w:rsid w:val="000904DB"/>
    <w:rsid w:val="00090937"/>
    <w:rsid w:val="00090D23"/>
    <w:rsid w:val="00090E74"/>
    <w:rsid w:val="00091448"/>
    <w:rsid w:val="000915B0"/>
    <w:rsid w:val="00091F97"/>
    <w:rsid w:val="00092701"/>
    <w:rsid w:val="000930EC"/>
    <w:rsid w:val="00093193"/>
    <w:rsid w:val="0009342F"/>
    <w:rsid w:val="00093B3A"/>
    <w:rsid w:val="00093B64"/>
    <w:rsid w:val="00094160"/>
    <w:rsid w:val="00095686"/>
    <w:rsid w:val="00095699"/>
    <w:rsid w:val="000956EC"/>
    <w:rsid w:val="000957ED"/>
    <w:rsid w:val="00095F7E"/>
    <w:rsid w:val="00096AEA"/>
    <w:rsid w:val="00097DA7"/>
    <w:rsid w:val="000A0FD9"/>
    <w:rsid w:val="000A10A8"/>
    <w:rsid w:val="000A16DA"/>
    <w:rsid w:val="000A1ACB"/>
    <w:rsid w:val="000A1ED4"/>
    <w:rsid w:val="000A24F1"/>
    <w:rsid w:val="000A2F61"/>
    <w:rsid w:val="000A311D"/>
    <w:rsid w:val="000A40F8"/>
    <w:rsid w:val="000A452F"/>
    <w:rsid w:val="000A48F4"/>
    <w:rsid w:val="000A4CA2"/>
    <w:rsid w:val="000A4ED8"/>
    <w:rsid w:val="000A590C"/>
    <w:rsid w:val="000A5D25"/>
    <w:rsid w:val="000A5F92"/>
    <w:rsid w:val="000A601C"/>
    <w:rsid w:val="000A61AD"/>
    <w:rsid w:val="000A6BA3"/>
    <w:rsid w:val="000A724B"/>
    <w:rsid w:val="000A7435"/>
    <w:rsid w:val="000A7B14"/>
    <w:rsid w:val="000B0278"/>
    <w:rsid w:val="000B0329"/>
    <w:rsid w:val="000B03B5"/>
    <w:rsid w:val="000B0C32"/>
    <w:rsid w:val="000B0FAC"/>
    <w:rsid w:val="000B158C"/>
    <w:rsid w:val="000B15F2"/>
    <w:rsid w:val="000B25DD"/>
    <w:rsid w:val="000B289D"/>
    <w:rsid w:val="000B3179"/>
    <w:rsid w:val="000B32C2"/>
    <w:rsid w:val="000B3300"/>
    <w:rsid w:val="000B3E21"/>
    <w:rsid w:val="000B4927"/>
    <w:rsid w:val="000B4BCE"/>
    <w:rsid w:val="000B509C"/>
    <w:rsid w:val="000B52C3"/>
    <w:rsid w:val="000B58F0"/>
    <w:rsid w:val="000B5CD7"/>
    <w:rsid w:val="000B5DB4"/>
    <w:rsid w:val="000B6107"/>
    <w:rsid w:val="000B63EA"/>
    <w:rsid w:val="000B6441"/>
    <w:rsid w:val="000B65F1"/>
    <w:rsid w:val="000B6D9D"/>
    <w:rsid w:val="000B7FF5"/>
    <w:rsid w:val="000C0823"/>
    <w:rsid w:val="000C192F"/>
    <w:rsid w:val="000C1D88"/>
    <w:rsid w:val="000C2585"/>
    <w:rsid w:val="000C2B0B"/>
    <w:rsid w:val="000C2B15"/>
    <w:rsid w:val="000C2DB0"/>
    <w:rsid w:val="000C2E00"/>
    <w:rsid w:val="000C2FAA"/>
    <w:rsid w:val="000C41A9"/>
    <w:rsid w:val="000C4318"/>
    <w:rsid w:val="000C45CA"/>
    <w:rsid w:val="000C4759"/>
    <w:rsid w:val="000C48F0"/>
    <w:rsid w:val="000C4DD5"/>
    <w:rsid w:val="000C52B6"/>
    <w:rsid w:val="000C59A3"/>
    <w:rsid w:val="000C5B3C"/>
    <w:rsid w:val="000C5EB8"/>
    <w:rsid w:val="000C6882"/>
    <w:rsid w:val="000C6AA3"/>
    <w:rsid w:val="000C6B4C"/>
    <w:rsid w:val="000C6C6A"/>
    <w:rsid w:val="000C6F33"/>
    <w:rsid w:val="000C70BB"/>
    <w:rsid w:val="000C7250"/>
    <w:rsid w:val="000C75CA"/>
    <w:rsid w:val="000D0270"/>
    <w:rsid w:val="000D0B4B"/>
    <w:rsid w:val="000D0D59"/>
    <w:rsid w:val="000D1829"/>
    <w:rsid w:val="000D18CE"/>
    <w:rsid w:val="000D1CA7"/>
    <w:rsid w:val="000D2248"/>
    <w:rsid w:val="000D242E"/>
    <w:rsid w:val="000D289E"/>
    <w:rsid w:val="000D36C9"/>
    <w:rsid w:val="000D3DE3"/>
    <w:rsid w:val="000D427D"/>
    <w:rsid w:val="000D4925"/>
    <w:rsid w:val="000D492A"/>
    <w:rsid w:val="000D4B3C"/>
    <w:rsid w:val="000D529E"/>
    <w:rsid w:val="000D57AF"/>
    <w:rsid w:val="000D57C2"/>
    <w:rsid w:val="000D6082"/>
    <w:rsid w:val="000D6631"/>
    <w:rsid w:val="000D6650"/>
    <w:rsid w:val="000D6A06"/>
    <w:rsid w:val="000E01FF"/>
    <w:rsid w:val="000E047D"/>
    <w:rsid w:val="000E11D7"/>
    <w:rsid w:val="000E124F"/>
    <w:rsid w:val="000E1796"/>
    <w:rsid w:val="000E1ACF"/>
    <w:rsid w:val="000E1B09"/>
    <w:rsid w:val="000E266A"/>
    <w:rsid w:val="000E2AFD"/>
    <w:rsid w:val="000E2C2E"/>
    <w:rsid w:val="000E2C52"/>
    <w:rsid w:val="000E2D3F"/>
    <w:rsid w:val="000E304E"/>
    <w:rsid w:val="000E3398"/>
    <w:rsid w:val="000E364E"/>
    <w:rsid w:val="000E42B3"/>
    <w:rsid w:val="000E4FB1"/>
    <w:rsid w:val="000E5840"/>
    <w:rsid w:val="000E5B74"/>
    <w:rsid w:val="000E61BB"/>
    <w:rsid w:val="000E628B"/>
    <w:rsid w:val="000E65CF"/>
    <w:rsid w:val="000E6666"/>
    <w:rsid w:val="000E742F"/>
    <w:rsid w:val="000E74D0"/>
    <w:rsid w:val="000E76D9"/>
    <w:rsid w:val="000E7B84"/>
    <w:rsid w:val="000E7C99"/>
    <w:rsid w:val="000E7C9B"/>
    <w:rsid w:val="000F0E34"/>
    <w:rsid w:val="000F11D1"/>
    <w:rsid w:val="000F1571"/>
    <w:rsid w:val="000F16EF"/>
    <w:rsid w:val="000F170B"/>
    <w:rsid w:val="000F18AB"/>
    <w:rsid w:val="000F1B14"/>
    <w:rsid w:val="000F261B"/>
    <w:rsid w:val="000F279F"/>
    <w:rsid w:val="000F2BE9"/>
    <w:rsid w:val="000F2EC9"/>
    <w:rsid w:val="000F2EF7"/>
    <w:rsid w:val="000F30ED"/>
    <w:rsid w:val="000F35D3"/>
    <w:rsid w:val="000F38D0"/>
    <w:rsid w:val="000F3F9C"/>
    <w:rsid w:val="000F449D"/>
    <w:rsid w:val="000F464F"/>
    <w:rsid w:val="000F4657"/>
    <w:rsid w:val="000F509C"/>
    <w:rsid w:val="000F5235"/>
    <w:rsid w:val="000F54F8"/>
    <w:rsid w:val="000F5883"/>
    <w:rsid w:val="000F5B01"/>
    <w:rsid w:val="000F61C2"/>
    <w:rsid w:val="000F64C4"/>
    <w:rsid w:val="000F6825"/>
    <w:rsid w:val="000F6D3E"/>
    <w:rsid w:val="000F6D9A"/>
    <w:rsid w:val="000F6FF9"/>
    <w:rsid w:val="000F70B6"/>
    <w:rsid w:val="000F719C"/>
    <w:rsid w:val="000F7200"/>
    <w:rsid w:val="000F75FC"/>
    <w:rsid w:val="000F7976"/>
    <w:rsid w:val="000F7DDA"/>
    <w:rsid w:val="00100580"/>
    <w:rsid w:val="001008FA"/>
    <w:rsid w:val="00100A6A"/>
    <w:rsid w:val="00100C82"/>
    <w:rsid w:val="001012CC"/>
    <w:rsid w:val="00101E4C"/>
    <w:rsid w:val="00101E68"/>
    <w:rsid w:val="00102199"/>
    <w:rsid w:val="0010284D"/>
    <w:rsid w:val="00102CDE"/>
    <w:rsid w:val="001030CD"/>
    <w:rsid w:val="00103791"/>
    <w:rsid w:val="00103C56"/>
    <w:rsid w:val="0010468C"/>
    <w:rsid w:val="001048A0"/>
    <w:rsid w:val="00105401"/>
    <w:rsid w:val="00105608"/>
    <w:rsid w:val="0010572B"/>
    <w:rsid w:val="00105BD3"/>
    <w:rsid w:val="00105D71"/>
    <w:rsid w:val="00105E7D"/>
    <w:rsid w:val="0010649A"/>
    <w:rsid w:val="00106992"/>
    <w:rsid w:val="00106B70"/>
    <w:rsid w:val="00106C90"/>
    <w:rsid w:val="00107185"/>
    <w:rsid w:val="001071BD"/>
    <w:rsid w:val="001075C3"/>
    <w:rsid w:val="00107D3A"/>
    <w:rsid w:val="001103B6"/>
    <w:rsid w:val="00110C45"/>
    <w:rsid w:val="00110CA3"/>
    <w:rsid w:val="00111284"/>
    <w:rsid w:val="001112F4"/>
    <w:rsid w:val="00111420"/>
    <w:rsid w:val="00111D6D"/>
    <w:rsid w:val="00111DD9"/>
    <w:rsid w:val="00112578"/>
    <w:rsid w:val="001127C9"/>
    <w:rsid w:val="00112D7E"/>
    <w:rsid w:val="00112FFA"/>
    <w:rsid w:val="00113925"/>
    <w:rsid w:val="00113982"/>
    <w:rsid w:val="0011441B"/>
    <w:rsid w:val="00114D7E"/>
    <w:rsid w:val="0011549E"/>
    <w:rsid w:val="0011558E"/>
    <w:rsid w:val="00115637"/>
    <w:rsid w:val="00115664"/>
    <w:rsid w:val="00115728"/>
    <w:rsid w:val="001159DC"/>
    <w:rsid w:val="00115AFA"/>
    <w:rsid w:val="00115E01"/>
    <w:rsid w:val="00116136"/>
    <w:rsid w:val="00116524"/>
    <w:rsid w:val="0011656D"/>
    <w:rsid w:val="0011689D"/>
    <w:rsid w:val="00116E97"/>
    <w:rsid w:val="00117380"/>
    <w:rsid w:val="001203B6"/>
    <w:rsid w:val="00120BC8"/>
    <w:rsid w:val="00120F10"/>
    <w:rsid w:val="00121268"/>
    <w:rsid w:val="0012288D"/>
    <w:rsid w:val="001233BD"/>
    <w:rsid w:val="0012366A"/>
    <w:rsid w:val="00123F2C"/>
    <w:rsid w:val="00124431"/>
    <w:rsid w:val="00124894"/>
    <w:rsid w:val="00124D7E"/>
    <w:rsid w:val="00124E5B"/>
    <w:rsid w:val="00124FAE"/>
    <w:rsid w:val="0012581D"/>
    <w:rsid w:val="001259BD"/>
    <w:rsid w:val="00125DBD"/>
    <w:rsid w:val="00126071"/>
    <w:rsid w:val="0012607D"/>
    <w:rsid w:val="0012680E"/>
    <w:rsid w:val="0012683B"/>
    <w:rsid w:val="00126929"/>
    <w:rsid w:val="00127BFD"/>
    <w:rsid w:val="00130070"/>
    <w:rsid w:val="00130243"/>
    <w:rsid w:val="0013106F"/>
    <w:rsid w:val="001311F4"/>
    <w:rsid w:val="00131BF9"/>
    <w:rsid w:val="00131E98"/>
    <w:rsid w:val="00132111"/>
    <w:rsid w:val="0013281A"/>
    <w:rsid w:val="00132EB6"/>
    <w:rsid w:val="001336A5"/>
    <w:rsid w:val="001336E7"/>
    <w:rsid w:val="00133B15"/>
    <w:rsid w:val="00133E5A"/>
    <w:rsid w:val="00134360"/>
    <w:rsid w:val="001348D3"/>
    <w:rsid w:val="00134A7A"/>
    <w:rsid w:val="00134AC3"/>
    <w:rsid w:val="00135663"/>
    <w:rsid w:val="00135A72"/>
    <w:rsid w:val="00135FF8"/>
    <w:rsid w:val="001367AD"/>
    <w:rsid w:val="00136A0B"/>
    <w:rsid w:val="00136A8C"/>
    <w:rsid w:val="00136E24"/>
    <w:rsid w:val="0013717F"/>
    <w:rsid w:val="001378BB"/>
    <w:rsid w:val="00137B5C"/>
    <w:rsid w:val="00137B74"/>
    <w:rsid w:val="00140251"/>
    <w:rsid w:val="00140A93"/>
    <w:rsid w:val="00141785"/>
    <w:rsid w:val="00141D6E"/>
    <w:rsid w:val="001429A5"/>
    <w:rsid w:val="00142AC3"/>
    <w:rsid w:val="0014388D"/>
    <w:rsid w:val="00143F46"/>
    <w:rsid w:val="0014478B"/>
    <w:rsid w:val="00145A8A"/>
    <w:rsid w:val="00145BAD"/>
    <w:rsid w:val="00145D78"/>
    <w:rsid w:val="00146920"/>
    <w:rsid w:val="00147119"/>
    <w:rsid w:val="001473BB"/>
    <w:rsid w:val="00147C59"/>
    <w:rsid w:val="00150088"/>
    <w:rsid w:val="00150740"/>
    <w:rsid w:val="0015105B"/>
    <w:rsid w:val="00151218"/>
    <w:rsid w:val="001514D2"/>
    <w:rsid w:val="0015274B"/>
    <w:rsid w:val="00152838"/>
    <w:rsid w:val="00152974"/>
    <w:rsid w:val="00152A51"/>
    <w:rsid w:val="00152A78"/>
    <w:rsid w:val="0015327B"/>
    <w:rsid w:val="00153334"/>
    <w:rsid w:val="0015392B"/>
    <w:rsid w:val="00153EE6"/>
    <w:rsid w:val="00154F3D"/>
    <w:rsid w:val="00155004"/>
    <w:rsid w:val="00155302"/>
    <w:rsid w:val="001554FA"/>
    <w:rsid w:val="00155864"/>
    <w:rsid w:val="00155BC3"/>
    <w:rsid w:val="00155C9D"/>
    <w:rsid w:val="00156327"/>
    <w:rsid w:val="00156B66"/>
    <w:rsid w:val="00156C26"/>
    <w:rsid w:val="001604B0"/>
    <w:rsid w:val="00160C41"/>
    <w:rsid w:val="00161D5E"/>
    <w:rsid w:val="00162306"/>
    <w:rsid w:val="0016274B"/>
    <w:rsid w:val="00162A72"/>
    <w:rsid w:val="00162C29"/>
    <w:rsid w:val="00162C8B"/>
    <w:rsid w:val="00162D6A"/>
    <w:rsid w:val="00162F8D"/>
    <w:rsid w:val="00163034"/>
    <w:rsid w:val="00163138"/>
    <w:rsid w:val="0016318A"/>
    <w:rsid w:val="00163CE1"/>
    <w:rsid w:val="00163ECF"/>
    <w:rsid w:val="00163FF4"/>
    <w:rsid w:val="00165198"/>
    <w:rsid w:val="00166272"/>
    <w:rsid w:val="00166379"/>
    <w:rsid w:val="001664B1"/>
    <w:rsid w:val="00167130"/>
    <w:rsid w:val="001672A7"/>
    <w:rsid w:val="00167E80"/>
    <w:rsid w:val="00167FD2"/>
    <w:rsid w:val="00170230"/>
    <w:rsid w:val="00170619"/>
    <w:rsid w:val="001706DF"/>
    <w:rsid w:val="00170ABF"/>
    <w:rsid w:val="001711CF"/>
    <w:rsid w:val="001713E8"/>
    <w:rsid w:val="00171833"/>
    <w:rsid w:val="00171BF7"/>
    <w:rsid w:val="0017201C"/>
    <w:rsid w:val="001721D8"/>
    <w:rsid w:val="00172338"/>
    <w:rsid w:val="001725C5"/>
    <w:rsid w:val="00172871"/>
    <w:rsid w:val="00172E4B"/>
    <w:rsid w:val="001731BB"/>
    <w:rsid w:val="00173D07"/>
    <w:rsid w:val="00173DCF"/>
    <w:rsid w:val="00173EF6"/>
    <w:rsid w:val="001744BF"/>
    <w:rsid w:val="00174812"/>
    <w:rsid w:val="00174970"/>
    <w:rsid w:val="001752CC"/>
    <w:rsid w:val="001752DE"/>
    <w:rsid w:val="00175819"/>
    <w:rsid w:val="00175E2C"/>
    <w:rsid w:val="001764EE"/>
    <w:rsid w:val="00176541"/>
    <w:rsid w:val="0017730C"/>
    <w:rsid w:val="001774AD"/>
    <w:rsid w:val="0017782F"/>
    <w:rsid w:val="00177907"/>
    <w:rsid w:val="00177AC5"/>
    <w:rsid w:val="00177B99"/>
    <w:rsid w:val="00177C2A"/>
    <w:rsid w:val="001800E1"/>
    <w:rsid w:val="001802CC"/>
    <w:rsid w:val="00180703"/>
    <w:rsid w:val="0018094E"/>
    <w:rsid w:val="001820D2"/>
    <w:rsid w:val="001825BF"/>
    <w:rsid w:val="00182F20"/>
    <w:rsid w:val="0018345B"/>
    <w:rsid w:val="00183CF8"/>
    <w:rsid w:val="00184B53"/>
    <w:rsid w:val="00184D37"/>
    <w:rsid w:val="00184D71"/>
    <w:rsid w:val="00184E2A"/>
    <w:rsid w:val="00184E41"/>
    <w:rsid w:val="0018604C"/>
    <w:rsid w:val="001865AB"/>
    <w:rsid w:val="00186639"/>
    <w:rsid w:val="0018689C"/>
    <w:rsid w:val="00186AD7"/>
    <w:rsid w:val="001873ED"/>
    <w:rsid w:val="001878B0"/>
    <w:rsid w:val="00190476"/>
    <w:rsid w:val="00190624"/>
    <w:rsid w:val="00190889"/>
    <w:rsid w:val="001914CE"/>
    <w:rsid w:val="00191748"/>
    <w:rsid w:val="0019238A"/>
    <w:rsid w:val="001923CD"/>
    <w:rsid w:val="001928AC"/>
    <w:rsid w:val="00192C46"/>
    <w:rsid w:val="00193220"/>
    <w:rsid w:val="00193290"/>
    <w:rsid w:val="001939B2"/>
    <w:rsid w:val="00193EFF"/>
    <w:rsid w:val="001945B5"/>
    <w:rsid w:val="001945DE"/>
    <w:rsid w:val="00194984"/>
    <w:rsid w:val="001949DC"/>
    <w:rsid w:val="00194EA6"/>
    <w:rsid w:val="00194EC7"/>
    <w:rsid w:val="00195BE3"/>
    <w:rsid w:val="00195EE4"/>
    <w:rsid w:val="001960C3"/>
    <w:rsid w:val="0019638A"/>
    <w:rsid w:val="001964C0"/>
    <w:rsid w:val="00196F75"/>
    <w:rsid w:val="00197081"/>
    <w:rsid w:val="001971B9"/>
    <w:rsid w:val="0019732E"/>
    <w:rsid w:val="00197E16"/>
    <w:rsid w:val="001A0083"/>
    <w:rsid w:val="001A0815"/>
    <w:rsid w:val="001A0BDA"/>
    <w:rsid w:val="001A0BE7"/>
    <w:rsid w:val="001A0C44"/>
    <w:rsid w:val="001A1138"/>
    <w:rsid w:val="001A1210"/>
    <w:rsid w:val="001A1527"/>
    <w:rsid w:val="001A21D2"/>
    <w:rsid w:val="001A22B8"/>
    <w:rsid w:val="001A2353"/>
    <w:rsid w:val="001A2CC1"/>
    <w:rsid w:val="001A2FF7"/>
    <w:rsid w:val="001A34F3"/>
    <w:rsid w:val="001A3676"/>
    <w:rsid w:val="001A3784"/>
    <w:rsid w:val="001A3916"/>
    <w:rsid w:val="001A3C83"/>
    <w:rsid w:val="001A3CF8"/>
    <w:rsid w:val="001A48CC"/>
    <w:rsid w:val="001A4D8E"/>
    <w:rsid w:val="001A4DD3"/>
    <w:rsid w:val="001A5273"/>
    <w:rsid w:val="001A54EF"/>
    <w:rsid w:val="001A577F"/>
    <w:rsid w:val="001A5CD0"/>
    <w:rsid w:val="001A6E7C"/>
    <w:rsid w:val="001A75DA"/>
    <w:rsid w:val="001B011D"/>
    <w:rsid w:val="001B0A03"/>
    <w:rsid w:val="001B0FCA"/>
    <w:rsid w:val="001B1137"/>
    <w:rsid w:val="001B130B"/>
    <w:rsid w:val="001B2074"/>
    <w:rsid w:val="001B22F8"/>
    <w:rsid w:val="001B35E5"/>
    <w:rsid w:val="001B36A8"/>
    <w:rsid w:val="001B3A52"/>
    <w:rsid w:val="001B3CC7"/>
    <w:rsid w:val="001B3E1F"/>
    <w:rsid w:val="001B3E36"/>
    <w:rsid w:val="001B40CA"/>
    <w:rsid w:val="001B41F5"/>
    <w:rsid w:val="001B445D"/>
    <w:rsid w:val="001B485B"/>
    <w:rsid w:val="001B4A6D"/>
    <w:rsid w:val="001B514B"/>
    <w:rsid w:val="001B5347"/>
    <w:rsid w:val="001B683D"/>
    <w:rsid w:val="001B68C9"/>
    <w:rsid w:val="001B7564"/>
    <w:rsid w:val="001B78F8"/>
    <w:rsid w:val="001B7B6C"/>
    <w:rsid w:val="001B7BB2"/>
    <w:rsid w:val="001B7E49"/>
    <w:rsid w:val="001C02EC"/>
    <w:rsid w:val="001C0583"/>
    <w:rsid w:val="001C066F"/>
    <w:rsid w:val="001C0A3C"/>
    <w:rsid w:val="001C0C59"/>
    <w:rsid w:val="001C17F0"/>
    <w:rsid w:val="001C1854"/>
    <w:rsid w:val="001C1CD8"/>
    <w:rsid w:val="001C2610"/>
    <w:rsid w:val="001C30A7"/>
    <w:rsid w:val="001C3747"/>
    <w:rsid w:val="001C3E0B"/>
    <w:rsid w:val="001C46DF"/>
    <w:rsid w:val="001C56C9"/>
    <w:rsid w:val="001C643D"/>
    <w:rsid w:val="001C65EE"/>
    <w:rsid w:val="001C66FD"/>
    <w:rsid w:val="001C6822"/>
    <w:rsid w:val="001C6A30"/>
    <w:rsid w:val="001C6A4E"/>
    <w:rsid w:val="001C6FFB"/>
    <w:rsid w:val="001C7A69"/>
    <w:rsid w:val="001C7A9B"/>
    <w:rsid w:val="001C7BEE"/>
    <w:rsid w:val="001C7F64"/>
    <w:rsid w:val="001C7F6A"/>
    <w:rsid w:val="001D0B65"/>
    <w:rsid w:val="001D11EB"/>
    <w:rsid w:val="001D1B6B"/>
    <w:rsid w:val="001D1EC6"/>
    <w:rsid w:val="001D1F2F"/>
    <w:rsid w:val="001D24A1"/>
    <w:rsid w:val="001D24E3"/>
    <w:rsid w:val="001D2554"/>
    <w:rsid w:val="001D26FC"/>
    <w:rsid w:val="001D270B"/>
    <w:rsid w:val="001D299A"/>
    <w:rsid w:val="001D2A28"/>
    <w:rsid w:val="001D2D6A"/>
    <w:rsid w:val="001D3173"/>
    <w:rsid w:val="001D35B8"/>
    <w:rsid w:val="001D3BA8"/>
    <w:rsid w:val="001D3CEB"/>
    <w:rsid w:val="001D4B96"/>
    <w:rsid w:val="001D4CC8"/>
    <w:rsid w:val="001D5638"/>
    <w:rsid w:val="001D5698"/>
    <w:rsid w:val="001D6154"/>
    <w:rsid w:val="001D7BC1"/>
    <w:rsid w:val="001D7E5B"/>
    <w:rsid w:val="001E0582"/>
    <w:rsid w:val="001E0D08"/>
    <w:rsid w:val="001E17A2"/>
    <w:rsid w:val="001E1C18"/>
    <w:rsid w:val="001E249B"/>
    <w:rsid w:val="001E2D33"/>
    <w:rsid w:val="001E2DAC"/>
    <w:rsid w:val="001E2F32"/>
    <w:rsid w:val="001E3307"/>
    <w:rsid w:val="001E3572"/>
    <w:rsid w:val="001E3933"/>
    <w:rsid w:val="001E428B"/>
    <w:rsid w:val="001E4584"/>
    <w:rsid w:val="001E4745"/>
    <w:rsid w:val="001E4747"/>
    <w:rsid w:val="001E4BCE"/>
    <w:rsid w:val="001E4C35"/>
    <w:rsid w:val="001E54B9"/>
    <w:rsid w:val="001E5B24"/>
    <w:rsid w:val="001E6956"/>
    <w:rsid w:val="001E6978"/>
    <w:rsid w:val="001E7613"/>
    <w:rsid w:val="001E7D5A"/>
    <w:rsid w:val="001F02B2"/>
    <w:rsid w:val="001F0332"/>
    <w:rsid w:val="001F0A7F"/>
    <w:rsid w:val="001F12F7"/>
    <w:rsid w:val="001F1356"/>
    <w:rsid w:val="001F198C"/>
    <w:rsid w:val="001F1A6F"/>
    <w:rsid w:val="001F212F"/>
    <w:rsid w:val="001F2781"/>
    <w:rsid w:val="001F2D2D"/>
    <w:rsid w:val="001F32BC"/>
    <w:rsid w:val="001F386C"/>
    <w:rsid w:val="001F40A8"/>
    <w:rsid w:val="001F437C"/>
    <w:rsid w:val="001F4D61"/>
    <w:rsid w:val="001F5277"/>
    <w:rsid w:val="001F5923"/>
    <w:rsid w:val="001F627F"/>
    <w:rsid w:val="001F6AE9"/>
    <w:rsid w:val="001F6B1D"/>
    <w:rsid w:val="001F6C95"/>
    <w:rsid w:val="001F6D9F"/>
    <w:rsid w:val="001F7090"/>
    <w:rsid w:val="001F7173"/>
    <w:rsid w:val="001F771B"/>
    <w:rsid w:val="00200023"/>
    <w:rsid w:val="002007E2"/>
    <w:rsid w:val="0020092B"/>
    <w:rsid w:val="002009B4"/>
    <w:rsid w:val="00200AA8"/>
    <w:rsid w:val="00200D05"/>
    <w:rsid w:val="00200DEF"/>
    <w:rsid w:val="00200E0C"/>
    <w:rsid w:val="00201B66"/>
    <w:rsid w:val="00201F42"/>
    <w:rsid w:val="002020DC"/>
    <w:rsid w:val="002025BB"/>
    <w:rsid w:val="002026A8"/>
    <w:rsid w:val="00203537"/>
    <w:rsid w:val="002038E3"/>
    <w:rsid w:val="002042F1"/>
    <w:rsid w:val="002045FB"/>
    <w:rsid w:val="002048F4"/>
    <w:rsid w:val="002049F3"/>
    <w:rsid w:val="00204C2B"/>
    <w:rsid w:val="00204CF7"/>
    <w:rsid w:val="0020537B"/>
    <w:rsid w:val="002055B2"/>
    <w:rsid w:val="002059ED"/>
    <w:rsid w:val="0020651E"/>
    <w:rsid w:val="00206921"/>
    <w:rsid w:val="0020706B"/>
    <w:rsid w:val="00207220"/>
    <w:rsid w:val="002074FA"/>
    <w:rsid w:val="00207CD2"/>
    <w:rsid w:val="0021005F"/>
    <w:rsid w:val="0021089F"/>
    <w:rsid w:val="00210CBB"/>
    <w:rsid w:val="00210D02"/>
    <w:rsid w:val="00210EBE"/>
    <w:rsid w:val="0021126A"/>
    <w:rsid w:val="00211965"/>
    <w:rsid w:val="00211B71"/>
    <w:rsid w:val="0021231F"/>
    <w:rsid w:val="00212BDE"/>
    <w:rsid w:val="00212C86"/>
    <w:rsid w:val="002137ED"/>
    <w:rsid w:val="00213A81"/>
    <w:rsid w:val="002146B8"/>
    <w:rsid w:val="002156E6"/>
    <w:rsid w:val="00215B44"/>
    <w:rsid w:val="002163FE"/>
    <w:rsid w:val="002169B7"/>
    <w:rsid w:val="00216D23"/>
    <w:rsid w:val="0021758F"/>
    <w:rsid w:val="0021770F"/>
    <w:rsid w:val="00217A73"/>
    <w:rsid w:val="00217BEE"/>
    <w:rsid w:val="002202FE"/>
    <w:rsid w:val="0022080F"/>
    <w:rsid w:val="00221B73"/>
    <w:rsid w:val="0022284E"/>
    <w:rsid w:val="0022365C"/>
    <w:rsid w:val="00223B83"/>
    <w:rsid w:val="0022425C"/>
    <w:rsid w:val="00224384"/>
    <w:rsid w:val="002244D1"/>
    <w:rsid w:val="00224509"/>
    <w:rsid w:val="0022465E"/>
    <w:rsid w:val="00225E3A"/>
    <w:rsid w:val="00226230"/>
    <w:rsid w:val="0022631D"/>
    <w:rsid w:val="00226F26"/>
    <w:rsid w:val="00227F1C"/>
    <w:rsid w:val="002301AE"/>
    <w:rsid w:val="002304F9"/>
    <w:rsid w:val="00230713"/>
    <w:rsid w:val="002307B8"/>
    <w:rsid w:val="00231265"/>
    <w:rsid w:val="0023176E"/>
    <w:rsid w:val="00231A27"/>
    <w:rsid w:val="00232D75"/>
    <w:rsid w:val="00232DA0"/>
    <w:rsid w:val="00232EAF"/>
    <w:rsid w:val="0023356E"/>
    <w:rsid w:val="002338DE"/>
    <w:rsid w:val="0023395F"/>
    <w:rsid w:val="002339ED"/>
    <w:rsid w:val="00233CAE"/>
    <w:rsid w:val="002346EF"/>
    <w:rsid w:val="002347BC"/>
    <w:rsid w:val="002349F5"/>
    <w:rsid w:val="00234C84"/>
    <w:rsid w:val="00234CE7"/>
    <w:rsid w:val="0023511B"/>
    <w:rsid w:val="0023516A"/>
    <w:rsid w:val="002355DE"/>
    <w:rsid w:val="00235A12"/>
    <w:rsid w:val="00236B20"/>
    <w:rsid w:val="00236CD8"/>
    <w:rsid w:val="002374F3"/>
    <w:rsid w:val="00237570"/>
    <w:rsid w:val="002379EF"/>
    <w:rsid w:val="0024006C"/>
    <w:rsid w:val="0024045A"/>
    <w:rsid w:val="00240582"/>
    <w:rsid w:val="002410C7"/>
    <w:rsid w:val="00241306"/>
    <w:rsid w:val="00241D37"/>
    <w:rsid w:val="00241D6C"/>
    <w:rsid w:val="00241D78"/>
    <w:rsid w:val="00242117"/>
    <w:rsid w:val="002439DF"/>
    <w:rsid w:val="00243A0B"/>
    <w:rsid w:val="00243D2C"/>
    <w:rsid w:val="00243DE8"/>
    <w:rsid w:val="00244760"/>
    <w:rsid w:val="0024496F"/>
    <w:rsid w:val="00244B02"/>
    <w:rsid w:val="00244CD1"/>
    <w:rsid w:val="00244EBE"/>
    <w:rsid w:val="00244FB6"/>
    <w:rsid w:val="00245027"/>
    <w:rsid w:val="002456B8"/>
    <w:rsid w:val="002464FE"/>
    <w:rsid w:val="00246EFE"/>
    <w:rsid w:val="00247119"/>
    <w:rsid w:val="002471CB"/>
    <w:rsid w:val="002476A0"/>
    <w:rsid w:val="00247907"/>
    <w:rsid w:val="00247BF5"/>
    <w:rsid w:val="00247CE1"/>
    <w:rsid w:val="00250404"/>
    <w:rsid w:val="002506B6"/>
    <w:rsid w:val="00250E4E"/>
    <w:rsid w:val="00251048"/>
    <w:rsid w:val="002510B9"/>
    <w:rsid w:val="002519E6"/>
    <w:rsid w:val="00252070"/>
    <w:rsid w:val="002525C6"/>
    <w:rsid w:val="002526E9"/>
    <w:rsid w:val="0025299D"/>
    <w:rsid w:val="00253FF1"/>
    <w:rsid w:val="00254A25"/>
    <w:rsid w:val="00254F7C"/>
    <w:rsid w:val="00255482"/>
    <w:rsid w:val="00255904"/>
    <w:rsid w:val="00257149"/>
    <w:rsid w:val="002576F3"/>
    <w:rsid w:val="002577A6"/>
    <w:rsid w:val="0025796E"/>
    <w:rsid w:val="00257B95"/>
    <w:rsid w:val="002602E3"/>
    <w:rsid w:val="00260C8B"/>
    <w:rsid w:val="00260CB4"/>
    <w:rsid w:val="00260EB6"/>
    <w:rsid w:val="002612A3"/>
    <w:rsid w:val="002620C0"/>
    <w:rsid w:val="00262201"/>
    <w:rsid w:val="0026235D"/>
    <w:rsid w:val="002624FE"/>
    <w:rsid w:val="00262870"/>
    <w:rsid w:val="002629E3"/>
    <w:rsid w:val="00262CA8"/>
    <w:rsid w:val="002634E1"/>
    <w:rsid w:val="0026369B"/>
    <w:rsid w:val="00263AA1"/>
    <w:rsid w:val="00263EE6"/>
    <w:rsid w:val="002641BD"/>
    <w:rsid w:val="0026439D"/>
    <w:rsid w:val="00264B73"/>
    <w:rsid w:val="00264CBE"/>
    <w:rsid w:val="00264F54"/>
    <w:rsid w:val="0026503C"/>
    <w:rsid w:val="00265FDD"/>
    <w:rsid w:val="002669B9"/>
    <w:rsid w:val="00266B3B"/>
    <w:rsid w:val="00266FDF"/>
    <w:rsid w:val="00267029"/>
    <w:rsid w:val="002672FE"/>
    <w:rsid w:val="00267E00"/>
    <w:rsid w:val="002707C1"/>
    <w:rsid w:val="00270883"/>
    <w:rsid w:val="00270C3A"/>
    <w:rsid w:val="00271180"/>
    <w:rsid w:val="00271612"/>
    <w:rsid w:val="00271763"/>
    <w:rsid w:val="00271978"/>
    <w:rsid w:val="00271C83"/>
    <w:rsid w:val="0027241E"/>
    <w:rsid w:val="002724FD"/>
    <w:rsid w:val="002727C9"/>
    <w:rsid w:val="00272B3F"/>
    <w:rsid w:val="00272F2F"/>
    <w:rsid w:val="0027509E"/>
    <w:rsid w:val="00275406"/>
    <w:rsid w:val="0027542D"/>
    <w:rsid w:val="00275669"/>
    <w:rsid w:val="00275722"/>
    <w:rsid w:val="00275883"/>
    <w:rsid w:val="00275A2B"/>
    <w:rsid w:val="00275AEB"/>
    <w:rsid w:val="0027623A"/>
    <w:rsid w:val="00276825"/>
    <w:rsid w:val="00276C1D"/>
    <w:rsid w:val="0027710C"/>
    <w:rsid w:val="0027712E"/>
    <w:rsid w:val="002771A4"/>
    <w:rsid w:val="00277648"/>
    <w:rsid w:val="00277C56"/>
    <w:rsid w:val="00280343"/>
    <w:rsid w:val="00280C7D"/>
    <w:rsid w:val="00280E50"/>
    <w:rsid w:val="00281618"/>
    <w:rsid w:val="00281A5D"/>
    <w:rsid w:val="00281C00"/>
    <w:rsid w:val="00281F1C"/>
    <w:rsid w:val="00281F68"/>
    <w:rsid w:val="0028254F"/>
    <w:rsid w:val="00282BB4"/>
    <w:rsid w:val="00282BED"/>
    <w:rsid w:val="00282FE0"/>
    <w:rsid w:val="002833BE"/>
    <w:rsid w:val="00283590"/>
    <w:rsid w:val="00283A77"/>
    <w:rsid w:val="00284395"/>
    <w:rsid w:val="0028499B"/>
    <w:rsid w:val="00284C38"/>
    <w:rsid w:val="0028559A"/>
    <w:rsid w:val="00285C87"/>
    <w:rsid w:val="00285DBC"/>
    <w:rsid w:val="00285DD5"/>
    <w:rsid w:val="00285EB5"/>
    <w:rsid w:val="0028679A"/>
    <w:rsid w:val="00286DD7"/>
    <w:rsid w:val="00290A99"/>
    <w:rsid w:val="00290C75"/>
    <w:rsid w:val="00290EFB"/>
    <w:rsid w:val="0029179A"/>
    <w:rsid w:val="002918E2"/>
    <w:rsid w:val="00291C2D"/>
    <w:rsid w:val="00291D7C"/>
    <w:rsid w:val="00291F83"/>
    <w:rsid w:val="002924A6"/>
    <w:rsid w:val="002926EC"/>
    <w:rsid w:val="00292E7F"/>
    <w:rsid w:val="00292F5A"/>
    <w:rsid w:val="002933EF"/>
    <w:rsid w:val="0029352A"/>
    <w:rsid w:val="00293FAC"/>
    <w:rsid w:val="00294E1B"/>
    <w:rsid w:val="00294FB3"/>
    <w:rsid w:val="002953B5"/>
    <w:rsid w:val="002958DC"/>
    <w:rsid w:val="0029630E"/>
    <w:rsid w:val="00296448"/>
    <w:rsid w:val="00296883"/>
    <w:rsid w:val="00296C42"/>
    <w:rsid w:val="00296CDB"/>
    <w:rsid w:val="002970A8"/>
    <w:rsid w:val="002977B8"/>
    <w:rsid w:val="002979B9"/>
    <w:rsid w:val="00297F7D"/>
    <w:rsid w:val="002A0374"/>
    <w:rsid w:val="002A046C"/>
    <w:rsid w:val="002A0608"/>
    <w:rsid w:val="002A0709"/>
    <w:rsid w:val="002A0A12"/>
    <w:rsid w:val="002A0E28"/>
    <w:rsid w:val="002A0F20"/>
    <w:rsid w:val="002A1C7B"/>
    <w:rsid w:val="002A201B"/>
    <w:rsid w:val="002A203C"/>
    <w:rsid w:val="002A233E"/>
    <w:rsid w:val="002A2A62"/>
    <w:rsid w:val="002A2B64"/>
    <w:rsid w:val="002A303B"/>
    <w:rsid w:val="002A38A0"/>
    <w:rsid w:val="002A38EB"/>
    <w:rsid w:val="002A3A23"/>
    <w:rsid w:val="002A3E77"/>
    <w:rsid w:val="002A42C6"/>
    <w:rsid w:val="002A42FD"/>
    <w:rsid w:val="002A4390"/>
    <w:rsid w:val="002A456D"/>
    <w:rsid w:val="002A47A5"/>
    <w:rsid w:val="002A4B5D"/>
    <w:rsid w:val="002A51A9"/>
    <w:rsid w:val="002A545D"/>
    <w:rsid w:val="002A54DA"/>
    <w:rsid w:val="002A5B7D"/>
    <w:rsid w:val="002A5C84"/>
    <w:rsid w:val="002A5E9A"/>
    <w:rsid w:val="002A67A8"/>
    <w:rsid w:val="002A6ADF"/>
    <w:rsid w:val="002A716C"/>
    <w:rsid w:val="002B0592"/>
    <w:rsid w:val="002B0C15"/>
    <w:rsid w:val="002B0EF3"/>
    <w:rsid w:val="002B10FF"/>
    <w:rsid w:val="002B1926"/>
    <w:rsid w:val="002B20F1"/>
    <w:rsid w:val="002B3A54"/>
    <w:rsid w:val="002B3AC2"/>
    <w:rsid w:val="002B457C"/>
    <w:rsid w:val="002B4810"/>
    <w:rsid w:val="002B4A2D"/>
    <w:rsid w:val="002B4D6F"/>
    <w:rsid w:val="002B507C"/>
    <w:rsid w:val="002B50E2"/>
    <w:rsid w:val="002B53D4"/>
    <w:rsid w:val="002B545C"/>
    <w:rsid w:val="002B577D"/>
    <w:rsid w:val="002B59F8"/>
    <w:rsid w:val="002B5B0C"/>
    <w:rsid w:val="002B5BC2"/>
    <w:rsid w:val="002B61C3"/>
    <w:rsid w:val="002B69CB"/>
    <w:rsid w:val="002B6EAC"/>
    <w:rsid w:val="002B72F9"/>
    <w:rsid w:val="002B76E7"/>
    <w:rsid w:val="002B7752"/>
    <w:rsid w:val="002B7C68"/>
    <w:rsid w:val="002C0A36"/>
    <w:rsid w:val="002C0E1B"/>
    <w:rsid w:val="002C1464"/>
    <w:rsid w:val="002C18AA"/>
    <w:rsid w:val="002C1BFA"/>
    <w:rsid w:val="002C22B2"/>
    <w:rsid w:val="002C26F9"/>
    <w:rsid w:val="002C3EE1"/>
    <w:rsid w:val="002C3FE0"/>
    <w:rsid w:val="002C40EE"/>
    <w:rsid w:val="002C4B85"/>
    <w:rsid w:val="002C4C5E"/>
    <w:rsid w:val="002C51C0"/>
    <w:rsid w:val="002C6C9A"/>
    <w:rsid w:val="002C6E46"/>
    <w:rsid w:val="002C725E"/>
    <w:rsid w:val="002C7ACC"/>
    <w:rsid w:val="002C7C54"/>
    <w:rsid w:val="002C7D52"/>
    <w:rsid w:val="002D0458"/>
    <w:rsid w:val="002D0583"/>
    <w:rsid w:val="002D06BB"/>
    <w:rsid w:val="002D0DA8"/>
    <w:rsid w:val="002D1349"/>
    <w:rsid w:val="002D1A70"/>
    <w:rsid w:val="002D1D77"/>
    <w:rsid w:val="002D2B7C"/>
    <w:rsid w:val="002D2E24"/>
    <w:rsid w:val="002D2E75"/>
    <w:rsid w:val="002D3584"/>
    <w:rsid w:val="002D3E49"/>
    <w:rsid w:val="002D4587"/>
    <w:rsid w:val="002D48B9"/>
    <w:rsid w:val="002D4E9C"/>
    <w:rsid w:val="002D52AD"/>
    <w:rsid w:val="002D5518"/>
    <w:rsid w:val="002D68A2"/>
    <w:rsid w:val="002D6F9A"/>
    <w:rsid w:val="002D70C9"/>
    <w:rsid w:val="002D7116"/>
    <w:rsid w:val="002D7273"/>
    <w:rsid w:val="002D7AC1"/>
    <w:rsid w:val="002D7FB2"/>
    <w:rsid w:val="002E039C"/>
    <w:rsid w:val="002E0DCB"/>
    <w:rsid w:val="002E17DC"/>
    <w:rsid w:val="002E1E40"/>
    <w:rsid w:val="002E2142"/>
    <w:rsid w:val="002E2273"/>
    <w:rsid w:val="002E280F"/>
    <w:rsid w:val="002E290B"/>
    <w:rsid w:val="002E304A"/>
    <w:rsid w:val="002E31C8"/>
    <w:rsid w:val="002E341E"/>
    <w:rsid w:val="002E4191"/>
    <w:rsid w:val="002E424C"/>
    <w:rsid w:val="002E45DF"/>
    <w:rsid w:val="002E4CFF"/>
    <w:rsid w:val="002E4F68"/>
    <w:rsid w:val="002E585F"/>
    <w:rsid w:val="002E5F08"/>
    <w:rsid w:val="002E5F91"/>
    <w:rsid w:val="002E6064"/>
    <w:rsid w:val="002E614C"/>
    <w:rsid w:val="002E63E2"/>
    <w:rsid w:val="002E6724"/>
    <w:rsid w:val="002E6DBA"/>
    <w:rsid w:val="002E6EC3"/>
    <w:rsid w:val="002E7089"/>
    <w:rsid w:val="002E7284"/>
    <w:rsid w:val="002E780F"/>
    <w:rsid w:val="002E7CC8"/>
    <w:rsid w:val="002E7F7A"/>
    <w:rsid w:val="002F01B8"/>
    <w:rsid w:val="002F02BD"/>
    <w:rsid w:val="002F0339"/>
    <w:rsid w:val="002F08B0"/>
    <w:rsid w:val="002F11FE"/>
    <w:rsid w:val="002F17C7"/>
    <w:rsid w:val="002F193A"/>
    <w:rsid w:val="002F1AF4"/>
    <w:rsid w:val="002F2965"/>
    <w:rsid w:val="002F2D4B"/>
    <w:rsid w:val="002F2ED2"/>
    <w:rsid w:val="002F3176"/>
    <w:rsid w:val="002F35FE"/>
    <w:rsid w:val="002F3AE0"/>
    <w:rsid w:val="002F3DD1"/>
    <w:rsid w:val="002F3EAE"/>
    <w:rsid w:val="002F3F31"/>
    <w:rsid w:val="002F45D3"/>
    <w:rsid w:val="002F485D"/>
    <w:rsid w:val="002F4B29"/>
    <w:rsid w:val="002F4C1A"/>
    <w:rsid w:val="002F5005"/>
    <w:rsid w:val="002F5141"/>
    <w:rsid w:val="002F5A0A"/>
    <w:rsid w:val="002F5E26"/>
    <w:rsid w:val="002F61CD"/>
    <w:rsid w:val="002F64B3"/>
    <w:rsid w:val="002F66EF"/>
    <w:rsid w:val="002F68EE"/>
    <w:rsid w:val="002F6E2E"/>
    <w:rsid w:val="002F6F66"/>
    <w:rsid w:val="002F7255"/>
    <w:rsid w:val="002F744B"/>
    <w:rsid w:val="002F74BB"/>
    <w:rsid w:val="002F78C0"/>
    <w:rsid w:val="003002B1"/>
    <w:rsid w:val="00300CD7"/>
    <w:rsid w:val="00300E0F"/>
    <w:rsid w:val="0030166F"/>
    <w:rsid w:val="00301D49"/>
    <w:rsid w:val="0030213D"/>
    <w:rsid w:val="00302494"/>
    <w:rsid w:val="00303162"/>
    <w:rsid w:val="003038D3"/>
    <w:rsid w:val="00303BB0"/>
    <w:rsid w:val="00303C44"/>
    <w:rsid w:val="0030413B"/>
    <w:rsid w:val="003041A4"/>
    <w:rsid w:val="003043A1"/>
    <w:rsid w:val="0030457C"/>
    <w:rsid w:val="00304C08"/>
    <w:rsid w:val="00305006"/>
    <w:rsid w:val="00305248"/>
    <w:rsid w:val="00305787"/>
    <w:rsid w:val="0030587D"/>
    <w:rsid w:val="00305C19"/>
    <w:rsid w:val="003061D2"/>
    <w:rsid w:val="00307B4B"/>
    <w:rsid w:val="00307EBF"/>
    <w:rsid w:val="0031023D"/>
    <w:rsid w:val="00310354"/>
    <w:rsid w:val="003104AF"/>
    <w:rsid w:val="00310925"/>
    <w:rsid w:val="00310A7E"/>
    <w:rsid w:val="00311476"/>
    <w:rsid w:val="00311C8E"/>
    <w:rsid w:val="00311F2E"/>
    <w:rsid w:val="003122A2"/>
    <w:rsid w:val="003129B4"/>
    <w:rsid w:val="003129C7"/>
    <w:rsid w:val="0031319D"/>
    <w:rsid w:val="00313428"/>
    <w:rsid w:val="0031369C"/>
    <w:rsid w:val="00313921"/>
    <w:rsid w:val="00313D9B"/>
    <w:rsid w:val="00314D94"/>
    <w:rsid w:val="00314EF0"/>
    <w:rsid w:val="00314F13"/>
    <w:rsid w:val="0031578D"/>
    <w:rsid w:val="00315E9D"/>
    <w:rsid w:val="003160DE"/>
    <w:rsid w:val="00316C53"/>
    <w:rsid w:val="0031707E"/>
    <w:rsid w:val="0031781D"/>
    <w:rsid w:val="003200A0"/>
    <w:rsid w:val="0032024F"/>
    <w:rsid w:val="0032034F"/>
    <w:rsid w:val="003205FD"/>
    <w:rsid w:val="003208FC"/>
    <w:rsid w:val="003209E0"/>
    <w:rsid w:val="00321190"/>
    <w:rsid w:val="00321830"/>
    <w:rsid w:val="00321961"/>
    <w:rsid w:val="00322803"/>
    <w:rsid w:val="003235BC"/>
    <w:rsid w:val="00323B0A"/>
    <w:rsid w:val="00323D40"/>
    <w:rsid w:val="00324357"/>
    <w:rsid w:val="0032485F"/>
    <w:rsid w:val="003249B0"/>
    <w:rsid w:val="00325307"/>
    <w:rsid w:val="00325B4C"/>
    <w:rsid w:val="003278EA"/>
    <w:rsid w:val="00327924"/>
    <w:rsid w:val="00327B25"/>
    <w:rsid w:val="00330669"/>
    <w:rsid w:val="0033079D"/>
    <w:rsid w:val="003309FF"/>
    <w:rsid w:val="003310B6"/>
    <w:rsid w:val="003318D4"/>
    <w:rsid w:val="00331F4F"/>
    <w:rsid w:val="00331FAD"/>
    <w:rsid w:val="0033204F"/>
    <w:rsid w:val="003327BC"/>
    <w:rsid w:val="003328FD"/>
    <w:rsid w:val="00332988"/>
    <w:rsid w:val="0033347E"/>
    <w:rsid w:val="00333A1E"/>
    <w:rsid w:val="00333A3B"/>
    <w:rsid w:val="00333A4A"/>
    <w:rsid w:val="00333B4B"/>
    <w:rsid w:val="003342DF"/>
    <w:rsid w:val="00334BDD"/>
    <w:rsid w:val="00334CC3"/>
    <w:rsid w:val="00335D64"/>
    <w:rsid w:val="00335E0E"/>
    <w:rsid w:val="00335FB8"/>
    <w:rsid w:val="00335FBB"/>
    <w:rsid w:val="00335FEC"/>
    <w:rsid w:val="00336326"/>
    <w:rsid w:val="00336692"/>
    <w:rsid w:val="0033683F"/>
    <w:rsid w:val="00336BCB"/>
    <w:rsid w:val="00336DC9"/>
    <w:rsid w:val="00336FA9"/>
    <w:rsid w:val="00337CA7"/>
    <w:rsid w:val="00337D00"/>
    <w:rsid w:val="00337EE8"/>
    <w:rsid w:val="00340B52"/>
    <w:rsid w:val="00340C59"/>
    <w:rsid w:val="00341847"/>
    <w:rsid w:val="00341DA4"/>
    <w:rsid w:val="00342243"/>
    <w:rsid w:val="003428DE"/>
    <w:rsid w:val="0034298C"/>
    <w:rsid w:val="00342E7D"/>
    <w:rsid w:val="00343776"/>
    <w:rsid w:val="00343999"/>
    <w:rsid w:val="00343A16"/>
    <w:rsid w:val="00343ABB"/>
    <w:rsid w:val="003443E1"/>
    <w:rsid w:val="00344506"/>
    <w:rsid w:val="00344A66"/>
    <w:rsid w:val="00344AA3"/>
    <w:rsid w:val="00344F81"/>
    <w:rsid w:val="00345288"/>
    <w:rsid w:val="003454FB"/>
    <w:rsid w:val="00345DBA"/>
    <w:rsid w:val="00346615"/>
    <w:rsid w:val="00347CCA"/>
    <w:rsid w:val="00347E96"/>
    <w:rsid w:val="003507A7"/>
    <w:rsid w:val="00350A76"/>
    <w:rsid w:val="00351448"/>
    <w:rsid w:val="003519C7"/>
    <w:rsid w:val="00351A9F"/>
    <w:rsid w:val="0035264B"/>
    <w:rsid w:val="00352D46"/>
    <w:rsid w:val="00352DBB"/>
    <w:rsid w:val="003538BD"/>
    <w:rsid w:val="00353E92"/>
    <w:rsid w:val="00353F48"/>
    <w:rsid w:val="003540E0"/>
    <w:rsid w:val="003544A2"/>
    <w:rsid w:val="00355573"/>
    <w:rsid w:val="00355AE7"/>
    <w:rsid w:val="00356099"/>
    <w:rsid w:val="00356541"/>
    <w:rsid w:val="0035664C"/>
    <w:rsid w:val="003574DA"/>
    <w:rsid w:val="00357704"/>
    <w:rsid w:val="00357788"/>
    <w:rsid w:val="00357AA7"/>
    <w:rsid w:val="00357AB9"/>
    <w:rsid w:val="003604D4"/>
    <w:rsid w:val="00360620"/>
    <w:rsid w:val="00360809"/>
    <w:rsid w:val="0036082B"/>
    <w:rsid w:val="0036103F"/>
    <w:rsid w:val="00361264"/>
    <w:rsid w:val="00361AEA"/>
    <w:rsid w:val="00361F62"/>
    <w:rsid w:val="00362158"/>
    <w:rsid w:val="00362263"/>
    <w:rsid w:val="00362383"/>
    <w:rsid w:val="00363133"/>
    <w:rsid w:val="0036350D"/>
    <w:rsid w:val="00363586"/>
    <w:rsid w:val="0036381A"/>
    <w:rsid w:val="00363C5C"/>
    <w:rsid w:val="0036434B"/>
    <w:rsid w:val="00364E15"/>
    <w:rsid w:val="00365098"/>
    <w:rsid w:val="00365395"/>
    <w:rsid w:val="003653C2"/>
    <w:rsid w:val="0036582A"/>
    <w:rsid w:val="003659A3"/>
    <w:rsid w:val="00365A88"/>
    <w:rsid w:val="00366262"/>
    <w:rsid w:val="0036683A"/>
    <w:rsid w:val="00366B0D"/>
    <w:rsid w:val="0036732D"/>
    <w:rsid w:val="00367FEB"/>
    <w:rsid w:val="00370552"/>
    <w:rsid w:val="00371270"/>
    <w:rsid w:val="003717D9"/>
    <w:rsid w:val="0037191B"/>
    <w:rsid w:val="00371E8C"/>
    <w:rsid w:val="00371FDB"/>
    <w:rsid w:val="00372280"/>
    <w:rsid w:val="003724EE"/>
    <w:rsid w:val="003725C2"/>
    <w:rsid w:val="00372DA0"/>
    <w:rsid w:val="00372F27"/>
    <w:rsid w:val="00372F5A"/>
    <w:rsid w:val="00373550"/>
    <w:rsid w:val="00373658"/>
    <w:rsid w:val="00373751"/>
    <w:rsid w:val="00373EA1"/>
    <w:rsid w:val="00374210"/>
    <w:rsid w:val="003749CF"/>
    <w:rsid w:val="00374E17"/>
    <w:rsid w:val="00374F50"/>
    <w:rsid w:val="003752EA"/>
    <w:rsid w:val="00375597"/>
    <w:rsid w:val="003756C3"/>
    <w:rsid w:val="003758BB"/>
    <w:rsid w:val="00375A5E"/>
    <w:rsid w:val="00375AF5"/>
    <w:rsid w:val="00376058"/>
    <w:rsid w:val="00376BD1"/>
    <w:rsid w:val="0037727D"/>
    <w:rsid w:val="0038034F"/>
    <w:rsid w:val="003804DB"/>
    <w:rsid w:val="00380B2E"/>
    <w:rsid w:val="00381A98"/>
    <w:rsid w:val="00381AB9"/>
    <w:rsid w:val="00381D19"/>
    <w:rsid w:val="00381DE4"/>
    <w:rsid w:val="00382355"/>
    <w:rsid w:val="003824B8"/>
    <w:rsid w:val="00382D52"/>
    <w:rsid w:val="00382FB8"/>
    <w:rsid w:val="003831A5"/>
    <w:rsid w:val="0038337B"/>
    <w:rsid w:val="00383988"/>
    <w:rsid w:val="00383BAD"/>
    <w:rsid w:val="003840A2"/>
    <w:rsid w:val="00384CEB"/>
    <w:rsid w:val="00384E5E"/>
    <w:rsid w:val="00384EC5"/>
    <w:rsid w:val="00385583"/>
    <w:rsid w:val="00386697"/>
    <w:rsid w:val="00386C26"/>
    <w:rsid w:val="00386E0F"/>
    <w:rsid w:val="003871F7"/>
    <w:rsid w:val="00387486"/>
    <w:rsid w:val="00387B4C"/>
    <w:rsid w:val="00387D6C"/>
    <w:rsid w:val="00387E06"/>
    <w:rsid w:val="0039003E"/>
    <w:rsid w:val="0039021F"/>
    <w:rsid w:val="00390705"/>
    <w:rsid w:val="00390A1C"/>
    <w:rsid w:val="00390BDA"/>
    <w:rsid w:val="00390E26"/>
    <w:rsid w:val="00390EEC"/>
    <w:rsid w:val="0039140F"/>
    <w:rsid w:val="0039161E"/>
    <w:rsid w:val="003918F4"/>
    <w:rsid w:val="00391ED2"/>
    <w:rsid w:val="00391FEB"/>
    <w:rsid w:val="003922B0"/>
    <w:rsid w:val="0039268F"/>
    <w:rsid w:val="0039361C"/>
    <w:rsid w:val="00393C67"/>
    <w:rsid w:val="0039408F"/>
    <w:rsid w:val="0039418B"/>
    <w:rsid w:val="00394290"/>
    <w:rsid w:val="003947A5"/>
    <w:rsid w:val="00394D57"/>
    <w:rsid w:val="00395C24"/>
    <w:rsid w:val="00395CC5"/>
    <w:rsid w:val="00395EE2"/>
    <w:rsid w:val="00396D6B"/>
    <w:rsid w:val="00396DE3"/>
    <w:rsid w:val="003974ED"/>
    <w:rsid w:val="00397C50"/>
    <w:rsid w:val="00397C8A"/>
    <w:rsid w:val="00397D39"/>
    <w:rsid w:val="003A04D6"/>
    <w:rsid w:val="003A080A"/>
    <w:rsid w:val="003A199A"/>
    <w:rsid w:val="003A2F0B"/>
    <w:rsid w:val="003A35A4"/>
    <w:rsid w:val="003A35A6"/>
    <w:rsid w:val="003A375C"/>
    <w:rsid w:val="003A3C3D"/>
    <w:rsid w:val="003A427F"/>
    <w:rsid w:val="003A49EB"/>
    <w:rsid w:val="003A4C67"/>
    <w:rsid w:val="003A5721"/>
    <w:rsid w:val="003A596B"/>
    <w:rsid w:val="003A5A6F"/>
    <w:rsid w:val="003A5B54"/>
    <w:rsid w:val="003A5D07"/>
    <w:rsid w:val="003A6841"/>
    <w:rsid w:val="003A6909"/>
    <w:rsid w:val="003A713E"/>
    <w:rsid w:val="003A72B2"/>
    <w:rsid w:val="003B0D1D"/>
    <w:rsid w:val="003B14BD"/>
    <w:rsid w:val="003B16C9"/>
    <w:rsid w:val="003B19DD"/>
    <w:rsid w:val="003B2428"/>
    <w:rsid w:val="003B24C0"/>
    <w:rsid w:val="003B27F0"/>
    <w:rsid w:val="003B2B20"/>
    <w:rsid w:val="003B2C15"/>
    <w:rsid w:val="003B2DB7"/>
    <w:rsid w:val="003B302B"/>
    <w:rsid w:val="003B33DD"/>
    <w:rsid w:val="003B3630"/>
    <w:rsid w:val="003B3730"/>
    <w:rsid w:val="003B3775"/>
    <w:rsid w:val="003B3EC4"/>
    <w:rsid w:val="003B415F"/>
    <w:rsid w:val="003B4252"/>
    <w:rsid w:val="003B4395"/>
    <w:rsid w:val="003B47B1"/>
    <w:rsid w:val="003B4A44"/>
    <w:rsid w:val="003B4AED"/>
    <w:rsid w:val="003B4E58"/>
    <w:rsid w:val="003B5D00"/>
    <w:rsid w:val="003B5F66"/>
    <w:rsid w:val="003B6641"/>
    <w:rsid w:val="003B66C2"/>
    <w:rsid w:val="003B69B3"/>
    <w:rsid w:val="003B6B24"/>
    <w:rsid w:val="003B6CFA"/>
    <w:rsid w:val="003B72C4"/>
    <w:rsid w:val="003B7313"/>
    <w:rsid w:val="003C0BC9"/>
    <w:rsid w:val="003C0C22"/>
    <w:rsid w:val="003C0C2C"/>
    <w:rsid w:val="003C0E20"/>
    <w:rsid w:val="003C1268"/>
    <w:rsid w:val="003C189A"/>
    <w:rsid w:val="003C1950"/>
    <w:rsid w:val="003C199E"/>
    <w:rsid w:val="003C1BBA"/>
    <w:rsid w:val="003C1DC3"/>
    <w:rsid w:val="003C1E75"/>
    <w:rsid w:val="003C278D"/>
    <w:rsid w:val="003C3333"/>
    <w:rsid w:val="003C370E"/>
    <w:rsid w:val="003C38A3"/>
    <w:rsid w:val="003C3925"/>
    <w:rsid w:val="003C3DBF"/>
    <w:rsid w:val="003C46BB"/>
    <w:rsid w:val="003C4847"/>
    <w:rsid w:val="003C4AD3"/>
    <w:rsid w:val="003C4BB9"/>
    <w:rsid w:val="003C4C31"/>
    <w:rsid w:val="003C4DE1"/>
    <w:rsid w:val="003C5774"/>
    <w:rsid w:val="003C60C0"/>
    <w:rsid w:val="003C631A"/>
    <w:rsid w:val="003C6949"/>
    <w:rsid w:val="003C6A92"/>
    <w:rsid w:val="003C6D47"/>
    <w:rsid w:val="003C6DD6"/>
    <w:rsid w:val="003C7317"/>
    <w:rsid w:val="003C7A10"/>
    <w:rsid w:val="003C7FCA"/>
    <w:rsid w:val="003D0018"/>
    <w:rsid w:val="003D0097"/>
    <w:rsid w:val="003D00DF"/>
    <w:rsid w:val="003D0C28"/>
    <w:rsid w:val="003D0DE4"/>
    <w:rsid w:val="003D1705"/>
    <w:rsid w:val="003D1DCA"/>
    <w:rsid w:val="003D21E2"/>
    <w:rsid w:val="003D2564"/>
    <w:rsid w:val="003D2A00"/>
    <w:rsid w:val="003D2AA0"/>
    <w:rsid w:val="003D2CDF"/>
    <w:rsid w:val="003D30F9"/>
    <w:rsid w:val="003D3195"/>
    <w:rsid w:val="003D3317"/>
    <w:rsid w:val="003D3B96"/>
    <w:rsid w:val="003D3C19"/>
    <w:rsid w:val="003D3C8B"/>
    <w:rsid w:val="003D422A"/>
    <w:rsid w:val="003D4B03"/>
    <w:rsid w:val="003D53C4"/>
    <w:rsid w:val="003D54C3"/>
    <w:rsid w:val="003D5661"/>
    <w:rsid w:val="003D5936"/>
    <w:rsid w:val="003D5B03"/>
    <w:rsid w:val="003D5D4C"/>
    <w:rsid w:val="003D6EC7"/>
    <w:rsid w:val="003D719D"/>
    <w:rsid w:val="003D771F"/>
    <w:rsid w:val="003D7EBA"/>
    <w:rsid w:val="003E00FA"/>
    <w:rsid w:val="003E0895"/>
    <w:rsid w:val="003E0C40"/>
    <w:rsid w:val="003E0F13"/>
    <w:rsid w:val="003E1011"/>
    <w:rsid w:val="003E10B9"/>
    <w:rsid w:val="003E22A2"/>
    <w:rsid w:val="003E2AAB"/>
    <w:rsid w:val="003E2BC2"/>
    <w:rsid w:val="003E32B2"/>
    <w:rsid w:val="003E36D0"/>
    <w:rsid w:val="003E3953"/>
    <w:rsid w:val="003E44D0"/>
    <w:rsid w:val="003E47F8"/>
    <w:rsid w:val="003E5798"/>
    <w:rsid w:val="003E5909"/>
    <w:rsid w:val="003E613E"/>
    <w:rsid w:val="003E64F3"/>
    <w:rsid w:val="003E6818"/>
    <w:rsid w:val="003E71C9"/>
    <w:rsid w:val="003E7504"/>
    <w:rsid w:val="003E7664"/>
    <w:rsid w:val="003E7979"/>
    <w:rsid w:val="003E7A03"/>
    <w:rsid w:val="003E7D1A"/>
    <w:rsid w:val="003E7D5A"/>
    <w:rsid w:val="003E7FA5"/>
    <w:rsid w:val="003F0255"/>
    <w:rsid w:val="003F04B8"/>
    <w:rsid w:val="003F0BCE"/>
    <w:rsid w:val="003F0D60"/>
    <w:rsid w:val="003F1E13"/>
    <w:rsid w:val="003F1E88"/>
    <w:rsid w:val="003F23A3"/>
    <w:rsid w:val="003F31B5"/>
    <w:rsid w:val="003F379E"/>
    <w:rsid w:val="003F382C"/>
    <w:rsid w:val="003F3E0E"/>
    <w:rsid w:val="003F3FBB"/>
    <w:rsid w:val="003F410A"/>
    <w:rsid w:val="003F4F19"/>
    <w:rsid w:val="003F52FE"/>
    <w:rsid w:val="003F5960"/>
    <w:rsid w:val="003F626A"/>
    <w:rsid w:val="003F68A9"/>
    <w:rsid w:val="003F6933"/>
    <w:rsid w:val="003F6F3A"/>
    <w:rsid w:val="003F74AC"/>
    <w:rsid w:val="003F7A75"/>
    <w:rsid w:val="003F7B9B"/>
    <w:rsid w:val="003F7DDA"/>
    <w:rsid w:val="0040029F"/>
    <w:rsid w:val="0040039A"/>
    <w:rsid w:val="004006BC"/>
    <w:rsid w:val="00400A08"/>
    <w:rsid w:val="00401468"/>
    <w:rsid w:val="0040162F"/>
    <w:rsid w:val="00401833"/>
    <w:rsid w:val="0040195E"/>
    <w:rsid w:val="00401A79"/>
    <w:rsid w:val="00402144"/>
    <w:rsid w:val="00402570"/>
    <w:rsid w:val="00402B76"/>
    <w:rsid w:val="00402D19"/>
    <w:rsid w:val="004030A5"/>
    <w:rsid w:val="004032DF"/>
    <w:rsid w:val="00403BB0"/>
    <w:rsid w:val="00403CBB"/>
    <w:rsid w:val="00404097"/>
    <w:rsid w:val="00404363"/>
    <w:rsid w:val="00404444"/>
    <w:rsid w:val="00404810"/>
    <w:rsid w:val="004048E3"/>
    <w:rsid w:val="00404BE6"/>
    <w:rsid w:val="00404C34"/>
    <w:rsid w:val="004051EE"/>
    <w:rsid w:val="004052C4"/>
    <w:rsid w:val="004052C6"/>
    <w:rsid w:val="0040599D"/>
    <w:rsid w:val="004059F9"/>
    <w:rsid w:val="00405AAE"/>
    <w:rsid w:val="004061ED"/>
    <w:rsid w:val="00406820"/>
    <w:rsid w:val="00407119"/>
    <w:rsid w:val="00407D31"/>
    <w:rsid w:val="00410240"/>
    <w:rsid w:val="0041048F"/>
    <w:rsid w:val="00410C78"/>
    <w:rsid w:val="00411131"/>
    <w:rsid w:val="004114AA"/>
    <w:rsid w:val="004118EA"/>
    <w:rsid w:val="00411C8F"/>
    <w:rsid w:val="00411FA9"/>
    <w:rsid w:val="004120FA"/>
    <w:rsid w:val="00412142"/>
    <w:rsid w:val="0041224E"/>
    <w:rsid w:val="0041269A"/>
    <w:rsid w:val="00412D40"/>
    <w:rsid w:val="00412DCC"/>
    <w:rsid w:val="004134C9"/>
    <w:rsid w:val="004136C8"/>
    <w:rsid w:val="004138DA"/>
    <w:rsid w:val="00413BA6"/>
    <w:rsid w:val="00413BC4"/>
    <w:rsid w:val="00413FD4"/>
    <w:rsid w:val="00413FFC"/>
    <w:rsid w:val="00414443"/>
    <w:rsid w:val="00414B25"/>
    <w:rsid w:val="00414E79"/>
    <w:rsid w:val="004157D2"/>
    <w:rsid w:val="0041592B"/>
    <w:rsid w:val="004161F0"/>
    <w:rsid w:val="004163F2"/>
    <w:rsid w:val="004167BE"/>
    <w:rsid w:val="00417679"/>
    <w:rsid w:val="00417890"/>
    <w:rsid w:val="00417903"/>
    <w:rsid w:val="00417A01"/>
    <w:rsid w:val="00417C2C"/>
    <w:rsid w:val="00417EA9"/>
    <w:rsid w:val="00420245"/>
    <w:rsid w:val="0042040A"/>
    <w:rsid w:val="0042053E"/>
    <w:rsid w:val="00421163"/>
    <w:rsid w:val="004211E6"/>
    <w:rsid w:val="00421C4F"/>
    <w:rsid w:val="00421E69"/>
    <w:rsid w:val="00422097"/>
    <w:rsid w:val="00422191"/>
    <w:rsid w:val="00422677"/>
    <w:rsid w:val="00422E02"/>
    <w:rsid w:val="00423D07"/>
    <w:rsid w:val="00423DAC"/>
    <w:rsid w:val="00424A4B"/>
    <w:rsid w:val="004258E1"/>
    <w:rsid w:val="00425E64"/>
    <w:rsid w:val="00425ED8"/>
    <w:rsid w:val="00426B9F"/>
    <w:rsid w:val="00426ECB"/>
    <w:rsid w:val="004275DF"/>
    <w:rsid w:val="00427D1F"/>
    <w:rsid w:val="004306DE"/>
    <w:rsid w:val="00430B82"/>
    <w:rsid w:val="00430D4B"/>
    <w:rsid w:val="00430DF7"/>
    <w:rsid w:val="004314FC"/>
    <w:rsid w:val="00431A86"/>
    <w:rsid w:val="00431B29"/>
    <w:rsid w:val="00431C18"/>
    <w:rsid w:val="00431E7A"/>
    <w:rsid w:val="00432192"/>
    <w:rsid w:val="0043233E"/>
    <w:rsid w:val="00432515"/>
    <w:rsid w:val="004326A1"/>
    <w:rsid w:val="00432865"/>
    <w:rsid w:val="00432AD3"/>
    <w:rsid w:val="00432B9D"/>
    <w:rsid w:val="004336E5"/>
    <w:rsid w:val="00433FD0"/>
    <w:rsid w:val="004340D4"/>
    <w:rsid w:val="00434536"/>
    <w:rsid w:val="004349F3"/>
    <w:rsid w:val="00434F34"/>
    <w:rsid w:val="0043500B"/>
    <w:rsid w:val="004355C7"/>
    <w:rsid w:val="004358D9"/>
    <w:rsid w:val="00435EEF"/>
    <w:rsid w:val="00435F53"/>
    <w:rsid w:val="00436047"/>
    <w:rsid w:val="004362B6"/>
    <w:rsid w:val="0043632A"/>
    <w:rsid w:val="004363A2"/>
    <w:rsid w:val="0043661E"/>
    <w:rsid w:val="00436635"/>
    <w:rsid w:val="00436CA8"/>
    <w:rsid w:val="00436F1F"/>
    <w:rsid w:val="004376A1"/>
    <w:rsid w:val="004376BE"/>
    <w:rsid w:val="0043793A"/>
    <w:rsid w:val="004379DB"/>
    <w:rsid w:val="00437B66"/>
    <w:rsid w:val="00437B7A"/>
    <w:rsid w:val="00440511"/>
    <w:rsid w:val="0044060F"/>
    <w:rsid w:val="004408AD"/>
    <w:rsid w:val="00440944"/>
    <w:rsid w:val="0044097E"/>
    <w:rsid w:val="0044180B"/>
    <w:rsid w:val="0044183D"/>
    <w:rsid w:val="004418F2"/>
    <w:rsid w:val="004418F7"/>
    <w:rsid w:val="00441D5C"/>
    <w:rsid w:val="00441E62"/>
    <w:rsid w:val="004420EA"/>
    <w:rsid w:val="004422A9"/>
    <w:rsid w:val="0044269C"/>
    <w:rsid w:val="00442735"/>
    <w:rsid w:val="004429E8"/>
    <w:rsid w:val="00442B9E"/>
    <w:rsid w:val="00442C1C"/>
    <w:rsid w:val="00442DED"/>
    <w:rsid w:val="00443014"/>
    <w:rsid w:val="00443450"/>
    <w:rsid w:val="004436C9"/>
    <w:rsid w:val="0044376F"/>
    <w:rsid w:val="0044396A"/>
    <w:rsid w:val="0044444B"/>
    <w:rsid w:val="004444B3"/>
    <w:rsid w:val="00444576"/>
    <w:rsid w:val="0044463F"/>
    <w:rsid w:val="004448D2"/>
    <w:rsid w:val="00445B94"/>
    <w:rsid w:val="00445C1F"/>
    <w:rsid w:val="00445CAD"/>
    <w:rsid w:val="00445E66"/>
    <w:rsid w:val="00445EFC"/>
    <w:rsid w:val="00446509"/>
    <w:rsid w:val="0044789A"/>
    <w:rsid w:val="00447FE3"/>
    <w:rsid w:val="004505D0"/>
    <w:rsid w:val="0045069B"/>
    <w:rsid w:val="004507E8"/>
    <w:rsid w:val="00450A2B"/>
    <w:rsid w:val="00450C90"/>
    <w:rsid w:val="00451422"/>
    <w:rsid w:val="00451EAC"/>
    <w:rsid w:val="004528E6"/>
    <w:rsid w:val="00452B1F"/>
    <w:rsid w:val="00452B68"/>
    <w:rsid w:val="00452F95"/>
    <w:rsid w:val="0045330D"/>
    <w:rsid w:val="004534BE"/>
    <w:rsid w:val="0045383B"/>
    <w:rsid w:val="00453A6A"/>
    <w:rsid w:val="00453AB0"/>
    <w:rsid w:val="00453C96"/>
    <w:rsid w:val="00453D56"/>
    <w:rsid w:val="00453EB9"/>
    <w:rsid w:val="00454241"/>
    <w:rsid w:val="004549D0"/>
    <w:rsid w:val="004550D6"/>
    <w:rsid w:val="00455842"/>
    <w:rsid w:val="00455A19"/>
    <w:rsid w:val="00456A5C"/>
    <w:rsid w:val="00457531"/>
    <w:rsid w:val="00457711"/>
    <w:rsid w:val="004579A5"/>
    <w:rsid w:val="00457A58"/>
    <w:rsid w:val="0046026B"/>
    <w:rsid w:val="0046026E"/>
    <w:rsid w:val="004606BD"/>
    <w:rsid w:val="00460ADC"/>
    <w:rsid w:val="00460D7A"/>
    <w:rsid w:val="00460E4A"/>
    <w:rsid w:val="00461345"/>
    <w:rsid w:val="00461390"/>
    <w:rsid w:val="004614A8"/>
    <w:rsid w:val="004617A0"/>
    <w:rsid w:val="00461A55"/>
    <w:rsid w:val="004621C9"/>
    <w:rsid w:val="00462B40"/>
    <w:rsid w:val="00462FA0"/>
    <w:rsid w:val="004630AC"/>
    <w:rsid w:val="004637DE"/>
    <w:rsid w:val="004638ED"/>
    <w:rsid w:val="00463BE2"/>
    <w:rsid w:val="00463C97"/>
    <w:rsid w:val="004640FF"/>
    <w:rsid w:val="00464172"/>
    <w:rsid w:val="00464390"/>
    <w:rsid w:val="004647A2"/>
    <w:rsid w:val="00464B7E"/>
    <w:rsid w:val="004653BD"/>
    <w:rsid w:val="00465430"/>
    <w:rsid w:val="00465A67"/>
    <w:rsid w:val="00465ED9"/>
    <w:rsid w:val="00466DB3"/>
    <w:rsid w:val="00467026"/>
    <w:rsid w:val="00467762"/>
    <w:rsid w:val="00467D1C"/>
    <w:rsid w:val="00467ECF"/>
    <w:rsid w:val="004700B1"/>
    <w:rsid w:val="004707F0"/>
    <w:rsid w:val="00470CBC"/>
    <w:rsid w:val="00470EE5"/>
    <w:rsid w:val="0047142C"/>
    <w:rsid w:val="0047188F"/>
    <w:rsid w:val="00471BB8"/>
    <w:rsid w:val="00471FD6"/>
    <w:rsid w:val="00472162"/>
    <w:rsid w:val="0047224A"/>
    <w:rsid w:val="004722D9"/>
    <w:rsid w:val="00472C29"/>
    <w:rsid w:val="00472C7F"/>
    <w:rsid w:val="00473302"/>
    <w:rsid w:val="00473393"/>
    <w:rsid w:val="004735F4"/>
    <w:rsid w:val="004739F9"/>
    <w:rsid w:val="004742FE"/>
    <w:rsid w:val="00474D12"/>
    <w:rsid w:val="00474E61"/>
    <w:rsid w:val="004755C9"/>
    <w:rsid w:val="004755D4"/>
    <w:rsid w:val="00475958"/>
    <w:rsid w:val="004761A7"/>
    <w:rsid w:val="004764C5"/>
    <w:rsid w:val="00476E7B"/>
    <w:rsid w:val="0047727E"/>
    <w:rsid w:val="004774CD"/>
    <w:rsid w:val="00477888"/>
    <w:rsid w:val="004779EC"/>
    <w:rsid w:val="00477AFD"/>
    <w:rsid w:val="004801A7"/>
    <w:rsid w:val="00480290"/>
    <w:rsid w:val="00480417"/>
    <w:rsid w:val="00480B2A"/>
    <w:rsid w:val="00481211"/>
    <w:rsid w:val="00481A34"/>
    <w:rsid w:val="00482141"/>
    <w:rsid w:val="004825C0"/>
    <w:rsid w:val="0048299A"/>
    <w:rsid w:val="004832ED"/>
    <w:rsid w:val="0048330F"/>
    <w:rsid w:val="0048339B"/>
    <w:rsid w:val="00483DD1"/>
    <w:rsid w:val="00484748"/>
    <w:rsid w:val="00484846"/>
    <w:rsid w:val="00484C81"/>
    <w:rsid w:val="00485995"/>
    <w:rsid w:val="00485C0B"/>
    <w:rsid w:val="00486393"/>
    <w:rsid w:val="0048676D"/>
    <w:rsid w:val="00486E49"/>
    <w:rsid w:val="0048751D"/>
    <w:rsid w:val="00487E7A"/>
    <w:rsid w:val="00490032"/>
    <w:rsid w:val="004900E7"/>
    <w:rsid w:val="00490754"/>
    <w:rsid w:val="0049081D"/>
    <w:rsid w:val="00490CE1"/>
    <w:rsid w:val="0049126B"/>
    <w:rsid w:val="004919AD"/>
    <w:rsid w:val="004919DD"/>
    <w:rsid w:val="00491D48"/>
    <w:rsid w:val="004920AC"/>
    <w:rsid w:val="004921F4"/>
    <w:rsid w:val="0049233C"/>
    <w:rsid w:val="004926B4"/>
    <w:rsid w:val="00492A92"/>
    <w:rsid w:val="00492F8A"/>
    <w:rsid w:val="004933C8"/>
    <w:rsid w:val="00493A6C"/>
    <w:rsid w:val="00493A7B"/>
    <w:rsid w:val="00493AC0"/>
    <w:rsid w:val="00493B7E"/>
    <w:rsid w:val="00493D53"/>
    <w:rsid w:val="004943BE"/>
    <w:rsid w:val="00494A58"/>
    <w:rsid w:val="00494AAB"/>
    <w:rsid w:val="00494D7F"/>
    <w:rsid w:val="004968C6"/>
    <w:rsid w:val="004970E3"/>
    <w:rsid w:val="00497681"/>
    <w:rsid w:val="0049797D"/>
    <w:rsid w:val="00497A64"/>
    <w:rsid w:val="00497FD4"/>
    <w:rsid w:val="004A00B9"/>
    <w:rsid w:val="004A0258"/>
    <w:rsid w:val="004A08DF"/>
    <w:rsid w:val="004A0939"/>
    <w:rsid w:val="004A1484"/>
    <w:rsid w:val="004A2024"/>
    <w:rsid w:val="004A2026"/>
    <w:rsid w:val="004A214D"/>
    <w:rsid w:val="004A2450"/>
    <w:rsid w:val="004A2783"/>
    <w:rsid w:val="004A28DC"/>
    <w:rsid w:val="004A2DBF"/>
    <w:rsid w:val="004A2EA6"/>
    <w:rsid w:val="004A33C7"/>
    <w:rsid w:val="004A3509"/>
    <w:rsid w:val="004A359D"/>
    <w:rsid w:val="004A39B9"/>
    <w:rsid w:val="004A3D19"/>
    <w:rsid w:val="004A4189"/>
    <w:rsid w:val="004A51C4"/>
    <w:rsid w:val="004A534C"/>
    <w:rsid w:val="004A53E8"/>
    <w:rsid w:val="004A566C"/>
    <w:rsid w:val="004A585E"/>
    <w:rsid w:val="004A62FC"/>
    <w:rsid w:val="004A6960"/>
    <w:rsid w:val="004A6F35"/>
    <w:rsid w:val="004A7264"/>
    <w:rsid w:val="004A727C"/>
    <w:rsid w:val="004A7529"/>
    <w:rsid w:val="004B072C"/>
    <w:rsid w:val="004B081A"/>
    <w:rsid w:val="004B0AD7"/>
    <w:rsid w:val="004B0E71"/>
    <w:rsid w:val="004B0F76"/>
    <w:rsid w:val="004B16C6"/>
    <w:rsid w:val="004B1B68"/>
    <w:rsid w:val="004B237E"/>
    <w:rsid w:val="004B2417"/>
    <w:rsid w:val="004B27EB"/>
    <w:rsid w:val="004B2A3A"/>
    <w:rsid w:val="004B32D6"/>
    <w:rsid w:val="004B345B"/>
    <w:rsid w:val="004B3A6E"/>
    <w:rsid w:val="004B3CB8"/>
    <w:rsid w:val="004B432B"/>
    <w:rsid w:val="004B44E2"/>
    <w:rsid w:val="004B4F9E"/>
    <w:rsid w:val="004B5546"/>
    <w:rsid w:val="004B579A"/>
    <w:rsid w:val="004B5FEE"/>
    <w:rsid w:val="004B63C9"/>
    <w:rsid w:val="004B65F1"/>
    <w:rsid w:val="004B6791"/>
    <w:rsid w:val="004B67EC"/>
    <w:rsid w:val="004B6C25"/>
    <w:rsid w:val="004B6E1A"/>
    <w:rsid w:val="004B7738"/>
    <w:rsid w:val="004B78C8"/>
    <w:rsid w:val="004B7A45"/>
    <w:rsid w:val="004B7DE5"/>
    <w:rsid w:val="004C00D9"/>
    <w:rsid w:val="004C09EF"/>
    <w:rsid w:val="004C1034"/>
    <w:rsid w:val="004C1094"/>
    <w:rsid w:val="004C1114"/>
    <w:rsid w:val="004C12B2"/>
    <w:rsid w:val="004C1A06"/>
    <w:rsid w:val="004C23B0"/>
    <w:rsid w:val="004C2438"/>
    <w:rsid w:val="004C2863"/>
    <w:rsid w:val="004C30A5"/>
    <w:rsid w:val="004C3338"/>
    <w:rsid w:val="004C3558"/>
    <w:rsid w:val="004C36E3"/>
    <w:rsid w:val="004C403A"/>
    <w:rsid w:val="004C4043"/>
    <w:rsid w:val="004C4095"/>
    <w:rsid w:val="004C5196"/>
    <w:rsid w:val="004C534C"/>
    <w:rsid w:val="004C5626"/>
    <w:rsid w:val="004C5659"/>
    <w:rsid w:val="004C58DB"/>
    <w:rsid w:val="004C5996"/>
    <w:rsid w:val="004C5B06"/>
    <w:rsid w:val="004C5E8C"/>
    <w:rsid w:val="004C6710"/>
    <w:rsid w:val="004C69BB"/>
    <w:rsid w:val="004C6A24"/>
    <w:rsid w:val="004C6CA4"/>
    <w:rsid w:val="004C7911"/>
    <w:rsid w:val="004C7C45"/>
    <w:rsid w:val="004D0137"/>
    <w:rsid w:val="004D0346"/>
    <w:rsid w:val="004D035B"/>
    <w:rsid w:val="004D052A"/>
    <w:rsid w:val="004D0D36"/>
    <w:rsid w:val="004D2181"/>
    <w:rsid w:val="004D241C"/>
    <w:rsid w:val="004D2841"/>
    <w:rsid w:val="004D2CB0"/>
    <w:rsid w:val="004D3861"/>
    <w:rsid w:val="004D3D48"/>
    <w:rsid w:val="004D3FAC"/>
    <w:rsid w:val="004D4019"/>
    <w:rsid w:val="004D4146"/>
    <w:rsid w:val="004D41E3"/>
    <w:rsid w:val="004D42F6"/>
    <w:rsid w:val="004D443B"/>
    <w:rsid w:val="004D44EA"/>
    <w:rsid w:val="004D4627"/>
    <w:rsid w:val="004D49AF"/>
    <w:rsid w:val="004D4C68"/>
    <w:rsid w:val="004D4E66"/>
    <w:rsid w:val="004D4EC5"/>
    <w:rsid w:val="004D4EF8"/>
    <w:rsid w:val="004D4FD3"/>
    <w:rsid w:val="004D50CA"/>
    <w:rsid w:val="004D52D1"/>
    <w:rsid w:val="004D58A0"/>
    <w:rsid w:val="004D58E3"/>
    <w:rsid w:val="004D640B"/>
    <w:rsid w:val="004D6BCD"/>
    <w:rsid w:val="004D6DBE"/>
    <w:rsid w:val="004D6E4C"/>
    <w:rsid w:val="004D72A9"/>
    <w:rsid w:val="004D739D"/>
    <w:rsid w:val="004D74E6"/>
    <w:rsid w:val="004D7F68"/>
    <w:rsid w:val="004E056E"/>
    <w:rsid w:val="004E0BC5"/>
    <w:rsid w:val="004E0CFA"/>
    <w:rsid w:val="004E1048"/>
    <w:rsid w:val="004E126C"/>
    <w:rsid w:val="004E12E8"/>
    <w:rsid w:val="004E12F9"/>
    <w:rsid w:val="004E19A1"/>
    <w:rsid w:val="004E19E0"/>
    <w:rsid w:val="004E24A6"/>
    <w:rsid w:val="004E25DA"/>
    <w:rsid w:val="004E3188"/>
    <w:rsid w:val="004E3204"/>
    <w:rsid w:val="004E4E65"/>
    <w:rsid w:val="004E6953"/>
    <w:rsid w:val="004E69F8"/>
    <w:rsid w:val="004E6E00"/>
    <w:rsid w:val="004E7012"/>
    <w:rsid w:val="004E7591"/>
    <w:rsid w:val="004E7662"/>
    <w:rsid w:val="004E77CB"/>
    <w:rsid w:val="004E7950"/>
    <w:rsid w:val="004E7C08"/>
    <w:rsid w:val="004E7CE1"/>
    <w:rsid w:val="004F016A"/>
    <w:rsid w:val="004F0188"/>
    <w:rsid w:val="004F0254"/>
    <w:rsid w:val="004F0434"/>
    <w:rsid w:val="004F05A4"/>
    <w:rsid w:val="004F0682"/>
    <w:rsid w:val="004F0CE9"/>
    <w:rsid w:val="004F0D32"/>
    <w:rsid w:val="004F0DBC"/>
    <w:rsid w:val="004F1565"/>
    <w:rsid w:val="004F2BC1"/>
    <w:rsid w:val="004F2C5D"/>
    <w:rsid w:val="004F3439"/>
    <w:rsid w:val="004F498C"/>
    <w:rsid w:val="004F4AF7"/>
    <w:rsid w:val="004F610E"/>
    <w:rsid w:val="004F6948"/>
    <w:rsid w:val="004F6CFF"/>
    <w:rsid w:val="004F79FF"/>
    <w:rsid w:val="004F7C4B"/>
    <w:rsid w:val="004F7D69"/>
    <w:rsid w:val="004F7EC2"/>
    <w:rsid w:val="00500235"/>
    <w:rsid w:val="005003F8"/>
    <w:rsid w:val="0050059A"/>
    <w:rsid w:val="00501304"/>
    <w:rsid w:val="00501610"/>
    <w:rsid w:val="005019E8"/>
    <w:rsid w:val="00501DD2"/>
    <w:rsid w:val="005021E9"/>
    <w:rsid w:val="0050235D"/>
    <w:rsid w:val="005023A7"/>
    <w:rsid w:val="005023FB"/>
    <w:rsid w:val="00502473"/>
    <w:rsid w:val="0050291B"/>
    <w:rsid w:val="00502A79"/>
    <w:rsid w:val="00502F47"/>
    <w:rsid w:val="005037D0"/>
    <w:rsid w:val="00503918"/>
    <w:rsid w:val="00503A4A"/>
    <w:rsid w:val="00504637"/>
    <w:rsid w:val="0050471B"/>
    <w:rsid w:val="00504ACD"/>
    <w:rsid w:val="00504B62"/>
    <w:rsid w:val="005052A4"/>
    <w:rsid w:val="00505318"/>
    <w:rsid w:val="0050551C"/>
    <w:rsid w:val="0050552E"/>
    <w:rsid w:val="0050568C"/>
    <w:rsid w:val="00505E86"/>
    <w:rsid w:val="00506A15"/>
    <w:rsid w:val="00506A60"/>
    <w:rsid w:val="00506B6F"/>
    <w:rsid w:val="00506E52"/>
    <w:rsid w:val="00507259"/>
    <w:rsid w:val="0050770B"/>
    <w:rsid w:val="00507E44"/>
    <w:rsid w:val="00507EFE"/>
    <w:rsid w:val="0051077F"/>
    <w:rsid w:val="005109E1"/>
    <w:rsid w:val="00510F37"/>
    <w:rsid w:val="005110DE"/>
    <w:rsid w:val="00511180"/>
    <w:rsid w:val="00511F60"/>
    <w:rsid w:val="00512631"/>
    <w:rsid w:val="00512AC7"/>
    <w:rsid w:val="00512C5A"/>
    <w:rsid w:val="00512ED2"/>
    <w:rsid w:val="00513314"/>
    <w:rsid w:val="00513DF0"/>
    <w:rsid w:val="00513F63"/>
    <w:rsid w:val="00514349"/>
    <w:rsid w:val="0051438E"/>
    <w:rsid w:val="00514700"/>
    <w:rsid w:val="00514786"/>
    <w:rsid w:val="005147F8"/>
    <w:rsid w:val="0051486C"/>
    <w:rsid w:val="00514E94"/>
    <w:rsid w:val="005150E5"/>
    <w:rsid w:val="0051518B"/>
    <w:rsid w:val="005153B6"/>
    <w:rsid w:val="005157E1"/>
    <w:rsid w:val="00515D44"/>
    <w:rsid w:val="00515EFD"/>
    <w:rsid w:val="00516973"/>
    <w:rsid w:val="005172E3"/>
    <w:rsid w:val="00517C75"/>
    <w:rsid w:val="00517DAC"/>
    <w:rsid w:val="00517E1B"/>
    <w:rsid w:val="005206A7"/>
    <w:rsid w:val="005208E3"/>
    <w:rsid w:val="005219A5"/>
    <w:rsid w:val="0052254A"/>
    <w:rsid w:val="0052294F"/>
    <w:rsid w:val="0052299C"/>
    <w:rsid w:val="005232B8"/>
    <w:rsid w:val="005235A1"/>
    <w:rsid w:val="00523612"/>
    <w:rsid w:val="005243F7"/>
    <w:rsid w:val="00525032"/>
    <w:rsid w:val="00525709"/>
    <w:rsid w:val="0052588F"/>
    <w:rsid w:val="00525CE5"/>
    <w:rsid w:val="005262A8"/>
    <w:rsid w:val="00526375"/>
    <w:rsid w:val="00526461"/>
    <w:rsid w:val="00526612"/>
    <w:rsid w:val="00526749"/>
    <w:rsid w:val="0052698F"/>
    <w:rsid w:val="00526A4E"/>
    <w:rsid w:val="00526C0D"/>
    <w:rsid w:val="00526FB3"/>
    <w:rsid w:val="0052721C"/>
    <w:rsid w:val="005276F4"/>
    <w:rsid w:val="00527726"/>
    <w:rsid w:val="00530463"/>
    <w:rsid w:val="00530721"/>
    <w:rsid w:val="005309C4"/>
    <w:rsid w:val="00530C8D"/>
    <w:rsid w:val="0053124E"/>
    <w:rsid w:val="0053165C"/>
    <w:rsid w:val="00531762"/>
    <w:rsid w:val="00531D4A"/>
    <w:rsid w:val="00531F0B"/>
    <w:rsid w:val="005329B5"/>
    <w:rsid w:val="00532FED"/>
    <w:rsid w:val="00533654"/>
    <w:rsid w:val="00533B40"/>
    <w:rsid w:val="00533EF2"/>
    <w:rsid w:val="0053431A"/>
    <w:rsid w:val="00534A50"/>
    <w:rsid w:val="00534DB3"/>
    <w:rsid w:val="00535686"/>
    <w:rsid w:val="00535EF3"/>
    <w:rsid w:val="0053628D"/>
    <w:rsid w:val="00536510"/>
    <w:rsid w:val="00536EDA"/>
    <w:rsid w:val="00537842"/>
    <w:rsid w:val="00537A1A"/>
    <w:rsid w:val="00537A9E"/>
    <w:rsid w:val="00540156"/>
    <w:rsid w:val="005402C0"/>
    <w:rsid w:val="00540D28"/>
    <w:rsid w:val="00540DAA"/>
    <w:rsid w:val="00540EFE"/>
    <w:rsid w:val="005423C6"/>
    <w:rsid w:val="005427C8"/>
    <w:rsid w:val="00542A77"/>
    <w:rsid w:val="00542A9F"/>
    <w:rsid w:val="00543451"/>
    <w:rsid w:val="0054382C"/>
    <w:rsid w:val="005441B4"/>
    <w:rsid w:val="00545BB0"/>
    <w:rsid w:val="0054671F"/>
    <w:rsid w:val="00546D02"/>
    <w:rsid w:val="00547180"/>
    <w:rsid w:val="00547295"/>
    <w:rsid w:val="005472AB"/>
    <w:rsid w:val="005474E7"/>
    <w:rsid w:val="00547542"/>
    <w:rsid w:val="005476C4"/>
    <w:rsid w:val="00547D41"/>
    <w:rsid w:val="0055078E"/>
    <w:rsid w:val="00550AE7"/>
    <w:rsid w:val="00550F48"/>
    <w:rsid w:val="005514DD"/>
    <w:rsid w:val="00551865"/>
    <w:rsid w:val="00551BF5"/>
    <w:rsid w:val="00552024"/>
    <w:rsid w:val="005525A4"/>
    <w:rsid w:val="00552631"/>
    <w:rsid w:val="00553C7A"/>
    <w:rsid w:val="0055409D"/>
    <w:rsid w:val="00554212"/>
    <w:rsid w:val="0055441B"/>
    <w:rsid w:val="00554A21"/>
    <w:rsid w:val="00554B46"/>
    <w:rsid w:val="00554FBE"/>
    <w:rsid w:val="00555EC9"/>
    <w:rsid w:val="0055617A"/>
    <w:rsid w:val="00556C90"/>
    <w:rsid w:val="00556D8C"/>
    <w:rsid w:val="005572BF"/>
    <w:rsid w:val="00557891"/>
    <w:rsid w:val="005578F9"/>
    <w:rsid w:val="00557C19"/>
    <w:rsid w:val="00560279"/>
    <w:rsid w:val="005603BB"/>
    <w:rsid w:val="00560A31"/>
    <w:rsid w:val="00560CEC"/>
    <w:rsid w:val="005612F5"/>
    <w:rsid w:val="00561DBE"/>
    <w:rsid w:val="00562DD8"/>
    <w:rsid w:val="00562EE7"/>
    <w:rsid w:val="00562F9D"/>
    <w:rsid w:val="00563470"/>
    <w:rsid w:val="0056361F"/>
    <w:rsid w:val="005639DF"/>
    <w:rsid w:val="00563B19"/>
    <w:rsid w:val="00563D38"/>
    <w:rsid w:val="00563D76"/>
    <w:rsid w:val="00564083"/>
    <w:rsid w:val="005641FB"/>
    <w:rsid w:val="0056518E"/>
    <w:rsid w:val="00565264"/>
    <w:rsid w:val="00565647"/>
    <w:rsid w:val="00565DF7"/>
    <w:rsid w:val="005661AC"/>
    <w:rsid w:val="00566252"/>
    <w:rsid w:val="00566315"/>
    <w:rsid w:val="00566BBB"/>
    <w:rsid w:val="00566D75"/>
    <w:rsid w:val="00567581"/>
    <w:rsid w:val="00567617"/>
    <w:rsid w:val="00567A7B"/>
    <w:rsid w:val="00567B89"/>
    <w:rsid w:val="00570247"/>
    <w:rsid w:val="00570952"/>
    <w:rsid w:val="00570A47"/>
    <w:rsid w:val="00570FD1"/>
    <w:rsid w:val="005712C6"/>
    <w:rsid w:val="005715B3"/>
    <w:rsid w:val="0057173F"/>
    <w:rsid w:val="00571CB5"/>
    <w:rsid w:val="00572622"/>
    <w:rsid w:val="005727DD"/>
    <w:rsid w:val="00572B79"/>
    <w:rsid w:val="005733B2"/>
    <w:rsid w:val="0057451B"/>
    <w:rsid w:val="00574924"/>
    <w:rsid w:val="00574DD5"/>
    <w:rsid w:val="00574F8B"/>
    <w:rsid w:val="00575273"/>
    <w:rsid w:val="00575405"/>
    <w:rsid w:val="00575E30"/>
    <w:rsid w:val="00575E9E"/>
    <w:rsid w:val="005769C1"/>
    <w:rsid w:val="00576F04"/>
    <w:rsid w:val="0057746C"/>
    <w:rsid w:val="00577484"/>
    <w:rsid w:val="00577AF6"/>
    <w:rsid w:val="00577C5A"/>
    <w:rsid w:val="00577CFA"/>
    <w:rsid w:val="00580974"/>
    <w:rsid w:val="00580ECC"/>
    <w:rsid w:val="00581BBE"/>
    <w:rsid w:val="00581F74"/>
    <w:rsid w:val="005822F4"/>
    <w:rsid w:val="00582ADE"/>
    <w:rsid w:val="00582DEF"/>
    <w:rsid w:val="0058318B"/>
    <w:rsid w:val="0058335B"/>
    <w:rsid w:val="005837A4"/>
    <w:rsid w:val="00583904"/>
    <w:rsid w:val="00583948"/>
    <w:rsid w:val="00583C6E"/>
    <w:rsid w:val="00583D27"/>
    <w:rsid w:val="00583D65"/>
    <w:rsid w:val="005841BD"/>
    <w:rsid w:val="0058422F"/>
    <w:rsid w:val="0058479D"/>
    <w:rsid w:val="00584A0F"/>
    <w:rsid w:val="005850C1"/>
    <w:rsid w:val="00585947"/>
    <w:rsid w:val="00585D59"/>
    <w:rsid w:val="00585EAA"/>
    <w:rsid w:val="00590241"/>
    <w:rsid w:val="00590AC8"/>
    <w:rsid w:val="0059116C"/>
    <w:rsid w:val="005911B8"/>
    <w:rsid w:val="00591D72"/>
    <w:rsid w:val="00593E06"/>
    <w:rsid w:val="005957A4"/>
    <w:rsid w:val="00596E66"/>
    <w:rsid w:val="0059701B"/>
    <w:rsid w:val="005970A6"/>
    <w:rsid w:val="00597F50"/>
    <w:rsid w:val="005A07E3"/>
    <w:rsid w:val="005A09C3"/>
    <w:rsid w:val="005A0F58"/>
    <w:rsid w:val="005A15E2"/>
    <w:rsid w:val="005A16FC"/>
    <w:rsid w:val="005A1EBC"/>
    <w:rsid w:val="005A209E"/>
    <w:rsid w:val="005A2924"/>
    <w:rsid w:val="005A3169"/>
    <w:rsid w:val="005A319E"/>
    <w:rsid w:val="005A3A83"/>
    <w:rsid w:val="005A3B8A"/>
    <w:rsid w:val="005A3F0B"/>
    <w:rsid w:val="005A3F8B"/>
    <w:rsid w:val="005A528C"/>
    <w:rsid w:val="005A53D2"/>
    <w:rsid w:val="005A5832"/>
    <w:rsid w:val="005A59D0"/>
    <w:rsid w:val="005A5B77"/>
    <w:rsid w:val="005A5C22"/>
    <w:rsid w:val="005A5FF0"/>
    <w:rsid w:val="005A63D5"/>
    <w:rsid w:val="005A696B"/>
    <w:rsid w:val="005A6CD4"/>
    <w:rsid w:val="005A6EB5"/>
    <w:rsid w:val="005A7525"/>
    <w:rsid w:val="005A7A0B"/>
    <w:rsid w:val="005A7A6B"/>
    <w:rsid w:val="005A7E7A"/>
    <w:rsid w:val="005B0795"/>
    <w:rsid w:val="005B1143"/>
    <w:rsid w:val="005B2800"/>
    <w:rsid w:val="005B28C4"/>
    <w:rsid w:val="005B2DF9"/>
    <w:rsid w:val="005B3419"/>
    <w:rsid w:val="005B3497"/>
    <w:rsid w:val="005B3526"/>
    <w:rsid w:val="005B3D57"/>
    <w:rsid w:val="005B41B3"/>
    <w:rsid w:val="005B4A2A"/>
    <w:rsid w:val="005B4DA3"/>
    <w:rsid w:val="005B556E"/>
    <w:rsid w:val="005B5803"/>
    <w:rsid w:val="005B5891"/>
    <w:rsid w:val="005B58DF"/>
    <w:rsid w:val="005B6323"/>
    <w:rsid w:val="005B63D0"/>
    <w:rsid w:val="005B656E"/>
    <w:rsid w:val="005B7050"/>
    <w:rsid w:val="005B7218"/>
    <w:rsid w:val="005B73F7"/>
    <w:rsid w:val="005B7858"/>
    <w:rsid w:val="005B7C71"/>
    <w:rsid w:val="005B7D8E"/>
    <w:rsid w:val="005C0624"/>
    <w:rsid w:val="005C06FA"/>
    <w:rsid w:val="005C0D9A"/>
    <w:rsid w:val="005C173E"/>
    <w:rsid w:val="005C1B9C"/>
    <w:rsid w:val="005C2181"/>
    <w:rsid w:val="005C29C5"/>
    <w:rsid w:val="005C35A0"/>
    <w:rsid w:val="005C35AB"/>
    <w:rsid w:val="005C3F9E"/>
    <w:rsid w:val="005C4A7F"/>
    <w:rsid w:val="005C4EBE"/>
    <w:rsid w:val="005C506A"/>
    <w:rsid w:val="005C5099"/>
    <w:rsid w:val="005C50BE"/>
    <w:rsid w:val="005C5161"/>
    <w:rsid w:val="005C54B9"/>
    <w:rsid w:val="005C5576"/>
    <w:rsid w:val="005C559F"/>
    <w:rsid w:val="005C5A01"/>
    <w:rsid w:val="005C5EB6"/>
    <w:rsid w:val="005C5FAF"/>
    <w:rsid w:val="005C6069"/>
    <w:rsid w:val="005C624A"/>
    <w:rsid w:val="005C686B"/>
    <w:rsid w:val="005C6E1E"/>
    <w:rsid w:val="005C6E75"/>
    <w:rsid w:val="005C724A"/>
    <w:rsid w:val="005C783F"/>
    <w:rsid w:val="005C7E87"/>
    <w:rsid w:val="005D0528"/>
    <w:rsid w:val="005D0750"/>
    <w:rsid w:val="005D09ED"/>
    <w:rsid w:val="005D0B42"/>
    <w:rsid w:val="005D14BE"/>
    <w:rsid w:val="005D1508"/>
    <w:rsid w:val="005D164E"/>
    <w:rsid w:val="005D17B1"/>
    <w:rsid w:val="005D1B61"/>
    <w:rsid w:val="005D1E5A"/>
    <w:rsid w:val="005D2424"/>
    <w:rsid w:val="005D2546"/>
    <w:rsid w:val="005D2928"/>
    <w:rsid w:val="005D2C25"/>
    <w:rsid w:val="005D2C99"/>
    <w:rsid w:val="005D311D"/>
    <w:rsid w:val="005D36B1"/>
    <w:rsid w:val="005D36B9"/>
    <w:rsid w:val="005D3AF5"/>
    <w:rsid w:val="005D3EF4"/>
    <w:rsid w:val="005D422E"/>
    <w:rsid w:val="005D4CA2"/>
    <w:rsid w:val="005D58AC"/>
    <w:rsid w:val="005D65E4"/>
    <w:rsid w:val="005D6B52"/>
    <w:rsid w:val="005D70C0"/>
    <w:rsid w:val="005D7740"/>
    <w:rsid w:val="005D7844"/>
    <w:rsid w:val="005D7939"/>
    <w:rsid w:val="005E02D0"/>
    <w:rsid w:val="005E051D"/>
    <w:rsid w:val="005E0D97"/>
    <w:rsid w:val="005E0F9E"/>
    <w:rsid w:val="005E2632"/>
    <w:rsid w:val="005E2A8C"/>
    <w:rsid w:val="005E2CC5"/>
    <w:rsid w:val="005E3065"/>
    <w:rsid w:val="005E322A"/>
    <w:rsid w:val="005E37D6"/>
    <w:rsid w:val="005E4042"/>
    <w:rsid w:val="005E40B4"/>
    <w:rsid w:val="005E4527"/>
    <w:rsid w:val="005E4659"/>
    <w:rsid w:val="005E5AD4"/>
    <w:rsid w:val="005E5E48"/>
    <w:rsid w:val="005E735C"/>
    <w:rsid w:val="005E79EF"/>
    <w:rsid w:val="005F01C0"/>
    <w:rsid w:val="005F03EE"/>
    <w:rsid w:val="005F0686"/>
    <w:rsid w:val="005F093D"/>
    <w:rsid w:val="005F097F"/>
    <w:rsid w:val="005F0E55"/>
    <w:rsid w:val="005F13DB"/>
    <w:rsid w:val="005F226A"/>
    <w:rsid w:val="005F26E8"/>
    <w:rsid w:val="005F279D"/>
    <w:rsid w:val="005F3915"/>
    <w:rsid w:val="005F3DAE"/>
    <w:rsid w:val="005F3F20"/>
    <w:rsid w:val="005F3FEB"/>
    <w:rsid w:val="005F40EF"/>
    <w:rsid w:val="005F4601"/>
    <w:rsid w:val="005F464E"/>
    <w:rsid w:val="005F48F3"/>
    <w:rsid w:val="005F4AA6"/>
    <w:rsid w:val="005F4B76"/>
    <w:rsid w:val="005F514B"/>
    <w:rsid w:val="005F516C"/>
    <w:rsid w:val="005F5C4A"/>
    <w:rsid w:val="005F6468"/>
    <w:rsid w:val="005F65A4"/>
    <w:rsid w:val="005F65BC"/>
    <w:rsid w:val="005F6C4D"/>
    <w:rsid w:val="005F77C2"/>
    <w:rsid w:val="00600646"/>
    <w:rsid w:val="00600728"/>
    <w:rsid w:val="0060079E"/>
    <w:rsid w:val="00600A34"/>
    <w:rsid w:val="00600AEB"/>
    <w:rsid w:val="00601307"/>
    <w:rsid w:val="0060175E"/>
    <w:rsid w:val="006019EF"/>
    <w:rsid w:val="00601A83"/>
    <w:rsid w:val="00601F0F"/>
    <w:rsid w:val="00602D31"/>
    <w:rsid w:val="00602E9B"/>
    <w:rsid w:val="00603257"/>
    <w:rsid w:val="00603B06"/>
    <w:rsid w:val="00604538"/>
    <w:rsid w:val="0060458C"/>
    <w:rsid w:val="0060525A"/>
    <w:rsid w:val="0060619A"/>
    <w:rsid w:val="00606720"/>
    <w:rsid w:val="00606DEB"/>
    <w:rsid w:val="006070D6"/>
    <w:rsid w:val="0060746B"/>
    <w:rsid w:val="006103C2"/>
    <w:rsid w:val="006109AA"/>
    <w:rsid w:val="00610A16"/>
    <w:rsid w:val="00610DAE"/>
    <w:rsid w:val="00610E1E"/>
    <w:rsid w:val="0061113D"/>
    <w:rsid w:val="006114B9"/>
    <w:rsid w:val="00612742"/>
    <w:rsid w:val="0061328B"/>
    <w:rsid w:val="00613587"/>
    <w:rsid w:val="0061381D"/>
    <w:rsid w:val="00613BF7"/>
    <w:rsid w:val="00613FAB"/>
    <w:rsid w:val="0061419F"/>
    <w:rsid w:val="00614619"/>
    <w:rsid w:val="00614865"/>
    <w:rsid w:val="00614B17"/>
    <w:rsid w:val="00614CED"/>
    <w:rsid w:val="00615445"/>
    <w:rsid w:val="00615556"/>
    <w:rsid w:val="006155F1"/>
    <w:rsid w:val="00615A87"/>
    <w:rsid w:val="00615D37"/>
    <w:rsid w:val="006166A1"/>
    <w:rsid w:val="00616B4D"/>
    <w:rsid w:val="006179C4"/>
    <w:rsid w:val="00617EC9"/>
    <w:rsid w:val="006204E2"/>
    <w:rsid w:val="006206C9"/>
    <w:rsid w:val="0062077F"/>
    <w:rsid w:val="00620839"/>
    <w:rsid w:val="00620A79"/>
    <w:rsid w:val="00620B5C"/>
    <w:rsid w:val="00620CC5"/>
    <w:rsid w:val="00620D0D"/>
    <w:rsid w:val="00621031"/>
    <w:rsid w:val="00621BA8"/>
    <w:rsid w:val="00621CB4"/>
    <w:rsid w:val="00621E3F"/>
    <w:rsid w:val="006230E3"/>
    <w:rsid w:val="0062380E"/>
    <w:rsid w:val="006238DA"/>
    <w:rsid w:val="00623AA7"/>
    <w:rsid w:val="006243DC"/>
    <w:rsid w:val="00624FB7"/>
    <w:rsid w:val="00625095"/>
    <w:rsid w:val="0062522F"/>
    <w:rsid w:val="006254F3"/>
    <w:rsid w:val="00625C09"/>
    <w:rsid w:val="00626976"/>
    <w:rsid w:val="00626D9F"/>
    <w:rsid w:val="0062721A"/>
    <w:rsid w:val="0062762A"/>
    <w:rsid w:val="0062793A"/>
    <w:rsid w:val="00627ADA"/>
    <w:rsid w:val="00627DFA"/>
    <w:rsid w:val="00627E79"/>
    <w:rsid w:val="00630DB3"/>
    <w:rsid w:val="00631A2B"/>
    <w:rsid w:val="00632A05"/>
    <w:rsid w:val="00632A9E"/>
    <w:rsid w:val="00632E76"/>
    <w:rsid w:val="00633169"/>
    <w:rsid w:val="0063330E"/>
    <w:rsid w:val="0063338D"/>
    <w:rsid w:val="00633C6E"/>
    <w:rsid w:val="00634110"/>
    <w:rsid w:val="0063412F"/>
    <w:rsid w:val="006344C3"/>
    <w:rsid w:val="0063455B"/>
    <w:rsid w:val="0063485D"/>
    <w:rsid w:val="00634F4B"/>
    <w:rsid w:val="006350AA"/>
    <w:rsid w:val="006350AC"/>
    <w:rsid w:val="006358FA"/>
    <w:rsid w:val="006359B2"/>
    <w:rsid w:val="00635DE8"/>
    <w:rsid w:val="00636166"/>
    <w:rsid w:val="00636AB7"/>
    <w:rsid w:val="006378E5"/>
    <w:rsid w:val="00637E0B"/>
    <w:rsid w:val="00640206"/>
    <w:rsid w:val="0064037A"/>
    <w:rsid w:val="00640470"/>
    <w:rsid w:val="00640ECA"/>
    <w:rsid w:val="006422D2"/>
    <w:rsid w:val="006427FF"/>
    <w:rsid w:val="0064311C"/>
    <w:rsid w:val="00643149"/>
    <w:rsid w:val="006431AC"/>
    <w:rsid w:val="00643778"/>
    <w:rsid w:val="00643CCF"/>
    <w:rsid w:val="00643CD4"/>
    <w:rsid w:val="006440B1"/>
    <w:rsid w:val="0064418F"/>
    <w:rsid w:val="00644B7D"/>
    <w:rsid w:val="006450C3"/>
    <w:rsid w:val="0064516E"/>
    <w:rsid w:val="00645243"/>
    <w:rsid w:val="006452D8"/>
    <w:rsid w:val="0064555C"/>
    <w:rsid w:val="00645D90"/>
    <w:rsid w:val="006460D8"/>
    <w:rsid w:val="00646472"/>
    <w:rsid w:val="0064687E"/>
    <w:rsid w:val="00646BCB"/>
    <w:rsid w:val="00646C65"/>
    <w:rsid w:val="006471C9"/>
    <w:rsid w:val="006475E9"/>
    <w:rsid w:val="00647B32"/>
    <w:rsid w:val="00647B60"/>
    <w:rsid w:val="00650B4A"/>
    <w:rsid w:val="0065176A"/>
    <w:rsid w:val="006521F0"/>
    <w:rsid w:val="00652479"/>
    <w:rsid w:val="00652AF4"/>
    <w:rsid w:val="0065322E"/>
    <w:rsid w:val="006533BE"/>
    <w:rsid w:val="0065352B"/>
    <w:rsid w:val="00653872"/>
    <w:rsid w:val="00653FAC"/>
    <w:rsid w:val="0065459A"/>
    <w:rsid w:val="0065527C"/>
    <w:rsid w:val="00655948"/>
    <w:rsid w:val="00655AFE"/>
    <w:rsid w:val="00655DC5"/>
    <w:rsid w:val="00656094"/>
    <w:rsid w:val="006571C2"/>
    <w:rsid w:val="00657D18"/>
    <w:rsid w:val="00657DAE"/>
    <w:rsid w:val="00657E14"/>
    <w:rsid w:val="00657F47"/>
    <w:rsid w:val="00660048"/>
    <w:rsid w:val="00660B21"/>
    <w:rsid w:val="00660EEA"/>
    <w:rsid w:val="006616DF"/>
    <w:rsid w:val="00661ADA"/>
    <w:rsid w:val="00661B82"/>
    <w:rsid w:val="00661F3D"/>
    <w:rsid w:val="00661FE1"/>
    <w:rsid w:val="006622A5"/>
    <w:rsid w:val="0066271B"/>
    <w:rsid w:val="00662F78"/>
    <w:rsid w:val="00663041"/>
    <w:rsid w:val="006633B4"/>
    <w:rsid w:val="006637B8"/>
    <w:rsid w:val="006637BA"/>
    <w:rsid w:val="006637C2"/>
    <w:rsid w:val="006639F8"/>
    <w:rsid w:val="00663FA5"/>
    <w:rsid w:val="00664516"/>
    <w:rsid w:val="00664744"/>
    <w:rsid w:val="00665103"/>
    <w:rsid w:val="0066532D"/>
    <w:rsid w:val="0066585C"/>
    <w:rsid w:val="0066632F"/>
    <w:rsid w:val="006665E1"/>
    <w:rsid w:val="00666765"/>
    <w:rsid w:val="006667C0"/>
    <w:rsid w:val="00667224"/>
    <w:rsid w:val="0066725E"/>
    <w:rsid w:val="0066731A"/>
    <w:rsid w:val="00667613"/>
    <w:rsid w:val="006679A6"/>
    <w:rsid w:val="00670662"/>
    <w:rsid w:val="00670812"/>
    <w:rsid w:val="00670B50"/>
    <w:rsid w:val="00670D18"/>
    <w:rsid w:val="00671681"/>
    <w:rsid w:val="00671693"/>
    <w:rsid w:val="00671925"/>
    <w:rsid w:val="00671949"/>
    <w:rsid w:val="00671DB7"/>
    <w:rsid w:val="006722CE"/>
    <w:rsid w:val="00672326"/>
    <w:rsid w:val="00672606"/>
    <w:rsid w:val="00672C77"/>
    <w:rsid w:val="00672F2F"/>
    <w:rsid w:val="006732C8"/>
    <w:rsid w:val="006735B4"/>
    <w:rsid w:val="00673CBF"/>
    <w:rsid w:val="00673E75"/>
    <w:rsid w:val="00674003"/>
    <w:rsid w:val="00674269"/>
    <w:rsid w:val="00674A6F"/>
    <w:rsid w:val="0067501D"/>
    <w:rsid w:val="006756A5"/>
    <w:rsid w:val="00675BCC"/>
    <w:rsid w:val="00675E5A"/>
    <w:rsid w:val="00675F16"/>
    <w:rsid w:val="00676164"/>
    <w:rsid w:val="006767A0"/>
    <w:rsid w:val="006767AE"/>
    <w:rsid w:val="006769EE"/>
    <w:rsid w:val="00676B39"/>
    <w:rsid w:val="006778BE"/>
    <w:rsid w:val="00677C2F"/>
    <w:rsid w:val="00680BA5"/>
    <w:rsid w:val="00680C30"/>
    <w:rsid w:val="00680C86"/>
    <w:rsid w:val="0068125A"/>
    <w:rsid w:val="00681773"/>
    <w:rsid w:val="00681A26"/>
    <w:rsid w:val="00681B4C"/>
    <w:rsid w:val="00681D39"/>
    <w:rsid w:val="00681E45"/>
    <w:rsid w:val="00681E80"/>
    <w:rsid w:val="00682053"/>
    <w:rsid w:val="00682085"/>
    <w:rsid w:val="00682233"/>
    <w:rsid w:val="006825E7"/>
    <w:rsid w:val="00682849"/>
    <w:rsid w:val="00682BCC"/>
    <w:rsid w:val="00682DEF"/>
    <w:rsid w:val="006832A7"/>
    <w:rsid w:val="0068341F"/>
    <w:rsid w:val="00683BE0"/>
    <w:rsid w:val="00683DA8"/>
    <w:rsid w:val="00683DF5"/>
    <w:rsid w:val="00683FD6"/>
    <w:rsid w:val="00685627"/>
    <w:rsid w:val="00685A84"/>
    <w:rsid w:val="00685EA8"/>
    <w:rsid w:val="00685FB6"/>
    <w:rsid w:val="0068712A"/>
    <w:rsid w:val="0068712E"/>
    <w:rsid w:val="006879AA"/>
    <w:rsid w:val="00687A30"/>
    <w:rsid w:val="00687A9B"/>
    <w:rsid w:val="00690E64"/>
    <w:rsid w:val="006915EE"/>
    <w:rsid w:val="0069161A"/>
    <w:rsid w:val="00691AFE"/>
    <w:rsid w:val="00692D2D"/>
    <w:rsid w:val="00693262"/>
    <w:rsid w:val="0069396C"/>
    <w:rsid w:val="00693B3B"/>
    <w:rsid w:val="00693BFC"/>
    <w:rsid w:val="00693C8C"/>
    <w:rsid w:val="00694073"/>
    <w:rsid w:val="00694574"/>
    <w:rsid w:val="0069533F"/>
    <w:rsid w:val="00695720"/>
    <w:rsid w:val="006957C0"/>
    <w:rsid w:val="00695F48"/>
    <w:rsid w:val="00696158"/>
    <w:rsid w:val="00696AF0"/>
    <w:rsid w:val="006972F0"/>
    <w:rsid w:val="00697391"/>
    <w:rsid w:val="0069756F"/>
    <w:rsid w:val="00697BF5"/>
    <w:rsid w:val="006A0096"/>
    <w:rsid w:val="006A066A"/>
    <w:rsid w:val="006A0680"/>
    <w:rsid w:val="006A07AF"/>
    <w:rsid w:val="006A092A"/>
    <w:rsid w:val="006A0BDD"/>
    <w:rsid w:val="006A11E8"/>
    <w:rsid w:val="006A12EE"/>
    <w:rsid w:val="006A1A48"/>
    <w:rsid w:val="006A1D0E"/>
    <w:rsid w:val="006A2386"/>
    <w:rsid w:val="006A240F"/>
    <w:rsid w:val="006A25D8"/>
    <w:rsid w:val="006A296B"/>
    <w:rsid w:val="006A2A91"/>
    <w:rsid w:val="006A2C19"/>
    <w:rsid w:val="006A2F3A"/>
    <w:rsid w:val="006A3483"/>
    <w:rsid w:val="006A37D4"/>
    <w:rsid w:val="006A387E"/>
    <w:rsid w:val="006A3F6B"/>
    <w:rsid w:val="006A4078"/>
    <w:rsid w:val="006A5267"/>
    <w:rsid w:val="006A5790"/>
    <w:rsid w:val="006A5D34"/>
    <w:rsid w:val="006A5DB5"/>
    <w:rsid w:val="006A5E3E"/>
    <w:rsid w:val="006A635C"/>
    <w:rsid w:val="006A63D8"/>
    <w:rsid w:val="006A6553"/>
    <w:rsid w:val="006A6668"/>
    <w:rsid w:val="006A6D57"/>
    <w:rsid w:val="006A6EEA"/>
    <w:rsid w:val="006A6F7F"/>
    <w:rsid w:val="006A7542"/>
    <w:rsid w:val="006A7AFC"/>
    <w:rsid w:val="006B010C"/>
    <w:rsid w:val="006B05A7"/>
    <w:rsid w:val="006B0ABA"/>
    <w:rsid w:val="006B0FA8"/>
    <w:rsid w:val="006B1281"/>
    <w:rsid w:val="006B1401"/>
    <w:rsid w:val="006B144A"/>
    <w:rsid w:val="006B167B"/>
    <w:rsid w:val="006B1688"/>
    <w:rsid w:val="006B1A70"/>
    <w:rsid w:val="006B1A86"/>
    <w:rsid w:val="006B28BF"/>
    <w:rsid w:val="006B28FB"/>
    <w:rsid w:val="006B2B74"/>
    <w:rsid w:val="006B3118"/>
    <w:rsid w:val="006B3A3F"/>
    <w:rsid w:val="006B44AD"/>
    <w:rsid w:val="006B4D30"/>
    <w:rsid w:val="006B52F0"/>
    <w:rsid w:val="006B55A7"/>
    <w:rsid w:val="006B58E0"/>
    <w:rsid w:val="006B599B"/>
    <w:rsid w:val="006B5C04"/>
    <w:rsid w:val="006B63E2"/>
    <w:rsid w:val="006B753A"/>
    <w:rsid w:val="006B7E7B"/>
    <w:rsid w:val="006C03C2"/>
    <w:rsid w:val="006C0999"/>
    <w:rsid w:val="006C11AC"/>
    <w:rsid w:val="006C1529"/>
    <w:rsid w:val="006C160C"/>
    <w:rsid w:val="006C1623"/>
    <w:rsid w:val="006C2DA2"/>
    <w:rsid w:val="006C2E87"/>
    <w:rsid w:val="006C35C0"/>
    <w:rsid w:val="006C3768"/>
    <w:rsid w:val="006C390E"/>
    <w:rsid w:val="006C4079"/>
    <w:rsid w:val="006C479D"/>
    <w:rsid w:val="006C57FE"/>
    <w:rsid w:val="006C58E9"/>
    <w:rsid w:val="006C599D"/>
    <w:rsid w:val="006C5FEF"/>
    <w:rsid w:val="006C6231"/>
    <w:rsid w:val="006C6E30"/>
    <w:rsid w:val="006C72C7"/>
    <w:rsid w:val="006C7627"/>
    <w:rsid w:val="006C76BB"/>
    <w:rsid w:val="006C7760"/>
    <w:rsid w:val="006C7C18"/>
    <w:rsid w:val="006C7F21"/>
    <w:rsid w:val="006D0522"/>
    <w:rsid w:val="006D05C4"/>
    <w:rsid w:val="006D0AD8"/>
    <w:rsid w:val="006D0B83"/>
    <w:rsid w:val="006D1361"/>
    <w:rsid w:val="006D19B4"/>
    <w:rsid w:val="006D1B1C"/>
    <w:rsid w:val="006D21E4"/>
    <w:rsid w:val="006D24C5"/>
    <w:rsid w:val="006D29A2"/>
    <w:rsid w:val="006D2B5B"/>
    <w:rsid w:val="006D2BCF"/>
    <w:rsid w:val="006D389E"/>
    <w:rsid w:val="006D3A10"/>
    <w:rsid w:val="006D3F3C"/>
    <w:rsid w:val="006D4037"/>
    <w:rsid w:val="006D48F8"/>
    <w:rsid w:val="006D4B9A"/>
    <w:rsid w:val="006D4E4D"/>
    <w:rsid w:val="006D52BA"/>
    <w:rsid w:val="006D5842"/>
    <w:rsid w:val="006D5D0F"/>
    <w:rsid w:val="006D5E06"/>
    <w:rsid w:val="006D6610"/>
    <w:rsid w:val="006D67FA"/>
    <w:rsid w:val="006D6F04"/>
    <w:rsid w:val="006D7230"/>
    <w:rsid w:val="006D7583"/>
    <w:rsid w:val="006D76DC"/>
    <w:rsid w:val="006E0113"/>
    <w:rsid w:val="006E01A4"/>
    <w:rsid w:val="006E038E"/>
    <w:rsid w:val="006E0AE4"/>
    <w:rsid w:val="006E0B4E"/>
    <w:rsid w:val="006E12CF"/>
    <w:rsid w:val="006E1373"/>
    <w:rsid w:val="006E18E1"/>
    <w:rsid w:val="006E205A"/>
    <w:rsid w:val="006E210A"/>
    <w:rsid w:val="006E2163"/>
    <w:rsid w:val="006E264D"/>
    <w:rsid w:val="006E28FE"/>
    <w:rsid w:val="006E2925"/>
    <w:rsid w:val="006E2AAA"/>
    <w:rsid w:val="006E2BDC"/>
    <w:rsid w:val="006E2C05"/>
    <w:rsid w:val="006E2F94"/>
    <w:rsid w:val="006E377B"/>
    <w:rsid w:val="006E3D20"/>
    <w:rsid w:val="006E3D34"/>
    <w:rsid w:val="006E4405"/>
    <w:rsid w:val="006E4577"/>
    <w:rsid w:val="006E5492"/>
    <w:rsid w:val="006E5509"/>
    <w:rsid w:val="006E613A"/>
    <w:rsid w:val="006E6208"/>
    <w:rsid w:val="006E6C03"/>
    <w:rsid w:val="006E7CE6"/>
    <w:rsid w:val="006E7E1F"/>
    <w:rsid w:val="006F02BB"/>
    <w:rsid w:val="006F06C4"/>
    <w:rsid w:val="006F08BF"/>
    <w:rsid w:val="006F0ABF"/>
    <w:rsid w:val="006F1495"/>
    <w:rsid w:val="006F16AF"/>
    <w:rsid w:val="006F28BB"/>
    <w:rsid w:val="006F3019"/>
    <w:rsid w:val="006F329C"/>
    <w:rsid w:val="006F3A8B"/>
    <w:rsid w:val="006F3E3D"/>
    <w:rsid w:val="006F406E"/>
    <w:rsid w:val="006F4095"/>
    <w:rsid w:val="006F4500"/>
    <w:rsid w:val="006F4644"/>
    <w:rsid w:val="006F4DC8"/>
    <w:rsid w:val="006F504A"/>
    <w:rsid w:val="006F5687"/>
    <w:rsid w:val="006F5F49"/>
    <w:rsid w:val="006F629C"/>
    <w:rsid w:val="006F6704"/>
    <w:rsid w:val="006F6AE3"/>
    <w:rsid w:val="006F6C6C"/>
    <w:rsid w:val="006F7165"/>
    <w:rsid w:val="006F7634"/>
    <w:rsid w:val="006F7653"/>
    <w:rsid w:val="006F7CDD"/>
    <w:rsid w:val="007000F7"/>
    <w:rsid w:val="007003E4"/>
    <w:rsid w:val="00700614"/>
    <w:rsid w:val="00701411"/>
    <w:rsid w:val="007023E1"/>
    <w:rsid w:val="0070408C"/>
    <w:rsid w:val="007042D1"/>
    <w:rsid w:val="00704A5E"/>
    <w:rsid w:val="00704B94"/>
    <w:rsid w:val="00705192"/>
    <w:rsid w:val="007051E9"/>
    <w:rsid w:val="00705506"/>
    <w:rsid w:val="007076C6"/>
    <w:rsid w:val="007101A4"/>
    <w:rsid w:val="007104A2"/>
    <w:rsid w:val="0071069C"/>
    <w:rsid w:val="00711282"/>
    <w:rsid w:val="00711840"/>
    <w:rsid w:val="0071195B"/>
    <w:rsid w:val="00711A5C"/>
    <w:rsid w:val="00711B3B"/>
    <w:rsid w:val="00711EF0"/>
    <w:rsid w:val="00711F60"/>
    <w:rsid w:val="007128FB"/>
    <w:rsid w:val="00712B79"/>
    <w:rsid w:val="007134FA"/>
    <w:rsid w:val="0071360F"/>
    <w:rsid w:val="00713FF9"/>
    <w:rsid w:val="00714067"/>
    <w:rsid w:val="0071407D"/>
    <w:rsid w:val="00714AA9"/>
    <w:rsid w:val="00714D52"/>
    <w:rsid w:val="00714E72"/>
    <w:rsid w:val="007154E7"/>
    <w:rsid w:val="007159FC"/>
    <w:rsid w:val="00715A2F"/>
    <w:rsid w:val="00715B3E"/>
    <w:rsid w:val="00715E66"/>
    <w:rsid w:val="0071677B"/>
    <w:rsid w:val="00717387"/>
    <w:rsid w:val="00717AB0"/>
    <w:rsid w:val="00717AB2"/>
    <w:rsid w:val="00717B43"/>
    <w:rsid w:val="00717D05"/>
    <w:rsid w:val="00717DE8"/>
    <w:rsid w:val="00717EA1"/>
    <w:rsid w:val="00717EAC"/>
    <w:rsid w:val="007204A7"/>
    <w:rsid w:val="00720A58"/>
    <w:rsid w:val="00720A86"/>
    <w:rsid w:val="00720C36"/>
    <w:rsid w:val="00720E2C"/>
    <w:rsid w:val="0072114D"/>
    <w:rsid w:val="00721910"/>
    <w:rsid w:val="00722D7A"/>
    <w:rsid w:val="00722FC7"/>
    <w:rsid w:val="00723124"/>
    <w:rsid w:val="0072364C"/>
    <w:rsid w:val="007236E8"/>
    <w:rsid w:val="00724307"/>
    <w:rsid w:val="0072438B"/>
    <w:rsid w:val="00724408"/>
    <w:rsid w:val="007249E2"/>
    <w:rsid w:val="00724AD2"/>
    <w:rsid w:val="00724BBF"/>
    <w:rsid w:val="00726037"/>
    <w:rsid w:val="0072688D"/>
    <w:rsid w:val="00726895"/>
    <w:rsid w:val="00726D53"/>
    <w:rsid w:val="0072775A"/>
    <w:rsid w:val="00727810"/>
    <w:rsid w:val="00727A31"/>
    <w:rsid w:val="0073080F"/>
    <w:rsid w:val="00730A1D"/>
    <w:rsid w:val="00730B04"/>
    <w:rsid w:val="00730C5A"/>
    <w:rsid w:val="00730CB7"/>
    <w:rsid w:val="00730CE1"/>
    <w:rsid w:val="007315A1"/>
    <w:rsid w:val="00731F45"/>
    <w:rsid w:val="00732003"/>
    <w:rsid w:val="0073204E"/>
    <w:rsid w:val="007325C7"/>
    <w:rsid w:val="00733211"/>
    <w:rsid w:val="00733935"/>
    <w:rsid w:val="00733D1E"/>
    <w:rsid w:val="00734224"/>
    <w:rsid w:val="00734596"/>
    <w:rsid w:val="00735055"/>
    <w:rsid w:val="0073509B"/>
    <w:rsid w:val="0073597E"/>
    <w:rsid w:val="00735DDA"/>
    <w:rsid w:val="00736D0A"/>
    <w:rsid w:val="00737172"/>
    <w:rsid w:val="007373BD"/>
    <w:rsid w:val="0073783B"/>
    <w:rsid w:val="00737A9E"/>
    <w:rsid w:val="00740685"/>
    <w:rsid w:val="00740706"/>
    <w:rsid w:val="00740A59"/>
    <w:rsid w:val="00740BCB"/>
    <w:rsid w:val="00740D0C"/>
    <w:rsid w:val="00740FEF"/>
    <w:rsid w:val="00741123"/>
    <w:rsid w:val="00741A86"/>
    <w:rsid w:val="00742042"/>
    <w:rsid w:val="00742100"/>
    <w:rsid w:val="007425B1"/>
    <w:rsid w:val="0074278E"/>
    <w:rsid w:val="00742B40"/>
    <w:rsid w:val="00742C07"/>
    <w:rsid w:val="00742D90"/>
    <w:rsid w:val="00743527"/>
    <w:rsid w:val="007440BE"/>
    <w:rsid w:val="007449E1"/>
    <w:rsid w:val="00744D45"/>
    <w:rsid w:val="00745222"/>
    <w:rsid w:val="007452F8"/>
    <w:rsid w:val="007454C4"/>
    <w:rsid w:val="00746597"/>
    <w:rsid w:val="007468DB"/>
    <w:rsid w:val="00746E07"/>
    <w:rsid w:val="00746F98"/>
    <w:rsid w:val="00746F9F"/>
    <w:rsid w:val="007476C5"/>
    <w:rsid w:val="00747958"/>
    <w:rsid w:val="0075062E"/>
    <w:rsid w:val="0075101B"/>
    <w:rsid w:val="007513D5"/>
    <w:rsid w:val="0075145A"/>
    <w:rsid w:val="00751A80"/>
    <w:rsid w:val="00751A8B"/>
    <w:rsid w:val="0075265B"/>
    <w:rsid w:val="00752669"/>
    <w:rsid w:val="00753144"/>
    <w:rsid w:val="00753A7F"/>
    <w:rsid w:val="00753AE0"/>
    <w:rsid w:val="007545A4"/>
    <w:rsid w:val="007546B8"/>
    <w:rsid w:val="00755057"/>
    <w:rsid w:val="0075599B"/>
    <w:rsid w:val="00756120"/>
    <w:rsid w:val="00756D8F"/>
    <w:rsid w:val="00756E46"/>
    <w:rsid w:val="007570A8"/>
    <w:rsid w:val="007574F9"/>
    <w:rsid w:val="00757FBA"/>
    <w:rsid w:val="00760526"/>
    <w:rsid w:val="0076089F"/>
    <w:rsid w:val="007620DE"/>
    <w:rsid w:val="0076257B"/>
    <w:rsid w:val="0076264F"/>
    <w:rsid w:val="00762904"/>
    <w:rsid w:val="00762EFA"/>
    <w:rsid w:val="0076388B"/>
    <w:rsid w:val="00763AAA"/>
    <w:rsid w:val="00763B5F"/>
    <w:rsid w:val="00763F6C"/>
    <w:rsid w:val="00763FD0"/>
    <w:rsid w:val="0076429C"/>
    <w:rsid w:val="00764DB5"/>
    <w:rsid w:val="007656C9"/>
    <w:rsid w:val="007656F6"/>
    <w:rsid w:val="0076574E"/>
    <w:rsid w:val="007657DA"/>
    <w:rsid w:val="00765E34"/>
    <w:rsid w:val="007660E4"/>
    <w:rsid w:val="007662FE"/>
    <w:rsid w:val="00766551"/>
    <w:rsid w:val="0076670F"/>
    <w:rsid w:val="00767C12"/>
    <w:rsid w:val="007701BF"/>
    <w:rsid w:val="0077040C"/>
    <w:rsid w:val="007705D1"/>
    <w:rsid w:val="00771734"/>
    <w:rsid w:val="0077275D"/>
    <w:rsid w:val="007728D3"/>
    <w:rsid w:val="00772DCD"/>
    <w:rsid w:val="00772E1D"/>
    <w:rsid w:val="007730AA"/>
    <w:rsid w:val="0077327B"/>
    <w:rsid w:val="0077345C"/>
    <w:rsid w:val="0077355D"/>
    <w:rsid w:val="00773D5E"/>
    <w:rsid w:val="00773EF8"/>
    <w:rsid w:val="00773F1D"/>
    <w:rsid w:val="00774781"/>
    <w:rsid w:val="007749D1"/>
    <w:rsid w:val="00775330"/>
    <w:rsid w:val="007753E1"/>
    <w:rsid w:val="007762E3"/>
    <w:rsid w:val="007762E5"/>
    <w:rsid w:val="00776560"/>
    <w:rsid w:val="0077672E"/>
    <w:rsid w:val="0077683C"/>
    <w:rsid w:val="00776CD8"/>
    <w:rsid w:val="00776CF0"/>
    <w:rsid w:val="00776D17"/>
    <w:rsid w:val="00777061"/>
    <w:rsid w:val="007771B6"/>
    <w:rsid w:val="00777AB7"/>
    <w:rsid w:val="00780369"/>
    <w:rsid w:val="007805F6"/>
    <w:rsid w:val="0078078C"/>
    <w:rsid w:val="0078139C"/>
    <w:rsid w:val="007814FE"/>
    <w:rsid w:val="0078263C"/>
    <w:rsid w:val="00783594"/>
    <w:rsid w:val="007836B0"/>
    <w:rsid w:val="00783E29"/>
    <w:rsid w:val="00783F5A"/>
    <w:rsid w:val="00784802"/>
    <w:rsid w:val="0078530B"/>
    <w:rsid w:val="00785394"/>
    <w:rsid w:val="00785686"/>
    <w:rsid w:val="00785828"/>
    <w:rsid w:val="00785ABE"/>
    <w:rsid w:val="00785C42"/>
    <w:rsid w:val="00785E93"/>
    <w:rsid w:val="00786462"/>
    <w:rsid w:val="0078695B"/>
    <w:rsid w:val="0078718A"/>
    <w:rsid w:val="00787739"/>
    <w:rsid w:val="00787BD8"/>
    <w:rsid w:val="0079061F"/>
    <w:rsid w:val="00790F21"/>
    <w:rsid w:val="00790F49"/>
    <w:rsid w:val="00790FBA"/>
    <w:rsid w:val="0079172E"/>
    <w:rsid w:val="00791D3F"/>
    <w:rsid w:val="00791E4C"/>
    <w:rsid w:val="00792095"/>
    <w:rsid w:val="007921A2"/>
    <w:rsid w:val="00792590"/>
    <w:rsid w:val="00792EB5"/>
    <w:rsid w:val="00793099"/>
    <w:rsid w:val="007938F6"/>
    <w:rsid w:val="00793D3C"/>
    <w:rsid w:val="00793F7A"/>
    <w:rsid w:val="0079404B"/>
    <w:rsid w:val="007943E3"/>
    <w:rsid w:val="00794AC2"/>
    <w:rsid w:val="00794C65"/>
    <w:rsid w:val="00795205"/>
    <w:rsid w:val="00795525"/>
    <w:rsid w:val="00795714"/>
    <w:rsid w:val="00795737"/>
    <w:rsid w:val="00795AC1"/>
    <w:rsid w:val="00796B16"/>
    <w:rsid w:val="007973F8"/>
    <w:rsid w:val="007A0019"/>
    <w:rsid w:val="007A07A1"/>
    <w:rsid w:val="007A0DCD"/>
    <w:rsid w:val="007A1459"/>
    <w:rsid w:val="007A1E81"/>
    <w:rsid w:val="007A2206"/>
    <w:rsid w:val="007A2576"/>
    <w:rsid w:val="007A3170"/>
    <w:rsid w:val="007A3991"/>
    <w:rsid w:val="007A3B72"/>
    <w:rsid w:val="007A4136"/>
    <w:rsid w:val="007A41DF"/>
    <w:rsid w:val="007A4281"/>
    <w:rsid w:val="007A46BD"/>
    <w:rsid w:val="007A4E24"/>
    <w:rsid w:val="007A4EC3"/>
    <w:rsid w:val="007A5371"/>
    <w:rsid w:val="007A5392"/>
    <w:rsid w:val="007A5C0C"/>
    <w:rsid w:val="007A5F0F"/>
    <w:rsid w:val="007A6021"/>
    <w:rsid w:val="007A64FD"/>
    <w:rsid w:val="007A6688"/>
    <w:rsid w:val="007A68B6"/>
    <w:rsid w:val="007A6CCF"/>
    <w:rsid w:val="007A6D55"/>
    <w:rsid w:val="007A7599"/>
    <w:rsid w:val="007A7E47"/>
    <w:rsid w:val="007B0182"/>
    <w:rsid w:val="007B0235"/>
    <w:rsid w:val="007B0B14"/>
    <w:rsid w:val="007B120D"/>
    <w:rsid w:val="007B1577"/>
    <w:rsid w:val="007B19C8"/>
    <w:rsid w:val="007B222F"/>
    <w:rsid w:val="007B23F2"/>
    <w:rsid w:val="007B2A46"/>
    <w:rsid w:val="007B2ADC"/>
    <w:rsid w:val="007B2B5B"/>
    <w:rsid w:val="007B2CB4"/>
    <w:rsid w:val="007B41DF"/>
    <w:rsid w:val="007B45E0"/>
    <w:rsid w:val="007B45F3"/>
    <w:rsid w:val="007B4B38"/>
    <w:rsid w:val="007B4CC7"/>
    <w:rsid w:val="007B5022"/>
    <w:rsid w:val="007B51B1"/>
    <w:rsid w:val="007B539C"/>
    <w:rsid w:val="007B580D"/>
    <w:rsid w:val="007B581C"/>
    <w:rsid w:val="007B5A07"/>
    <w:rsid w:val="007B5BF4"/>
    <w:rsid w:val="007B61DC"/>
    <w:rsid w:val="007B636A"/>
    <w:rsid w:val="007B6C9A"/>
    <w:rsid w:val="007B70A7"/>
    <w:rsid w:val="007B7942"/>
    <w:rsid w:val="007B7C28"/>
    <w:rsid w:val="007B7C71"/>
    <w:rsid w:val="007C0022"/>
    <w:rsid w:val="007C01B0"/>
    <w:rsid w:val="007C02ED"/>
    <w:rsid w:val="007C063B"/>
    <w:rsid w:val="007C08AC"/>
    <w:rsid w:val="007C0959"/>
    <w:rsid w:val="007C097D"/>
    <w:rsid w:val="007C0C35"/>
    <w:rsid w:val="007C1037"/>
    <w:rsid w:val="007C14F4"/>
    <w:rsid w:val="007C1530"/>
    <w:rsid w:val="007C1B96"/>
    <w:rsid w:val="007C2376"/>
    <w:rsid w:val="007C29D3"/>
    <w:rsid w:val="007C2D2A"/>
    <w:rsid w:val="007C3743"/>
    <w:rsid w:val="007C3751"/>
    <w:rsid w:val="007C3A9C"/>
    <w:rsid w:val="007C42A9"/>
    <w:rsid w:val="007C4574"/>
    <w:rsid w:val="007C48F6"/>
    <w:rsid w:val="007C4D41"/>
    <w:rsid w:val="007C4DA8"/>
    <w:rsid w:val="007C4E2F"/>
    <w:rsid w:val="007C51C0"/>
    <w:rsid w:val="007C52D9"/>
    <w:rsid w:val="007C53D8"/>
    <w:rsid w:val="007C58A5"/>
    <w:rsid w:val="007C5BDD"/>
    <w:rsid w:val="007C5F65"/>
    <w:rsid w:val="007C60A9"/>
    <w:rsid w:val="007C6268"/>
    <w:rsid w:val="007C650D"/>
    <w:rsid w:val="007C65A5"/>
    <w:rsid w:val="007C6A2A"/>
    <w:rsid w:val="007C6CB5"/>
    <w:rsid w:val="007C6E53"/>
    <w:rsid w:val="007C70C7"/>
    <w:rsid w:val="007C7D19"/>
    <w:rsid w:val="007C7EB2"/>
    <w:rsid w:val="007C7FD0"/>
    <w:rsid w:val="007D0F12"/>
    <w:rsid w:val="007D11AF"/>
    <w:rsid w:val="007D1591"/>
    <w:rsid w:val="007D163B"/>
    <w:rsid w:val="007D16E6"/>
    <w:rsid w:val="007D1801"/>
    <w:rsid w:val="007D1B9F"/>
    <w:rsid w:val="007D1ED6"/>
    <w:rsid w:val="007D2196"/>
    <w:rsid w:val="007D2ACE"/>
    <w:rsid w:val="007D2D79"/>
    <w:rsid w:val="007D3C0A"/>
    <w:rsid w:val="007D49B4"/>
    <w:rsid w:val="007D511F"/>
    <w:rsid w:val="007D54AB"/>
    <w:rsid w:val="007D55FB"/>
    <w:rsid w:val="007D596C"/>
    <w:rsid w:val="007D5EAE"/>
    <w:rsid w:val="007D61EB"/>
    <w:rsid w:val="007D6BB5"/>
    <w:rsid w:val="007D7248"/>
    <w:rsid w:val="007D7298"/>
    <w:rsid w:val="007D7966"/>
    <w:rsid w:val="007E0441"/>
    <w:rsid w:val="007E047B"/>
    <w:rsid w:val="007E0866"/>
    <w:rsid w:val="007E0A41"/>
    <w:rsid w:val="007E1361"/>
    <w:rsid w:val="007E1821"/>
    <w:rsid w:val="007E18DB"/>
    <w:rsid w:val="007E1AA5"/>
    <w:rsid w:val="007E1DA8"/>
    <w:rsid w:val="007E258D"/>
    <w:rsid w:val="007E26CB"/>
    <w:rsid w:val="007E2B43"/>
    <w:rsid w:val="007E34AD"/>
    <w:rsid w:val="007E3549"/>
    <w:rsid w:val="007E3C6E"/>
    <w:rsid w:val="007E3E4E"/>
    <w:rsid w:val="007E430F"/>
    <w:rsid w:val="007E4719"/>
    <w:rsid w:val="007E474B"/>
    <w:rsid w:val="007E4800"/>
    <w:rsid w:val="007E4A53"/>
    <w:rsid w:val="007E4C6D"/>
    <w:rsid w:val="007E4E83"/>
    <w:rsid w:val="007E51A4"/>
    <w:rsid w:val="007E61D3"/>
    <w:rsid w:val="007E6284"/>
    <w:rsid w:val="007E680E"/>
    <w:rsid w:val="007E6D3A"/>
    <w:rsid w:val="007E6DD0"/>
    <w:rsid w:val="007E742D"/>
    <w:rsid w:val="007E790B"/>
    <w:rsid w:val="007E7951"/>
    <w:rsid w:val="007F0683"/>
    <w:rsid w:val="007F13D5"/>
    <w:rsid w:val="007F1942"/>
    <w:rsid w:val="007F1A4A"/>
    <w:rsid w:val="007F1AEE"/>
    <w:rsid w:val="007F21D5"/>
    <w:rsid w:val="007F2ED2"/>
    <w:rsid w:val="007F31AF"/>
    <w:rsid w:val="007F4243"/>
    <w:rsid w:val="007F43DB"/>
    <w:rsid w:val="007F48F3"/>
    <w:rsid w:val="007F4DBC"/>
    <w:rsid w:val="007F5120"/>
    <w:rsid w:val="007F51C7"/>
    <w:rsid w:val="007F564E"/>
    <w:rsid w:val="007F6227"/>
    <w:rsid w:val="007F6A4C"/>
    <w:rsid w:val="007F6B6E"/>
    <w:rsid w:val="007F776B"/>
    <w:rsid w:val="007F7C44"/>
    <w:rsid w:val="007F7CEB"/>
    <w:rsid w:val="0080082C"/>
    <w:rsid w:val="00800940"/>
    <w:rsid w:val="00800C86"/>
    <w:rsid w:val="0080106A"/>
    <w:rsid w:val="00801AC1"/>
    <w:rsid w:val="00801F9D"/>
    <w:rsid w:val="00802285"/>
    <w:rsid w:val="0080249D"/>
    <w:rsid w:val="008024DE"/>
    <w:rsid w:val="00802B1C"/>
    <w:rsid w:val="00802FB1"/>
    <w:rsid w:val="008035AD"/>
    <w:rsid w:val="00803E36"/>
    <w:rsid w:val="00804794"/>
    <w:rsid w:val="0080498D"/>
    <w:rsid w:val="00804B35"/>
    <w:rsid w:val="00804BEB"/>
    <w:rsid w:val="0080500E"/>
    <w:rsid w:val="00805E5C"/>
    <w:rsid w:val="00805FF2"/>
    <w:rsid w:val="0080619A"/>
    <w:rsid w:val="008071C6"/>
    <w:rsid w:val="00807C06"/>
    <w:rsid w:val="00807C5C"/>
    <w:rsid w:val="0081028B"/>
    <w:rsid w:val="008109F9"/>
    <w:rsid w:val="0081133C"/>
    <w:rsid w:val="0081142F"/>
    <w:rsid w:val="008114DD"/>
    <w:rsid w:val="00811B8D"/>
    <w:rsid w:val="00812173"/>
    <w:rsid w:val="008121B5"/>
    <w:rsid w:val="0081237B"/>
    <w:rsid w:val="008127CF"/>
    <w:rsid w:val="008127F0"/>
    <w:rsid w:val="00812809"/>
    <w:rsid w:val="0081296F"/>
    <w:rsid w:val="00813328"/>
    <w:rsid w:val="00813A99"/>
    <w:rsid w:val="00813C80"/>
    <w:rsid w:val="00813F88"/>
    <w:rsid w:val="00813FE7"/>
    <w:rsid w:val="00814564"/>
    <w:rsid w:val="008146A8"/>
    <w:rsid w:val="00814C55"/>
    <w:rsid w:val="00814DC3"/>
    <w:rsid w:val="008150A1"/>
    <w:rsid w:val="008152DD"/>
    <w:rsid w:val="008153EA"/>
    <w:rsid w:val="008156B6"/>
    <w:rsid w:val="00815858"/>
    <w:rsid w:val="00816DAF"/>
    <w:rsid w:val="00817472"/>
    <w:rsid w:val="00817CE6"/>
    <w:rsid w:val="008203EE"/>
    <w:rsid w:val="00820FBE"/>
    <w:rsid w:val="00821455"/>
    <w:rsid w:val="00821BC6"/>
    <w:rsid w:val="00822075"/>
    <w:rsid w:val="0082274E"/>
    <w:rsid w:val="00823002"/>
    <w:rsid w:val="008239DE"/>
    <w:rsid w:val="00823AD6"/>
    <w:rsid w:val="00823D17"/>
    <w:rsid w:val="00823DD2"/>
    <w:rsid w:val="00824525"/>
    <w:rsid w:val="008248A6"/>
    <w:rsid w:val="00824A8D"/>
    <w:rsid w:val="00824F16"/>
    <w:rsid w:val="00825371"/>
    <w:rsid w:val="008256F5"/>
    <w:rsid w:val="008258C8"/>
    <w:rsid w:val="00825DCB"/>
    <w:rsid w:val="00826134"/>
    <w:rsid w:val="00826563"/>
    <w:rsid w:val="00826A39"/>
    <w:rsid w:val="00826CF4"/>
    <w:rsid w:val="00827355"/>
    <w:rsid w:val="0082786F"/>
    <w:rsid w:val="00827BF2"/>
    <w:rsid w:val="008300B3"/>
    <w:rsid w:val="00830614"/>
    <w:rsid w:val="00830814"/>
    <w:rsid w:val="00830AF7"/>
    <w:rsid w:val="0083141D"/>
    <w:rsid w:val="008322BF"/>
    <w:rsid w:val="00832373"/>
    <w:rsid w:val="00832409"/>
    <w:rsid w:val="00832819"/>
    <w:rsid w:val="00832856"/>
    <w:rsid w:val="00832A79"/>
    <w:rsid w:val="00832F28"/>
    <w:rsid w:val="0083330F"/>
    <w:rsid w:val="008335F7"/>
    <w:rsid w:val="00833919"/>
    <w:rsid w:val="00833A5A"/>
    <w:rsid w:val="00833B06"/>
    <w:rsid w:val="00833D74"/>
    <w:rsid w:val="008341AC"/>
    <w:rsid w:val="00834823"/>
    <w:rsid w:val="00834A9C"/>
    <w:rsid w:val="00834C4A"/>
    <w:rsid w:val="00835200"/>
    <w:rsid w:val="00835569"/>
    <w:rsid w:val="00835653"/>
    <w:rsid w:val="00835F50"/>
    <w:rsid w:val="00836530"/>
    <w:rsid w:val="00836619"/>
    <w:rsid w:val="008368EB"/>
    <w:rsid w:val="00836A58"/>
    <w:rsid w:val="00836B0B"/>
    <w:rsid w:val="00836C0B"/>
    <w:rsid w:val="00837650"/>
    <w:rsid w:val="008378CA"/>
    <w:rsid w:val="0084046F"/>
    <w:rsid w:val="00840543"/>
    <w:rsid w:val="008408B0"/>
    <w:rsid w:val="00840AE8"/>
    <w:rsid w:val="00840BB3"/>
    <w:rsid w:val="00840BEC"/>
    <w:rsid w:val="008411F9"/>
    <w:rsid w:val="008414EE"/>
    <w:rsid w:val="008417C0"/>
    <w:rsid w:val="008418CD"/>
    <w:rsid w:val="00841A02"/>
    <w:rsid w:val="00841CB0"/>
    <w:rsid w:val="008423A3"/>
    <w:rsid w:val="00842511"/>
    <w:rsid w:val="00842607"/>
    <w:rsid w:val="00842772"/>
    <w:rsid w:val="00842A26"/>
    <w:rsid w:val="00842D01"/>
    <w:rsid w:val="00842DD9"/>
    <w:rsid w:val="0084358D"/>
    <w:rsid w:val="00843ADF"/>
    <w:rsid w:val="00843EB9"/>
    <w:rsid w:val="00844D80"/>
    <w:rsid w:val="0084568C"/>
    <w:rsid w:val="00845960"/>
    <w:rsid w:val="00845A09"/>
    <w:rsid w:val="00845FD8"/>
    <w:rsid w:val="0084619E"/>
    <w:rsid w:val="0084681D"/>
    <w:rsid w:val="00846A30"/>
    <w:rsid w:val="00846F8E"/>
    <w:rsid w:val="00847165"/>
    <w:rsid w:val="0084731A"/>
    <w:rsid w:val="0084738C"/>
    <w:rsid w:val="00847AC9"/>
    <w:rsid w:val="00847BA2"/>
    <w:rsid w:val="00847CDC"/>
    <w:rsid w:val="00847E66"/>
    <w:rsid w:val="00847EE3"/>
    <w:rsid w:val="008512B6"/>
    <w:rsid w:val="008527E7"/>
    <w:rsid w:val="008535A3"/>
    <w:rsid w:val="008537AB"/>
    <w:rsid w:val="00853C56"/>
    <w:rsid w:val="0085469B"/>
    <w:rsid w:val="00854DDE"/>
    <w:rsid w:val="00855195"/>
    <w:rsid w:val="00855247"/>
    <w:rsid w:val="0085621A"/>
    <w:rsid w:val="008563A7"/>
    <w:rsid w:val="008564FF"/>
    <w:rsid w:val="008565BD"/>
    <w:rsid w:val="00856CC6"/>
    <w:rsid w:val="00857ED6"/>
    <w:rsid w:val="008604C4"/>
    <w:rsid w:val="008608D1"/>
    <w:rsid w:val="00860C3D"/>
    <w:rsid w:val="00860FEA"/>
    <w:rsid w:val="008619A2"/>
    <w:rsid w:val="008619B9"/>
    <w:rsid w:val="00861C57"/>
    <w:rsid w:val="00861CA3"/>
    <w:rsid w:val="008624F6"/>
    <w:rsid w:val="00862FDF"/>
    <w:rsid w:val="008632BD"/>
    <w:rsid w:val="0086339F"/>
    <w:rsid w:val="008639D7"/>
    <w:rsid w:val="008643A3"/>
    <w:rsid w:val="0086441C"/>
    <w:rsid w:val="008645FC"/>
    <w:rsid w:val="00864681"/>
    <w:rsid w:val="008651ED"/>
    <w:rsid w:val="0086545B"/>
    <w:rsid w:val="00865714"/>
    <w:rsid w:val="00865BCD"/>
    <w:rsid w:val="00865D5C"/>
    <w:rsid w:val="008661B8"/>
    <w:rsid w:val="0086698B"/>
    <w:rsid w:val="00866D47"/>
    <w:rsid w:val="00866D50"/>
    <w:rsid w:val="00866F8F"/>
    <w:rsid w:val="008672B7"/>
    <w:rsid w:val="00870AA1"/>
    <w:rsid w:val="0087134D"/>
    <w:rsid w:val="00871FE2"/>
    <w:rsid w:val="00872014"/>
    <w:rsid w:val="0087270A"/>
    <w:rsid w:val="0087273A"/>
    <w:rsid w:val="00873CC8"/>
    <w:rsid w:val="00873DB2"/>
    <w:rsid w:val="00875831"/>
    <w:rsid w:val="00875D10"/>
    <w:rsid w:val="0087609C"/>
    <w:rsid w:val="008760D2"/>
    <w:rsid w:val="00876979"/>
    <w:rsid w:val="008778FC"/>
    <w:rsid w:val="00880392"/>
    <w:rsid w:val="0088088B"/>
    <w:rsid w:val="00880EC4"/>
    <w:rsid w:val="00881527"/>
    <w:rsid w:val="00881647"/>
    <w:rsid w:val="00881C5B"/>
    <w:rsid w:val="0088232E"/>
    <w:rsid w:val="00882881"/>
    <w:rsid w:val="00882A67"/>
    <w:rsid w:val="00883A33"/>
    <w:rsid w:val="00883CD9"/>
    <w:rsid w:val="00883E93"/>
    <w:rsid w:val="00884385"/>
    <w:rsid w:val="0088445B"/>
    <w:rsid w:val="00884B98"/>
    <w:rsid w:val="00884D97"/>
    <w:rsid w:val="00885240"/>
    <w:rsid w:val="00885973"/>
    <w:rsid w:val="00885B84"/>
    <w:rsid w:val="00886106"/>
    <w:rsid w:val="008873EE"/>
    <w:rsid w:val="00887C7A"/>
    <w:rsid w:val="00887FCA"/>
    <w:rsid w:val="00890221"/>
    <w:rsid w:val="00890388"/>
    <w:rsid w:val="00890730"/>
    <w:rsid w:val="00891392"/>
    <w:rsid w:val="008915C6"/>
    <w:rsid w:val="00891833"/>
    <w:rsid w:val="00891B2F"/>
    <w:rsid w:val="00891EF3"/>
    <w:rsid w:val="008922B1"/>
    <w:rsid w:val="0089267E"/>
    <w:rsid w:val="00892AE2"/>
    <w:rsid w:val="00892B40"/>
    <w:rsid w:val="0089348C"/>
    <w:rsid w:val="0089475A"/>
    <w:rsid w:val="00894AB7"/>
    <w:rsid w:val="00894B93"/>
    <w:rsid w:val="00894C62"/>
    <w:rsid w:val="00894D5F"/>
    <w:rsid w:val="008950EE"/>
    <w:rsid w:val="0089541F"/>
    <w:rsid w:val="0089578D"/>
    <w:rsid w:val="008959B9"/>
    <w:rsid w:val="00895B5E"/>
    <w:rsid w:val="008964EE"/>
    <w:rsid w:val="0089656A"/>
    <w:rsid w:val="00896B5B"/>
    <w:rsid w:val="0089754F"/>
    <w:rsid w:val="008A0341"/>
    <w:rsid w:val="008A06B1"/>
    <w:rsid w:val="008A07C4"/>
    <w:rsid w:val="008A0DF3"/>
    <w:rsid w:val="008A0E09"/>
    <w:rsid w:val="008A1339"/>
    <w:rsid w:val="008A1520"/>
    <w:rsid w:val="008A211B"/>
    <w:rsid w:val="008A21AF"/>
    <w:rsid w:val="008A23F0"/>
    <w:rsid w:val="008A2988"/>
    <w:rsid w:val="008A2AE7"/>
    <w:rsid w:val="008A2E2C"/>
    <w:rsid w:val="008A2FF2"/>
    <w:rsid w:val="008A37BD"/>
    <w:rsid w:val="008A3E66"/>
    <w:rsid w:val="008A40E7"/>
    <w:rsid w:val="008A4438"/>
    <w:rsid w:val="008A462F"/>
    <w:rsid w:val="008A5267"/>
    <w:rsid w:val="008A5268"/>
    <w:rsid w:val="008A5A95"/>
    <w:rsid w:val="008A5B38"/>
    <w:rsid w:val="008A6057"/>
    <w:rsid w:val="008A7228"/>
    <w:rsid w:val="008A7549"/>
    <w:rsid w:val="008A7648"/>
    <w:rsid w:val="008A76EA"/>
    <w:rsid w:val="008A77D6"/>
    <w:rsid w:val="008A7B29"/>
    <w:rsid w:val="008A7CBB"/>
    <w:rsid w:val="008A7D45"/>
    <w:rsid w:val="008B0A2F"/>
    <w:rsid w:val="008B10CB"/>
    <w:rsid w:val="008B1219"/>
    <w:rsid w:val="008B127E"/>
    <w:rsid w:val="008B1D49"/>
    <w:rsid w:val="008B2130"/>
    <w:rsid w:val="008B2220"/>
    <w:rsid w:val="008B2660"/>
    <w:rsid w:val="008B2C7A"/>
    <w:rsid w:val="008B3208"/>
    <w:rsid w:val="008B4293"/>
    <w:rsid w:val="008B4A69"/>
    <w:rsid w:val="008B4CA4"/>
    <w:rsid w:val="008B4CD5"/>
    <w:rsid w:val="008B5551"/>
    <w:rsid w:val="008B5603"/>
    <w:rsid w:val="008B5706"/>
    <w:rsid w:val="008B5BD5"/>
    <w:rsid w:val="008B5F4E"/>
    <w:rsid w:val="008B602D"/>
    <w:rsid w:val="008B6825"/>
    <w:rsid w:val="008B6852"/>
    <w:rsid w:val="008B6B3C"/>
    <w:rsid w:val="008B6F4F"/>
    <w:rsid w:val="008B70C2"/>
    <w:rsid w:val="008B71CE"/>
    <w:rsid w:val="008B76F4"/>
    <w:rsid w:val="008B7909"/>
    <w:rsid w:val="008B7F6E"/>
    <w:rsid w:val="008C00B8"/>
    <w:rsid w:val="008C06A1"/>
    <w:rsid w:val="008C0AE3"/>
    <w:rsid w:val="008C148A"/>
    <w:rsid w:val="008C1789"/>
    <w:rsid w:val="008C1AFB"/>
    <w:rsid w:val="008C1D97"/>
    <w:rsid w:val="008C22B4"/>
    <w:rsid w:val="008C2B58"/>
    <w:rsid w:val="008C2BAD"/>
    <w:rsid w:val="008C2F84"/>
    <w:rsid w:val="008C313A"/>
    <w:rsid w:val="008C31B9"/>
    <w:rsid w:val="008C350B"/>
    <w:rsid w:val="008C3D85"/>
    <w:rsid w:val="008C485C"/>
    <w:rsid w:val="008C49D6"/>
    <w:rsid w:val="008C4BE7"/>
    <w:rsid w:val="008C62F3"/>
    <w:rsid w:val="008C66B0"/>
    <w:rsid w:val="008C694F"/>
    <w:rsid w:val="008C6A4B"/>
    <w:rsid w:val="008C6BC8"/>
    <w:rsid w:val="008C6BF5"/>
    <w:rsid w:val="008C6CFD"/>
    <w:rsid w:val="008C79A3"/>
    <w:rsid w:val="008C7AFD"/>
    <w:rsid w:val="008C7C10"/>
    <w:rsid w:val="008C7D55"/>
    <w:rsid w:val="008C7F97"/>
    <w:rsid w:val="008D0165"/>
    <w:rsid w:val="008D0686"/>
    <w:rsid w:val="008D1671"/>
    <w:rsid w:val="008D1B11"/>
    <w:rsid w:val="008D1CCC"/>
    <w:rsid w:val="008D1DDF"/>
    <w:rsid w:val="008D246B"/>
    <w:rsid w:val="008D2DDA"/>
    <w:rsid w:val="008D2E8B"/>
    <w:rsid w:val="008D3366"/>
    <w:rsid w:val="008D3FA9"/>
    <w:rsid w:val="008D419D"/>
    <w:rsid w:val="008D4430"/>
    <w:rsid w:val="008D4850"/>
    <w:rsid w:val="008D56AD"/>
    <w:rsid w:val="008D5F16"/>
    <w:rsid w:val="008D6780"/>
    <w:rsid w:val="008D6AED"/>
    <w:rsid w:val="008D7739"/>
    <w:rsid w:val="008D7790"/>
    <w:rsid w:val="008D782E"/>
    <w:rsid w:val="008D79DD"/>
    <w:rsid w:val="008E01B6"/>
    <w:rsid w:val="008E0BCD"/>
    <w:rsid w:val="008E0C5F"/>
    <w:rsid w:val="008E1700"/>
    <w:rsid w:val="008E19C3"/>
    <w:rsid w:val="008E1DB9"/>
    <w:rsid w:val="008E2381"/>
    <w:rsid w:val="008E24C4"/>
    <w:rsid w:val="008E2536"/>
    <w:rsid w:val="008E2B44"/>
    <w:rsid w:val="008E2D57"/>
    <w:rsid w:val="008E2D96"/>
    <w:rsid w:val="008E349A"/>
    <w:rsid w:val="008E37FC"/>
    <w:rsid w:val="008E3994"/>
    <w:rsid w:val="008E3CEB"/>
    <w:rsid w:val="008E3DEF"/>
    <w:rsid w:val="008E459B"/>
    <w:rsid w:val="008E483E"/>
    <w:rsid w:val="008E4885"/>
    <w:rsid w:val="008E50BF"/>
    <w:rsid w:val="008E54BF"/>
    <w:rsid w:val="008E5BC4"/>
    <w:rsid w:val="008E6F4A"/>
    <w:rsid w:val="008F0208"/>
    <w:rsid w:val="008F0D40"/>
    <w:rsid w:val="008F0EEF"/>
    <w:rsid w:val="008F0FCF"/>
    <w:rsid w:val="008F105D"/>
    <w:rsid w:val="008F17CE"/>
    <w:rsid w:val="008F1944"/>
    <w:rsid w:val="008F1B14"/>
    <w:rsid w:val="008F33A3"/>
    <w:rsid w:val="008F33D0"/>
    <w:rsid w:val="008F37A1"/>
    <w:rsid w:val="008F38A2"/>
    <w:rsid w:val="008F3987"/>
    <w:rsid w:val="008F3A05"/>
    <w:rsid w:val="008F3AE2"/>
    <w:rsid w:val="008F3B9C"/>
    <w:rsid w:val="008F3BCA"/>
    <w:rsid w:val="008F4181"/>
    <w:rsid w:val="008F46D3"/>
    <w:rsid w:val="008F4A8F"/>
    <w:rsid w:val="008F4B75"/>
    <w:rsid w:val="008F4E0A"/>
    <w:rsid w:val="008F5072"/>
    <w:rsid w:val="008F52AF"/>
    <w:rsid w:val="008F5335"/>
    <w:rsid w:val="008F5D62"/>
    <w:rsid w:val="008F6527"/>
    <w:rsid w:val="008F68E4"/>
    <w:rsid w:val="008F68FC"/>
    <w:rsid w:val="008F6C12"/>
    <w:rsid w:val="008F6D96"/>
    <w:rsid w:val="008F6E78"/>
    <w:rsid w:val="008F7233"/>
    <w:rsid w:val="008F72B5"/>
    <w:rsid w:val="008F7A9E"/>
    <w:rsid w:val="008F7B23"/>
    <w:rsid w:val="008F7BD5"/>
    <w:rsid w:val="008F7CD1"/>
    <w:rsid w:val="008F7DB9"/>
    <w:rsid w:val="00900636"/>
    <w:rsid w:val="00900998"/>
    <w:rsid w:val="00900D17"/>
    <w:rsid w:val="00900D6B"/>
    <w:rsid w:val="009011D1"/>
    <w:rsid w:val="009012A6"/>
    <w:rsid w:val="00902204"/>
    <w:rsid w:val="009026F3"/>
    <w:rsid w:val="0090295F"/>
    <w:rsid w:val="00902FAF"/>
    <w:rsid w:val="00903212"/>
    <w:rsid w:val="009032E3"/>
    <w:rsid w:val="009034A9"/>
    <w:rsid w:val="00903723"/>
    <w:rsid w:val="00904689"/>
    <w:rsid w:val="009046D9"/>
    <w:rsid w:val="00905EF6"/>
    <w:rsid w:val="0090601A"/>
    <w:rsid w:val="00906151"/>
    <w:rsid w:val="0090618E"/>
    <w:rsid w:val="009061B5"/>
    <w:rsid w:val="00906743"/>
    <w:rsid w:val="00906B22"/>
    <w:rsid w:val="00906EEE"/>
    <w:rsid w:val="00906FFE"/>
    <w:rsid w:val="009070BD"/>
    <w:rsid w:val="00907111"/>
    <w:rsid w:val="00907596"/>
    <w:rsid w:val="009075D3"/>
    <w:rsid w:val="00907E98"/>
    <w:rsid w:val="0091099D"/>
    <w:rsid w:val="00910AA5"/>
    <w:rsid w:val="00910FF6"/>
    <w:rsid w:val="0091173A"/>
    <w:rsid w:val="00911AE3"/>
    <w:rsid w:val="00911CC2"/>
    <w:rsid w:val="00912049"/>
    <w:rsid w:val="00912182"/>
    <w:rsid w:val="0091227A"/>
    <w:rsid w:val="009122D6"/>
    <w:rsid w:val="00913571"/>
    <w:rsid w:val="00913660"/>
    <w:rsid w:val="00914620"/>
    <w:rsid w:val="00915151"/>
    <w:rsid w:val="0091541C"/>
    <w:rsid w:val="009156EA"/>
    <w:rsid w:val="00915AF0"/>
    <w:rsid w:val="00915E88"/>
    <w:rsid w:val="00916037"/>
    <w:rsid w:val="009169E7"/>
    <w:rsid w:val="009170A9"/>
    <w:rsid w:val="0091725B"/>
    <w:rsid w:val="0091765A"/>
    <w:rsid w:val="00917B21"/>
    <w:rsid w:val="00917E2B"/>
    <w:rsid w:val="009206BE"/>
    <w:rsid w:val="00920DE9"/>
    <w:rsid w:val="00921443"/>
    <w:rsid w:val="009214FB"/>
    <w:rsid w:val="009215EC"/>
    <w:rsid w:val="0092168E"/>
    <w:rsid w:val="00921CC1"/>
    <w:rsid w:val="00921F05"/>
    <w:rsid w:val="00922479"/>
    <w:rsid w:val="009224A8"/>
    <w:rsid w:val="00922CF5"/>
    <w:rsid w:val="00923016"/>
    <w:rsid w:val="00923073"/>
    <w:rsid w:val="00923096"/>
    <w:rsid w:val="0092339A"/>
    <w:rsid w:val="0092342F"/>
    <w:rsid w:val="00923481"/>
    <w:rsid w:val="00923D07"/>
    <w:rsid w:val="00923F9C"/>
    <w:rsid w:val="00924E27"/>
    <w:rsid w:val="0092509F"/>
    <w:rsid w:val="009251DF"/>
    <w:rsid w:val="009252F3"/>
    <w:rsid w:val="009255DF"/>
    <w:rsid w:val="00925642"/>
    <w:rsid w:val="00925694"/>
    <w:rsid w:val="00925FDB"/>
    <w:rsid w:val="0092655B"/>
    <w:rsid w:val="00926E4D"/>
    <w:rsid w:val="009272E0"/>
    <w:rsid w:val="0092745C"/>
    <w:rsid w:val="009302D8"/>
    <w:rsid w:val="00930860"/>
    <w:rsid w:val="009308A1"/>
    <w:rsid w:val="00930BB2"/>
    <w:rsid w:val="00930DDE"/>
    <w:rsid w:val="0093148B"/>
    <w:rsid w:val="00931D14"/>
    <w:rsid w:val="00932158"/>
    <w:rsid w:val="00932A00"/>
    <w:rsid w:val="00932F48"/>
    <w:rsid w:val="00933049"/>
    <w:rsid w:val="00933091"/>
    <w:rsid w:val="00933216"/>
    <w:rsid w:val="009332DE"/>
    <w:rsid w:val="0093331A"/>
    <w:rsid w:val="009333E9"/>
    <w:rsid w:val="00933B4A"/>
    <w:rsid w:val="00933B51"/>
    <w:rsid w:val="00933E8C"/>
    <w:rsid w:val="00934125"/>
    <w:rsid w:val="00934442"/>
    <w:rsid w:val="00934695"/>
    <w:rsid w:val="009347BF"/>
    <w:rsid w:val="00934880"/>
    <w:rsid w:val="00934CDC"/>
    <w:rsid w:val="00934F82"/>
    <w:rsid w:val="0093559E"/>
    <w:rsid w:val="00935D35"/>
    <w:rsid w:val="009360C4"/>
    <w:rsid w:val="0093631F"/>
    <w:rsid w:val="0093658F"/>
    <w:rsid w:val="0093728A"/>
    <w:rsid w:val="009375FB"/>
    <w:rsid w:val="00937C75"/>
    <w:rsid w:val="00940241"/>
    <w:rsid w:val="0094025C"/>
    <w:rsid w:val="00940526"/>
    <w:rsid w:val="00940CDE"/>
    <w:rsid w:val="00940EB3"/>
    <w:rsid w:val="00941455"/>
    <w:rsid w:val="0094176E"/>
    <w:rsid w:val="00941819"/>
    <w:rsid w:val="00942C7D"/>
    <w:rsid w:val="00943135"/>
    <w:rsid w:val="00943255"/>
    <w:rsid w:val="00943487"/>
    <w:rsid w:val="00943E08"/>
    <w:rsid w:val="00944499"/>
    <w:rsid w:val="009444FD"/>
    <w:rsid w:val="00944511"/>
    <w:rsid w:val="00944693"/>
    <w:rsid w:val="00944BAA"/>
    <w:rsid w:val="00944F55"/>
    <w:rsid w:val="00945AAA"/>
    <w:rsid w:val="0094620E"/>
    <w:rsid w:val="00946942"/>
    <w:rsid w:val="00946CF6"/>
    <w:rsid w:val="00947025"/>
    <w:rsid w:val="0094725D"/>
    <w:rsid w:val="009473A9"/>
    <w:rsid w:val="00947406"/>
    <w:rsid w:val="009475C0"/>
    <w:rsid w:val="00947974"/>
    <w:rsid w:val="00947EF1"/>
    <w:rsid w:val="009501AD"/>
    <w:rsid w:val="009506DE"/>
    <w:rsid w:val="009509D2"/>
    <w:rsid w:val="00950E9A"/>
    <w:rsid w:val="009512F7"/>
    <w:rsid w:val="00951376"/>
    <w:rsid w:val="00951EB3"/>
    <w:rsid w:val="00951F44"/>
    <w:rsid w:val="00952539"/>
    <w:rsid w:val="009526B6"/>
    <w:rsid w:val="00952A01"/>
    <w:rsid w:val="00952B32"/>
    <w:rsid w:val="00953496"/>
    <w:rsid w:val="00954656"/>
    <w:rsid w:val="009548A4"/>
    <w:rsid w:val="00954983"/>
    <w:rsid w:val="00954B84"/>
    <w:rsid w:val="00954DA7"/>
    <w:rsid w:val="0095510F"/>
    <w:rsid w:val="00955483"/>
    <w:rsid w:val="0095550E"/>
    <w:rsid w:val="00955562"/>
    <w:rsid w:val="0095587F"/>
    <w:rsid w:val="009559BF"/>
    <w:rsid w:val="00955B7C"/>
    <w:rsid w:val="00955F9E"/>
    <w:rsid w:val="009560E4"/>
    <w:rsid w:val="00956324"/>
    <w:rsid w:val="00957BB3"/>
    <w:rsid w:val="00957FD7"/>
    <w:rsid w:val="009601A4"/>
    <w:rsid w:val="00960451"/>
    <w:rsid w:val="00960B32"/>
    <w:rsid w:val="00961127"/>
    <w:rsid w:val="00961150"/>
    <w:rsid w:val="0096122A"/>
    <w:rsid w:val="0096133D"/>
    <w:rsid w:val="00961398"/>
    <w:rsid w:val="00961432"/>
    <w:rsid w:val="00961602"/>
    <w:rsid w:val="009617FB"/>
    <w:rsid w:val="00961B35"/>
    <w:rsid w:val="00961CAE"/>
    <w:rsid w:val="00962EEE"/>
    <w:rsid w:val="00962F00"/>
    <w:rsid w:val="00963088"/>
    <w:rsid w:val="00963592"/>
    <w:rsid w:val="00963E9E"/>
    <w:rsid w:val="00963EB8"/>
    <w:rsid w:val="0096443A"/>
    <w:rsid w:val="00964659"/>
    <w:rsid w:val="00964C55"/>
    <w:rsid w:val="009652C7"/>
    <w:rsid w:val="009654D4"/>
    <w:rsid w:val="00965856"/>
    <w:rsid w:val="00965CDC"/>
    <w:rsid w:val="0096686F"/>
    <w:rsid w:val="00966F0A"/>
    <w:rsid w:val="009672D0"/>
    <w:rsid w:val="00967355"/>
    <w:rsid w:val="00967A21"/>
    <w:rsid w:val="00967C37"/>
    <w:rsid w:val="00967C99"/>
    <w:rsid w:val="00967D81"/>
    <w:rsid w:val="00967F2D"/>
    <w:rsid w:val="009700A0"/>
    <w:rsid w:val="009700FB"/>
    <w:rsid w:val="009703E6"/>
    <w:rsid w:val="00970D80"/>
    <w:rsid w:val="00970DA1"/>
    <w:rsid w:val="009712D0"/>
    <w:rsid w:val="00971726"/>
    <w:rsid w:val="00971861"/>
    <w:rsid w:val="0097199E"/>
    <w:rsid w:val="00971A2C"/>
    <w:rsid w:val="00971EB0"/>
    <w:rsid w:val="00971EBA"/>
    <w:rsid w:val="00971F88"/>
    <w:rsid w:val="0097236C"/>
    <w:rsid w:val="009723D3"/>
    <w:rsid w:val="0097270C"/>
    <w:rsid w:val="00972B5E"/>
    <w:rsid w:val="009732A0"/>
    <w:rsid w:val="00973455"/>
    <w:rsid w:val="00974663"/>
    <w:rsid w:val="00975273"/>
    <w:rsid w:val="00975502"/>
    <w:rsid w:val="00975ABC"/>
    <w:rsid w:val="00975BC0"/>
    <w:rsid w:val="0097606C"/>
    <w:rsid w:val="0097666A"/>
    <w:rsid w:val="00976687"/>
    <w:rsid w:val="00976DEF"/>
    <w:rsid w:val="0097780A"/>
    <w:rsid w:val="00977AD2"/>
    <w:rsid w:val="009801F0"/>
    <w:rsid w:val="0098023C"/>
    <w:rsid w:val="00980A02"/>
    <w:rsid w:val="00980A17"/>
    <w:rsid w:val="00980AC8"/>
    <w:rsid w:val="00980E93"/>
    <w:rsid w:val="009810B1"/>
    <w:rsid w:val="00981662"/>
    <w:rsid w:val="00981D12"/>
    <w:rsid w:val="0098295D"/>
    <w:rsid w:val="0098296D"/>
    <w:rsid w:val="00982E78"/>
    <w:rsid w:val="009838A3"/>
    <w:rsid w:val="009841E9"/>
    <w:rsid w:val="00984426"/>
    <w:rsid w:val="009847B2"/>
    <w:rsid w:val="00985221"/>
    <w:rsid w:val="00985CDD"/>
    <w:rsid w:val="00985CEF"/>
    <w:rsid w:val="009861FD"/>
    <w:rsid w:val="0098688A"/>
    <w:rsid w:val="00986C9A"/>
    <w:rsid w:val="00986CAA"/>
    <w:rsid w:val="00986ECB"/>
    <w:rsid w:val="00987A1B"/>
    <w:rsid w:val="00987AF5"/>
    <w:rsid w:val="00987E02"/>
    <w:rsid w:val="0099003B"/>
    <w:rsid w:val="009904FB"/>
    <w:rsid w:val="00991055"/>
    <w:rsid w:val="0099111E"/>
    <w:rsid w:val="00992669"/>
    <w:rsid w:val="0099275E"/>
    <w:rsid w:val="009928D2"/>
    <w:rsid w:val="00992BDA"/>
    <w:rsid w:val="009934A5"/>
    <w:rsid w:val="00993526"/>
    <w:rsid w:val="00993753"/>
    <w:rsid w:val="009937EF"/>
    <w:rsid w:val="00993A22"/>
    <w:rsid w:val="00993AED"/>
    <w:rsid w:val="00993CB9"/>
    <w:rsid w:val="00994399"/>
    <w:rsid w:val="009953B3"/>
    <w:rsid w:val="00995667"/>
    <w:rsid w:val="0099569A"/>
    <w:rsid w:val="009958F0"/>
    <w:rsid w:val="00995CDC"/>
    <w:rsid w:val="00995F9F"/>
    <w:rsid w:val="009962DD"/>
    <w:rsid w:val="009966B8"/>
    <w:rsid w:val="00996A49"/>
    <w:rsid w:val="00997154"/>
    <w:rsid w:val="009971D9"/>
    <w:rsid w:val="009975BE"/>
    <w:rsid w:val="009A0189"/>
    <w:rsid w:val="009A0832"/>
    <w:rsid w:val="009A0A80"/>
    <w:rsid w:val="009A0F65"/>
    <w:rsid w:val="009A1774"/>
    <w:rsid w:val="009A1A32"/>
    <w:rsid w:val="009A1A86"/>
    <w:rsid w:val="009A27A2"/>
    <w:rsid w:val="009A2A0D"/>
    <w:rsid w:val="009A37DB"/>
    <w:rsid w:val="009A3A8C"/>
    <w:rsid w:val="009A3C6A"/>
    <w:rsid w:val="009A405F"/>
    <w:rsid w:val="009A4518"/>
    <w:rsid w:val="009A456B"/>
    <w:rsid w:val="009A4756"/>
    <w:rsid w:val="009A490B"/>
    <w:rsid w:val="009A4D05"/>
    <w:rsid w:val="009A5165"/>
    <w:rsid w:val="009A5777"/>
    <w:rsid w:val="009A59AC"/>
    <w:rsid w:val="009A5E17"/>
    <w:rsid w:val="009A68FD"/>
    <w:rsid w:val="009A6929"/>
    <w:rsid w:val="009A6B43"/>
    <w:rsid w:val="009A6B45"/>
    <w:rsid w:val="009A72E4"/>
    <w:rsid w:val="009A7677"/>
    <w:rsid w:val="009A779D"/>
    <w:rsid w:val="009A7816"/>
    <w:rsid w:val="009A7B1E"/>
    <w:rsid w:val="009B02D8"/>
    <w:rsid w:val="009B128F"/>
    <w:rsid w:val="009B13A8"/>
    <w:rsid w:val="009B1523"/>
    <w:rsid w:val="009B1EA8"/>
    <w:rsid w:val="009B23B6"/>
    <w:rsid w:val="009B2791"/>
    <w:rsid w:val="009B29EC"/>
    <w:rsid w:val="009B2A8A"/>
    <w:rsid w:val="009B2F15"/>
    <w:rsid w:val="009B3505"/>
    <w:rsid w:val="009B35E6"/>
    <w:rsid w:val="009B363A"/>
    <w:rsid w:val="009B3790"/>
    <w:rsid w:val="009B3F20"/>
    <w:rsid w:val="009B459D"/>
    <w:rsid w:val="009B4A8F"/>
    <w:rsid w:val="009B5A21"/>
    <w:rsid w:val="009B5E00"/>
    <w:rsid w:val="009B5EAD"/>
    <w:rsid w:val="009B63FF"/>
    <w:rsid w:val="009B67F2"/>
    <w:rsid w:val="009B6BFD"/>
    <w:rsid w:val="009B6D68"/>
    <w:rsid w:val="009B6F24"/>
    <w:rsid w:val="009B7194"/>
    <w:rsid w:val="009B72CB"/>
    <w:rsid w:val="009B733F"/>
    <w:rsid w:val="009B773C"/>
    <w:rsid w:val="009B7839"/>
    <w:rsid w:val="009B7868"/>
    <w:rsid w:val="009B7F1B"/>
    <w:rsid w:val="009C0028"/>
    <w:rsid w:val="009C08BE"/>
    <w:rsid w:val="009C0AA0"/>
    <w:rsid w:val="009C12ED"/>
    <w:rsid w:val="009C1495"/>
    <w:rsid w:val="009C1900"/>
    <w:rsid w:val="009C1B75"/>
    <w:rsid w:val="009C1BFA"/>
    <w:rsid w:val="009C1C1A"/>
    <w:rsid w:val="009C1D34"/>
    <w:rsid w:val="009C2097"/>
    <w:rsid w:val="009C218A"/>
    <w:rsid w:val="009C24E6"/>
    <w:rsid w:val="009C2FC3"/>
    <w:rsid w:val="009C3259"/>
    <w:rsid w:val="009C3EA0"/>
    <w:rsid w:val="009C3EC4"/>
    <w:rsid w:val="009C4310"/>
    <w:rsid w:val="009C4480"/>
    <w:rsid w:val="009C45C0"/>
    <w:rsid w:val="009C46EE"/>
    <w:rsid w:val="009C47B0"/>
    <w:rsid w:val="009C497D"/>
    <w:rsid w:val="009C4CF3"/>
    <w:rsid w:val="009C4D45"/>
    <w:rsid w:val="009C520F"/>
    <w:rsid w:val="009C5D2A"/>
    <w:rsid w:val="009C5F26"/>
    <w:rsid w:val="009C60C8"/>
    <w:rsid w:val="009C6D3D"/>
    <w:rsid w:val="009C7050"/>
    <w:rsid w:val="009C7076"/>
    <w:rsid w:val="009C72D3"/>
    <w:rsid w:val="009D0058"/>
    <w:rsid w:val="009D00D1"/>
    <w:rsid w:val="009D0AB0"/>
    <w:rsid w:val="009D0B24"/>
    <w:rsid w:val="009D0DA8"/>
    <w:rsid w:val="009D0EF5"/>
    <w:rsid w:val="009D1463"/>
    <w:rsid w:val="009D14B7"/>
    <w:rsid w:val="009D1F77"/>
    <w:rsid w:val="009D263C"/>
    <w:rsid w:val="009D2753"/>
    <w:rsid w:val="009D2872"/>
    <w:rsid w:val="009D2BE9"/>
    <w:rsid w:val="009D2C0A"/>
    <w:rsid w:val="009D2D2E"/>
    <w:rsid w:val="009D400F"/>
    <w:rsid w:val="009D4092"/>
    <w:rsid w:val="009D4204"/>
    <w:rsid w:val="009D4487"/>
    <w:rsid w:val="009D4595"/>
    <w:rsid w:val="009D46AA"/>
    <w:rsid w:val="009D490E"/>
    <w:rsid w:val="009D4C7A"/>
    <w:rsid w:val="009D4D88"/>
    <w:rsid w:val="009D50C6"/>
    <w:rsid w:val="009D5247"/>
    <w:rsid w:val="009D5678"/>
    <w:rsid w:val="009D573D"/>
    <w:rsid w:val="009D587C"/>
    <w:rsid w:val="009D5C88"/>
    <w:rsid w:val="009D60F8"/>
    <w:rsid w:val="009D61DE"/>
    <w:rsid w:val="009D62C0"/>
    <w:rsid w:val="009D6A9A"/>
    <w:rsid w:val="009D7203"/>
    <w:rsid w:val="009D72B4"/>
    <w:rsid w:val="009D74C7"/>
    <w:rsid w:val="009E015A"/>
    <w:rsid w:val="009E0655"/>
    <w:rsid w:val="009E0DDC"/>
    <w:rsid w:val="009E1D8D"/>
    <w:rsid w:val="009E20B5"/>
    <w:rsid w:val="009E2C78"/>
    <w:rsid w:val="009E2D24"/>
    <w:rsid w:val="009E3156"/>
    <w:rsid w:val="009E31C5"/>
    <w:rsid w:val="009E3E27"/>
    <w:rsid w:val="009E3F29"/>
    <w:rsid w:val="009E433C"/>
    <w:rsid w:val="009E4C0F"/>
    <w:rsid w:val="009E59AA"/>
    <w:rsid w:val="009E5E16"/>
    <w:rsid w:val="009E6BBC"/>
    <w:rsid w:val="009E6DF4"/>
    <w:rsid w:val="009E6FC2"/>
    <w:rsid w:val="009E706B"/>
    <w:rsid w:val="009E760B"/>
    <w:rsid w:val="009E77EC"/>
    <w:rsid w:val="009E7EB9"/>
    <w:rsid w:val="009F028C"/>
    <w:rsid w:val="009F04C0"/>
    <w:rsid w:val="009F0A25"/>
    <w:rsid w:val="009F0B00"/>
    <w:rsid w:val="009F1047"/>
    <w:rsid w:val="009F1241"/>
    <w:rsid w:val="009F264D"/>
    <w:rsid w:val="009F2792"/>
    <w:rsid w:val="009F2C44"/>
    <w:rsid w:val="009F3152"/>
    <w:rsid w:val="009F346F"/>
    <w:rsid w:val="009F3C47"/>
    <w:rsid w:val="009F3C84"/>
    <w:rsid w:val="009F3F57"/>
    <w:rsid w:val="009F402A"/>
    <w:rsid w:val="009F4121"/>
    <w:rsid w:val="009F4194"/>
    <w:rsid w:val="009F44CC"/>
    <w:rsid w:val="009F4A0C"/>
    <w:rsid w:val="009F5579"/>
    <w:rsid w:val="009F5BDC"/>
    <w:rsid w:val="009F5F37"/>
    <w:rsid w:val="009F6ED5"/>
    <w:rsid w:val="009F7662"/>
    <w:rsid w:val="00A00023"/>
    <w:rsid w:val="00A00029"/>
    <w:rsid w:val="00A004F9"/>
    <w:rsid w:val="00A009B6"/>
    <w:rsid w:val="00A00B8B"/>
    <w:rsid w:val="00A00D66"/>
    <w:rsid w:val="00A01170"/>
    <w:rsid w:val="00A012AA"/>
    <w:rsid w:val="00A01559"/>
    <w:rsid w:val="00A01ED8"/>
    <w:rsid w:val="00A02036"/>
    <w:rsid w:val="00A02F03"/>
    <w:rsid w:val="00A031CA"/>
    <w:rsid w:val="00A036E1"/>
    <w:rsid w:val="00A038BB"/>
    <w:rsid w:val="00A03DB5"/>
    <w:rsid w:val="00A03FB4"/>
    <w:rsid w:val="00A0445F"/>
    <w:rsid w:val="00A04517"/>
    <w:rsid w:val="00A049A1"/>
    <w:rsid w:val="00A04A43"/>
    <w:rsid w:val="00A0504E"/>
    <w:rsid w:val="00A0529B"/>
    <w:rsid w:val="00A055A8"/>
    <w:rsid w:val="00A066BB"/>
    <w:rsid w:val="00A068AA"/>
    <w:rsid w:val="00A069CC"/>
    <w:rsid w:val="00A069E1"/>
    <w:rsid w:val="00A06AA9"/>
    <w:rsid w:val="00A06DB4"/>
    <w:rsid w:val="00A06DD6"/>
    <w:rsid w:val="00A07444"/>
    <w:rsid w:val="00A075FC"/>
    <w:rsid w:val="00A07DE4"/>
    <w:rsid w:val="00A10BCD"/>
    <w:rsid w:val="00A10D4F"/>
    <w:rsid w:val="00A1115D"/>
    <w:rsid w:val="00A1134E"/>
    <w:rsid w:val="00A1190C"/>
    <w:rsid w:val="00A11D7D"/>
    <w:rsid w:val="00A11E36"/>
    <w:rsid w:val="00A127E4"/>
    <w:rsid w:val="00A13018"/>
    <w:rsid w:val="00A13033"/>
    <w:rsid w:val="00A138C7"/>
    <w:rsid w:val="00A13BC6"/>
    <w:rsid w:val="00A13CE6"/>
    <w:rsid w:val="00A14621"/>
    <w:rsid w:val="00A146C4"/>
    <w:rsid w:val="00A14B5B"/>
    <w:rsid w:val="00A15448"/>
    <w:rsid w:val="00A162FE"/>
    <w:rsid w:val="00A16426"/>
    <w:rsid w:val="00A16623"/>
    <w:rsid w:val="00A16795"/>
    <w:rsid w:val="00A175B5"/>
    <w:rsid w:val="00A17671"/>
    <w:rsid w:val="00A17D19"/>
    <w:rsid w:val="00A204F1"/>
    <w:rsid w:val="00A20CD8"/>
    <w:rsid w:val="00A21045"/>
    <w:rsid w:val="00A2113F"/>
    <w:rsid w:val="00A21A24"/>
    <w:rsid w:val="00A21ED7"/>
    <w:rsid w:val="00A22793"/>
    <w:rsid w:val="00A229F1"/>
    <w:rsid w:val="00A22D05"/>
    <w:rsid w:val="00A23DD4"/>
    <w:rsid w:val="00A242F7"/>
    <w:rsid w:val="00A2436E"/>
    <w:rsid w:val="00A24573"/>
    <w:rsid w:val="00A245DC"/>
    <w:rsid w:val="00A2480A"/>
    <w:rsid w:val="00A2491B"/>
    <w:rsid w:val="00A2499C"/>
    <w:rsid w:val="00A2507B"/>
    <w:rsid w:val="00A25FD1"/>
    <w:rsid w:val="00A261F1"/>
    <w:rsid w:val="00A263C8"/>
    <w:rsid w:val="00A2658D"/>
    <w:rsid w:val="00A267C2"/>
    <w:rsid w:val="00A26A26"/>
    <w:rsid w:val="00A2725E"/>
    <w:rsid w:val="00A272A4"/>
    <w:rsid w:val="00A2746C"/>
    <w:rsid w:val="00A274C6"/>
    <w:rsid w:val="00A27C01"/>
    <w:rsid w:val="00A30679"/>
    <w:rsid w:val="00A30B27"/>
    <w:rsid w:val="00A30D6C"/>
    <w:rsid w:val="00A30EDC"/>
    <w:rsid w:val="00A317DB"/>
    <w:rsid w:val="00A32068"/>
    <w:rsid w:val="00A32610"/>
    <w:rsid w:val="00A3274E"/>
    <w:rsid w:val="00A32B20"/>
    <w:rsid w:val="00A33004"/>
    <w:rsid w:val="00A3309A"/>
    <w:rsid w:val="00A33969"/>
    <w:rsid w:val="00A33BAF"/>
    <w:rsid w:val="00A33DAF"/>
    <w:rsid w:val="00A34375"/>
    <w:rsid w:val="00A344BF"/>
    <w:rsid w:val="00A3496E"/>
    <w:rsid w:val="00A35286"/>
    <w:rsid w:val="00A35740"/>
    <w:rsid w:val="00A3581B"/>
    <w:rsid w:val="00A35C30"/>
    <w:rsid w:val="00A36274"/>
    <w:rsid w:val="00A3690C"/>
    <w:rsid w:val="00A3708B"/>
    <w:rsid w:val="00A377A2"/>
    <w:rsid w:val="00A37D08"/>
    <w:rsid w:val="00A37F7C"/>
    <w:rsid w:val="00A40708"/>
    <w:rsid w:val="00A40AFF"/>
    <w:rsid w:val="00A40BC3"/>
    <w:rsid w:val="00A41621"/>
    <w:rsid w:val="00A419BF"/>
    <w:rsid w:val="00A41A2D"/>
    <w:rsid w:val="00A41A44"/>
    <w:rsid w:val="00A41AB4"/>
    <w:rsid w:val="00A41C76"/>
    <w:rsid w:val="00A42330"/>
    <w:rsid w:val="00A42590"/>
    <w:rsid w:val="00A4292A"/>
    <w:rsid w:val="00A42B5E"/>
    <w:rsid w:val="00A42D8A"/>
    <w:rsid w:val="00A42F71"/>
    <w:rsid w:val="00A43509"/>
    <w:rsid w:val="00A444A6"/>
    <w:rsid w:val="00A44806"/>
    <w:rsid w:val="00A449F1"/>
    <w:rsid w:val="00A44D18"/>
    <w:rsid w:val="00A44DC8"/>
    <w:rsid w:val="00A45317"/>
    <w:rsid w:val="00A45BD7"/>
    <w:rsid w:val="00A45C1C"/>
    <w:rsid w:val="00A4600C"/>
    <w:rsid w:val="00A46702"/>
    <w:rsid w:val="00A46817"/>
    <w:rsid w:val="00A46ADD"/>
    <w:rsid w:val="00A46D13"/>
    <w:rsid w:val="00A472C9"/>
    <w:rsid w:val="00A503EB"/>
    <w:rsid w:val="00A50534"/>
    <w:rsid w:val="00A50CA2"/>
    <w:rsid w:val="00A50F0A"/>
    <w:rsid w:val="00A51152"/>
    <w:rsid w:val="00A513F9"/>
    <w:rsid w:val="00A51476"/>
    <w:rsid w:val="00A5199F"/>
    <w:rsid w:val="00A51A2F"/>
    <w:rsid w:val="00A525A6"/>
    <w:rsid w:val="00A5266F"/>
    <w:rsid w:val="00A528A6"/>
    <w:rsid w:val="00A52E20"/>
    <w:rsid w:val="00A52FCB"/>
    <w:rsid w:val="00A53A91"/>
    <w:rsid w:val="00A54189"/>
    <w:rsid w:val="00A54798"/>
    <w:rsid w:val="00A54D5D"/>
    <w:rsid w:val="00A54DCE"/>
    <w:rsid w:val="00A5526B"/>
    <w:rsid w:val="00A5536B"/>
    <w:rsid w:val="00A5558B"/>
    <w:rsid w:val="00A556C2"/>
    <w:rsid w:val="00A5580E"/>
    <w:rsid w:val="00A55890"/>
    <w:rsid w:val="00A56052"/>
    <w:rsid w:val="00A56250"/>
    <w:rsid w:val="00A5654A"/>
    <w:rsid w:val="00A56937"/>
    <w:rsid w:val="00A5739F"/>
    <w:rsid w:val="00A57893"/>
    <w:rsid w:val="00A60B0A"/>
    <w:rsid w:val="00A6149F"/>
    <w:rsid w:val="00A61B5E"/>
    <w:rsid w:val="00A63006"/>
    <w:rsid w:val="00A63177"/>
    <w:rsid w:val="00A632EB"/>
    <w:rsid w:val="00A639E8"/>
    <w:rsid w:val="00A639F0"/>
    <w:rsid w:val="00A641F2"/>
    <w:rsid w:val="00A647AD"/>
    <w:rsid w:val="00A64F33"/>
    <w:rsid w:val="00A65186"/>
    <w:rsid w:val="00A655E1"/>
    <w:rsid w:val="00A656C7"/>
    <w:rsid w:val="00A656D1"/>
    <w:rsid w:val="00A6581D"/>
    <w:rsid w:val="00A65A36"/>
    <w:rsid w:val="00A65BC2"/>
    <w:rsid w:val="00A6600A"/>
    <w:rsid w:val="00A662AD"/>
    <w:rsid w:val="00A6641C"/>
    <w:rsid w:val="00A666B1"/>
    <w:rsid w:val="00A66926"/>
    <w:rsid w:val="00A66BA2"/>
    <w:rsid w:val="00A66DFC"/>
    <w:rsid w:val="00A67293"/>
    <w:rsid w:val="00A673AC"/>
    <w:rsid w:val="00A6761D"/>
    <w:rsid w:val="00A67B58"/>
    <w:rsid w:val="00A71C23"/>
    <w:rsid w:val="00A727C8"/>
    <w:rsid w:val="00A73EDC"/>
    <w:rsid w:val="00A74227"/>
    <w:rsid w:val="00A747D5"/>
    <w:rsid w:val="00A74AE1"/>
    <w:rsid w:val="00A74CAA"/>
    <w:rsid w:val="00A752A7"/>
    <w:rsid w:val="00A75370"/>
    <w:rsid w:val="00A764E5"/>
    <w:rsid w:val="00A76A17"/>
    <w:rsid w:val="00A76D56"/>
    <w:rsid w:val="00A77529"/>
    <w:rsid w:val="00A81025"/>
    <w:rsid w:val="00A816D0"/>
    <w:rsid w:val="00A819EA"/>
    <w:rsid w:val="00A81D68"/>
    <w:rsid w:val="00A82659"/>
    <w:rsid w:val="00A826BC"/>
    <w:rsid w:val="00A82A6A"/>
    <w:rsid w:val="00A82AC5"/>
    <w:rsid w:val="00A82E09"/>
    <w:rsid w:val="00A82F7A"/>
    <w:rsid w:val="00A8339A"/>
    <w:rsid w:val="00A83410"/>
    <w:rsid w:val="00A836A5"/>
    <w:rsid w:val="00A836D7"/>
    <w:rsid w:val="00A83B03"/>
    <w:rsid w:val="00A83B3B"/>
    <w:rsid w:val="00A83C94"/>
    <w:rsid w:val="00A84783"/>
    <w:rsid w:val="00A84A8B"/>
    <w:rsid w:val="00A852DA"/>
    <w:rsid w:val="00A856B5"/>
    <w:rsid w:val="00A857D3"/>
    <w:rsid w:val="00A85BA2"/>
    <w:rsid w:val="00A85D35"/>
    <w:rsid w:val="00A862E8"/>
    <w:rsid w:val="00A867B4"/>
    <w:rsid w:val="00A867D3"/>
    <w:rsid w:val="00A86A42"/>
    <w:rsid w:val="00A87076"/>
    <w:rsid w:val="00A87251"/>
    <w:rsid w:val="00A87D76"/>
    <w:rsid w:val="00A87DEE"/>
    <w:rsid w:val="00A90732"/>
    <w:rsid w:val="00A90844"/>
    <w:rsid w:val="00A908F8"/>
    <w:rsid w:val="00A908F9"/>
    <w:rsid w:val="00A9118C"/>
    <w:rsid w:val="00A913A2"/>
    <w:rsid w:val="00A913AB"/>
    <w:rsid w:val="00A9164D"/>
    <w:rsid w:val="00A91AAF"/>
    <w:rsid w:val="00A92244"/>
    <w:rsid w:val="00A922CA"/>
    <w:rsid w:val="00A922D3"/>
    <w:rsid w:val="00A92DF0"/>
    <w:rsid w:val="00A93483"/>
    <w:rsid w:val="00A93735"/>
    <w:rsid w:val="00A93A45"/>
    <w:rsid w:val="00A93A6C"/>
    <w:rsid w:val="00A94210"/>
    <w:rsid w:val="00A94AEF"/>
    <w:rsid w:val="00A94EB1"/>
    <w:rsid w:val="00A95C6F"/>
    <w:rsid w:val="00A95E22"/>
    <w:rsid w:val="00A963B7"/>
    <w:rsid w:val="00A96785"/>
    <w:rsid w:val="00A967A9"/>
    <w:rsid w:val="00A96A2C"/>
    <w:rsid w:val="00A976F3"/>
    <w:rsid w:val="00A97763"/>
    <w:rsid w:val="00A97E8D"/>
    <w:rsid w:val="00AA0599"/>
    <w:rsid w:val="00AA077D"/>
    <w:rsid w:val="00AA07E2"/>
    <w:rsid w:val="00AA090E"/>
    <w:rsid w:val="00AA0B44"/>
    <w:rsid w:val="00AA1061"/>
    <w:rsid w:val="00AA1753"/>
    <w:rsid w:val="00AA1993"/>
    <w:rsid w:val="00AA2052"/>
    <w:rsid w:val="00AA23AA"/>
    <w:rsid w:val="00AA2588"/>
    <w:rsid w:val="00AA26A7"/>
    <w:rsid w:val="00AA2ADD"/>
    <w:rsid w:val="00AA2B00"/>
    <w:rsid w:val="00AA2B34"/>
    <w:rsid w:val="00AA2BAF"/>
    <w:rsid w:val="00AA2E57"/>
    <w:rsid w:val="00AA38ED"/>
    <w:rsid w:val="00AA419A"/>
    <w:rsid w:val="00AA433A"/>
    <w:rsid w:val="00AA4507"/>
    <w:rsid w:val="00AA4872"/>
    <w:rsid w:val="00AA6019"/>
    <w:rsid w:val="00AA625A"/>
    <w:rsid w:val="00AA68C2"/>
    <w:rsid w:val="00AA6E3F"/>
    <w:rsid w:val="00AA77C8"/>
    <w:rsid w:val="00AA785B"/>
    <w:rsid w:val="00AB033E"/>
    <w:rsid w:val="00AB1172"/>
    <w:rsid w:val="00AB1891"/>
    <w:rsid w:val="00AB23B9"/>
    <w:rsid w:val="00AB2466"/>
    <w:rsid w:val="00AB2A1C"/>
    <w:rsid w:val="00AB3122"/>
    <w:rsid w:val="00AB361E"/>
    <w:rsid w:val="00AB372F"/>
    <w:rsid w:val="00AB3B01"/>
    <w:rsid w:val="00AB3EFB"/>
    <w:rsid w:val="00AB4436"/>
    <w:rsid w:val="00AB47BC"/>
    <w:rsid w:val="00AB4CC1"/>
    <w:rsid w:val="00AB56B7"/>
    <w:rsid w:val="00AB5979"/>
    <w:rsid w:val="00AB5A61"/>
    <w:rsid w:val="00AB5E25"/>
    <w:rsid w:val="00AB5FC2"/>
    <w:rsid w:val="00AB630D"/>
    <w:rsid w:val="00AB6C54"/>
    <w:rsid w:val="00AB6F54"/>
    <w:rsid w:val="00AB7355"/>
    <w:rsid w:val="00AB745D"/>
    <w:rsid w:val="00AB7ADF"/>
    <w:rsid w:val="00AB7F8E"/>
    <w:rsid w:val="00AC03F8"/>
    <w:rsid w:val="00AC0979"/>
    <w:rsid w:val="00AC1088"/>
    <w:rsid w:val="00AC141F"/>
    <w:rsid w:val="00AC1662"/>
    <w:rsid w:val="00AC17A6"/>
    <w:rsid w:val="00AC1BE7"/>
    <w:rsid w:val="00AC27DD"/>
    <w:rsid w:val="00AC3502"/>
    <w:rsid w:val="00AC3643"/>
    <w:rsid w:val="00AC3945"/>
    <w:rsid w:val="00AC39ED"/>
    <w:rsid w:val="00AC3BAD"/>
    <w:rsid w:val="00AC3DC2"/>
    <w:rsid w:val="00AC3DD1"/>
    <w:rsid w:val="00AC43F6"/>
    <w:rsid w:val="00AC4592"/>
    <w:rsid w:val="00AC4C17"/>
    <w:rsid w:val="00AC52D5"/>
    <w:rsid w:val="00AC655E"/>
    <w:rsid w:val="00AC6B2F"/>
    <w:rsid w:val="00AC709D"/>
    <w:rsid w:val="00AC711F"/>
    <w:rsid w:val="00AC72B1"/>
    <w:rsid w:val="00AD03E5"/>
    <w:rsid w:val="00AD12D7"/>
    <w:rsid w:val="00AD172E"/>
    <w:rsid w:val="00AD174B"/>
    <w:rsid w:val="00AD1B1A"/>
    <w:rsid w:val="00AD22F7"/>
    <w:rsid w:val="00AD2499"/>
    <w:rsid w:val="00AD262A"/>
    <w:rsid w:val="00AD27CB"/>
    <w:rsid w:val="00AD2E53"/>
    <w:rsid w:val="00AD3826"/>
    <w:rsid w:val="00AD3A99"/>
    <w:rsid w:val="00AD432B"/>
    <w:rsid w:val="00AD50B5"/>
    <w:rsid w:val="00AD54BA"/>
    <w:rsid w:val="00AD5C12"/>
    <w:rsid w:val="00AD5F3C"/>
    <w:rsid w:val="00AD643E"/>
    <w:rsid w:val="00AD653F"/>
    <w:rsid w:val="00AD6AD0"/>
    <w:rsid w:val="00AD6B28"/>
    <w:rsid w:val="00AD6B9C"/>
    <w:rsid w:val="00AD6C5F"/>
    <w:rsid w:val="00AD7078"/>
    <w:rsid w:val="00AD76C0"/>
    <w:rsid w:val="00AE066D"/>
    <w:rsid w:val="00AE088E"/>
    <w:rsid w:val="00AE0E3F"/>
    <w:rsid w:val="00AE0E75"/>
    <w:rsid w:val="00AE0F80"/>
    <w:rsid w:val="00AE0F94"/>
    <w:rsid w:val="00AE1193"/>
    <w:rsid w:val="00AE1295"/>
    <w:rsid w:val="00AE1F37"/>
    <w:rsid w:val="00AE2194"/>
    <w:rsid w:val="00AE232F"/>
    <w:rsid w:val="00AE267F"/>
    <w:rsid w:val="00AE2A75"/>
    <w:rsid w:val="00AE2CFA"/>
    <w:rsid w:val="00AE328D"/>
    <w:rsid w:val="00AE32B2"/>
    <w:rsid w:val="00AE371A"/>
    <w:rsid w:val="00AE3DCB"/>
    <w:rsid w:val="00AE460D"/>
    <w:rsid w:val="00AE497C"/>
    <w:rsid w:val="00AE541A"/>
    <w:rsid w:val="00AE5CC7"/>
    <w:rsid w:val="00AE5E7A"/>
    <w:rsid w:val="00AE6718"/>
    <w:rsid w:val="00AE6930"/>
    <w:rsid w:val="00AE6A84"/>
    <w:rsid w:val="00AE6DE4"/>
    <w:rsid w:val="00AE7CFE"/>
    <w:rsid w:val="00AF017D"/>
    <w:rsid w:val="00AF0AB5"/>
    <w:rsid w:val="00AF0CBF"/>
    <w:rsid w:val="00AF11C9"/>
    <w:rsid w:val="00AF1ACE"/>
    <w:rsid w:val="00AF1CC4"/>
    <w:rsid w:val="00AF1F75"/>
    <w:rsid w:val="00AF2421"/>
    <w:rsid w:val="00AF2436"/>
    <w:rsid w:val="00AF2446"/>
    <w:rsid w:val="00AF2807"/>
    <w:rsid w:val="00AF2A37"/>
    <w:rsid w:val="00AF2ED1"/>
    <w:rsid w:val="00AF3659"/>
    <w:rsid w:val="00AF3DE8"/>
    <w:rsid w:val="00AF457A"/>
    <w:rsid w:val="00AF4847"/>
    <w:rsid w:val="00AF53E8"/>
    <w:rsid w:val="00AF5815"/>
    <w:rsid w:val="00AF5BBA"/>
    <w:rsid w:val="00AF5C5A"/>
    <w:rsid w:val="00AF6C04"/>
    <w:rsid w:val="00AF6C8F"/>
    <w:rsid w:val="00AF6E26"/>
    <w:rsid w:val="00AF6FF3"/>
    <w:rsid w:val="00AF7161"/>
    <w:rsid w:val="00AF7413"/>
    <w:rsid w:val="00AF74D3"/>
    <w:rsid w:val="00AF7855"/>
    <w:rsid w:val="00AF7BBF"/>
    <w:rsid w:val="00AF7D1F"/>
    <w:rsid w:val="00B0034E"/>
    <w:rsid w:val="00B00731"/>
    <w:rsid w:val="00B00C58"/>
    <w:rsid w:val="00B00CFF"/>
    <w:rsid w:val="00B00D53"/>
    <w:rsid w:val="00B011F6"/>
    <w:rsid w:val="00B01999"/>
    <w:rsid w:val="00B01F87"/>
    <w:rsid w:val="00B02883"/>
    <w:rsid w:val="00B028FD"/>
    <w:rsid w:val="00B02F74"/>
    <w:rsid w:val="00B030DE"/>
    <w:rsid w:val="00B03419"/>
    <w:rsid w:val="00B0356C"/>
    <w:rsid w:val="00B0373B"/>
    <w:rsid w:val="00B03A6A"/>
    <w:rsid w:val="00B04425"/>
    <w:rsid w:val="00B04CD3"/>
    <w:rsid w:val="00B05181"/>
    <w:rsid w:val="00B051FD"/>
    <w:rsid w:val="00B053CE"/>
    <w:rsid w:val="00B058EA"/>
    <w:rsid w:val="00B05BC3"/>
    <w:rsid w:val="00B0631A"/>
    <w:rsid w:val="00B06BF8"/>
    <w:rsid w:val="00B06CE7"/>
    <w:rsid w:val="00B075C4"/>
    <w:rsid w:val="00B07A6F"/>
    <w:rsid w:val="00B10B41"/>
    <w:rsid w:val="00B10C7C"/>
    <w:rsid w:val="00B1109A"/>
    <w:rsid w:val="00B111A8"/>
    <w:rsid w:val="00B114A1"/>
    <w:rsid w:val="00B11621"/>
    <w:rsid w:val="00B11A4F"/>
    <w:rsid w:val="00B12CF6"/>
    <w:rsid w:val="00B12D62"/>
    <w:rsid w:val="00B12D7D"/>
    <w:rsid w:val="00B138C5"/>
    <w:rsid w:val="00B138F8"/>
    <w:rsid w:val="00B13F83"/>
    <w:rsid w:val="00B13FAA"/>
    <w:rsid w:val="00B14935"/>
    <w:rsid w:val="00B1531E"/>
    <w:rsid w:val="00B16699"/>
    <w:rsid w:val="00B166D8"/>
    <w:rsid w:val="00B16AD2"/>
    <w:rsid w:val="00B16D6E"/>
    <w:rsid w:val="00B172BB"/>
    <w:rsid w:val="00B17571"/>
    <w:rsid w:val="00B175D8"/>
    <w:rsid w:val="00B177D1"/>
    <w:rsid w:val="00B17E7A"/>
    <w:rsid w:val="00B2026F"/>
    <w:rsid w:val="00B206AB"/>
    <w:rsid w:val="00B20840"/>
    <w:rsid w:val="00B215A4"/>
    <w:rsid w:val="00B21A6B"/>
    <w:rsid w:val="00B21D6A"/>
    <w:rsid w:val="00B22754"/>
    <w:rsid w:val="00B22816"/>
    <w:rsid w:val="00B229A6"/>
    <w:rsid w:val="00B22B64"/>
    <w:rsid w:val="00B22BAC"/>
    <w:rsid w:val="00B22BD3"/>
    <w:rsid w:val="00B22FB9"/>
    <w:rsid w:val="00B2368C"/>
    <w:rsid w:val="00B23DB6"/>
    <w:rsid w:val="00B240CB"/>
    <w:rsid w:val="00B246D1"/>
    <w:rsid w:val="00B24C87"/>
    <w:rsid w:val="00B25205"/>
    <w:rsid w:val="00B25604"/>
    <w:rsid w:val="00B25652"/>
    <w:rsid w:val="00B26764"/>
    <w:rsid w:val="00B2694F"/>
    <w:rsid w:val="00B26CC4"/>
    <w:rsid w:val="00B27712"/>
    <w:rsid w:val="00B3034A"/>
    <w:rsid w:val="00B30580"/>
    <w:rsid w:val="00B30581"/>
    <w:rsid w:val="00B3076E"/>
    <w:rsid w:val="00B30C66"/>
    <w:rsid w:val="00B31101"/>
    <w:rsid w:val="00B31142"/>
    <w:rsid w:val="00B3251E"/>
    <w:rsid w:val="00B32789"/>
    <w:rsid w:val="00B330BE"/>
    <w:rsid w:val="00B33238"/>
    <w:rsid w:val="00B348F0"/>
    <w:rsid w:val="00B35127"/>
    <w:rsid w:val="00B35E53"/>
    <w:rsid w:val="00B35E57"/>
    <w:rsid w:val="00B35F62"/>
    <w:rsid w:val="00B368CE"/>
    <w:rsid w:val="00B36947"/>
    <w:rsid w:val="00B36A46"/>
    <w:rsid w:val="00B3738B"/>
    <w:rsid w:val="00B375B8"/>
    <w:rsid w:val="00B37C20"/>
    <w:rsid w:val="00B37FA5"/>
    <w:rsid w:val="00B37FAD"/>
    <w:rsid w:val="00B40225"/>
    <w:rsid w:val="00B405D2"/>
    <w:rsid w:val="00B4067E"/>
    <w:rsid w:val="00B4141B"/>
    <w:rsid w:val="00B41BB3"/>
    <w:rsid w:val="00B41E45"/>
    <w:rsid w:val="00B41E67"/>
    <w:rsid w:val="00B42DEE"/>
    <w:rsid w:val="00B43084"/>
    <w:rsid w:val="00B447CC"/>
    <w:rsid w:val="00B44ABE"/>
    <w:rsid w:val="00B44E2C"/>
    <w:rsid w:val="00B44F76"/>
    <w:rsid w:val="00B45765"/>
    <w:rsid w:val="00B45B70"/>
    <w:rsid w:val="00B45C05"/>
    <w:rsid w:val="00B45C5B"/>
    <w:rsid w:val="00B462C1"/>
    <w:rsid w:val="00B4692E"/>
    <w:rsid w:val="00B46AEC"/>
    <w:rsid w:val="00B46BF0"/>
    <w:rsid w:val="00B47495"/>
    <w:rsid w:val="00B479F3"/>
    <w:rsid w:val="00B501B6"/>
    <w:rsid w:val="00B50D92"/>
    <w:rsid w:val="00B50EC7"/>
    <w:rsid w:val="00B50F0D"/>
    <w:rsid w:val="00B52188"/>
    <w:rsid w:val="00B5229C"/>
    <w:rsid w:val="00B52402"/>
    <w:rsid w:val="00B5255A"/>
    <w:rsid w:val="00B52802"/>
    <w:rsid w:val="00B53048"/>
    <w:rsid w:val="00B534E5"/>
    <w:rsid w:val="00B5372F"/>
    <w:rsid w:val="00B53B08"/>
    <w:rsid w:val="00B53F63"/>
    <w:rsid w:val="00B53F71"/>
    <w:rsid w:val="00B541B4"/>
    <w:rsid w:val="00B54356"/>
    <w:rsid w:val="00B546A3"/>
    <w:rsid w:val="00B54E6D"/>
    <w:rsid w:val="00B54EE1"/>
    <w:rsid w:val="00B551F8"/>
    <w:rsid w:val="00B556EC"/>
    <w:rsid w:val="00B56A7D"/>
    <w:rsid w:val="00B56BEC"/>
    <w:rsid w:val="00B56E55"/>
    <w:rsid w:val="00B57243"/>
    <w:rsid w:val="00B5740E"/>
    <w:rsid w:val="00B57889"/>
    <w:rsid w:val="00B57FF3"/>
    <w:rsid w:val="00B6007E"/>
    <w:rsid w:val="00B60358"/>
    <w:rsid w:val="00B6056F"/>
    <w:rsid w:val="00B60669"/>
    <w:rsid w:val="00B60F35"/>
    <w:rsid w:val="00B61260"/>
    <w:rsid w:val="00B614CE"/>
    <w:rsid w:val="00B615C7"/>
    <w:rsid w:val="00B61A4D"/>
    <w:rsid w:val="00B61D7D"/>
    <w:rsid w:val="00B61F40"/>
    <w:rsid w:val="00B61F90"/>
    <w:rsid w:val="00B62797"/>
    <w:rsid w:val="00B62AB0"/>
    <w:rsid w:val="00B62E01"/>
    <w:rsid w:val="00B63629"/>
    <w:rsid w:val="00B63B9D"/>
    <w:rsid w:val="00B63F78"/>
    <w:rsid w:val="00B63FFD"/>
    <w:rsid w:val="00B6431A"/>
    <w:rsid w:val="00B646D6"/>
    <w:rsid w:val="00B64746"/>
    <w:rsid w:val="00B648C2"/>
    <w:rsid w:val="00B6634F"/>
    <w:rsid w:val="00B66381"/>
    <w:rsid w:val="00B66741"/>
    <w:rsid w:val="00B669C7"/>
    <w:rsid w:val="00B6734D"/>
    <w:rsid w:val="00B67569"/>
    <w:rsid w:val="00B70184"/>
    <w:rsid w:val="00B70211"/>
    <w:rsid w:val="00B718AF"/>
    <w:rsid w:val="00B71B91"/>
    <w:rsid w:val="00B71C6F"/>
    <w:rsid w:val="00B71EAD"/>
    <w:rsid w:val="00B7271E"/>
    <w:rsid w:val="00B72F53"/>
    <w:rsid w:val="00B73769"/>
    <w:rsid w:val="00B7447E"/>
    <w:rsid w:val="00B74E8C"/>
    <w:rsid w:val="00B75018"/>
    <w:rsid w:val="00B752BE"/>
    <w:rsid w:val="00B7536A"/>
    <w:rsid w:val="00B75622"/>
    <w:rsid w:val="00B75A37"/>
    <w:rsid w:val="00B75DBA"/>
    <w:rsid w:val="00B7601B"/>
    <w:rsid w:val="00B7698A"/>
    <w:rsid w:val="00B76F30"/>
    <w:rsid w:val="00B7715F"/>
    <w:rsid w:val="00B771AD"/>
    <w:rsid w:val="00B778E9"/>
    <w:rsid w:val="00B77E0B"/>
    <w:rsid w:val="00B77F2D"/>
    <w:rsid w:val="00B80152"/>
    <w:rsid w:val="00B801F2"/>
    <w:rsid w:val="00B8062C"/>
    <w:rsid w:val="00B814B9"/>
    <w:rsid w:val="00B81AF6"/>
    <w:rsid w:val="00B81D11"/>
    <w:rsid w:val="00B81D44"/>
    <w:rsid w:val="00B81E6B"/>
    <w:rsid w:val="00B82023"/>
    <w:rsid w:val="00B82791"/>
    <w:rsid w:val="00B8279F"/>
    <w:rsid w:val="00B8295E"/>
    <w:rsid w:val="00B829DD"/>
    <w:rsid w:val="00B829EB"/>
    <w:rsid w:val="00B82B0C"/>
    <w:rsid w:val="00B82D71"/>
    <w:rsid w:val="00B82D7F"/>
    <w:rsid w:val="00B8385D"/>
    <w:rsid w:val="00B84182"/>
    <w:rsid w:val="00B842DB"/>
    <w:rsid w:val="00B84434"/>
    <w:rsid w:val="00B84A5C"/>
    <w:rsid w:val="00B84B4D"/>
    <w:rsid w:val="00B84BAA"/>
    <w:rsid w:val="00B84C50"/>
    <w:rsid w:val="00B85005"/>
    <w:rsid w:val="00B857F9"/>
    <w:rsid w:val="00B85980"/>
    <w:rsid w:val="00B85B7E"/>
    <w:rsid w:val="00B85CCC"/>
    <w:rsid w:val="00B85E0F"/>
    <w:rsid w:val="00B86237"/>
    <w:rsid w:val="00B86644"/>
    <w:rsid w:val="00B86962"/>
    <w:rsid w:val="00B86D4C"/>
    <w:rsid w:val="00B86D85"/>
    <w:rsid w:val="00B86DEA"/>
    <w:rsid w:val="00B877F7"/>
    <w:rsid w:val="00B8792F"/>
    <w:rsid w:val="00B87C85"/>
    <w:rsid w:val="00B87D67"/>
    <w:rsid w:val="00B87E40"/>
    <w:rsid w:val="00B902B2"/>
    <w:rsid w:val="00B91157"/>
    <w:rsid w:val="00B91451"/>
    <w:rsid w:val="00B91846"/>
    <w:rsid w:val="00B92394"/>
    <w:rsid w:val="00B929E8"/>
    <w:rsid w:val="00B92F8C"/>
    <w:rsid w:val="00B93384"/>
    <w:rsid w:val="00B93AC5"/>
    <w:rsid w:val="00B93BD3"/>
    <w:rsid w:val="00B93D88"/>
    <w:rsid w:val="00B94180"/>
    <w:rsid w:val="00B94FC5"/>
    <w:rsid w:val="00B95116"/>
    <w:rsid w:val="00B95315"/>
    <w:rsid w:val="00B9545F"/>
    <w:rsid w:val="00B95A4A"/>
    <w:rsid w:val="00B95B44"/>
    <w:rsid w:val="00B95EB3"/>
    <w:rsid w:val="00B961B2"/>
    <w:rsid w:val="00B96607"/>
    <w:rsid w:val="00B9661D"/>
    <w:rsid w:val="00B96733"/>
    <w:rsid w:val="00B96812"/>
    <w:rsid w:val="00B96E49"/>
    <w:rsid w:val="00B971C5"/>
    <w:rsid w:val="00B972DD"/>
    <w:rsid w:val="00B9798D"/>
    <w:rsid w:val="00B979C4"/>
    <w:rsid w:val="00B97A1F"/>
    <w:rsid w:val="00B97DE5"/>
    <w:rsid w:val="00BA061B"/>
    <w:rsid w:val="00BA09C3"/>
    <w:rsid w:val="00BA0D4D"/>
    <w:rsid w:val="00BA0EF3"/>
    <w:rsid w:val="00BA1041"/>
    <w:rsid w:val="00BA14F7"/>
    <w:rsid w:val="00BA2072"/>
    <w:rsid w:val="00BA21E8"/>
    <w:rsid w:val="00BA2216"/>
    <w:rsid w:val="00BA25B9"/>
    <w:rsid w:val="00BA2D53"/>
    <w:rsid w:val="00BA2E96"/>
    <w:rsid w:val="00BA3327"/>
    <w:rsid w:val="00BA3B05"/>
    <w:rsid w:val="00BA4C37"/>
    <w:rsid w:val="00BA4DD0"/>
    <w:rsid w:val="00BA572A"/>
    <w:rsid w:val="00BA5843"/>
    <w:rsid w:val="00BA5913"/>
    <w:rsid w:val="00BA5EC2"/>
    <w:rsid w:val="00BA62FE"/>
    <w:rsid w:val="00BA638A"/>
    <w:rsid w:val="00BA6B08"/>
    <w:rsid w:val="00BA6EF9"/>
    <w:rsid w:val="00BB06C4"/>
    <w:rsid w:val="00BB0C8F"/>
    <w:rsid w:val="00BB132E"/>
    <w:rsid w:val="00BB1F69"/>
    <w:rsid w:val="00BB24BE"/>
    <w:rsid w:val="00BB24FB"/>
    <w:rsid w:val="00BB2677"/>
    <w:rsid w:val="00BB2D69"/>
    <w:rsid w:val="00BB3044"/>
    <w:rsid w:val="00BB3288"/>
    <w:rsid w:val="00BB3382"/>
    <w:rsid w:val="00BB3729"/>
    <w:rsid w:val="00BB416E"/>
    <w:rsid w:val="00BB4651"/>
    <w:rsid w:val="00BB46B9"/>
    <w:rsid w:val="00BB489E"/>
    <w:rsid w:val="00BB5156"/>
    <w:rsid w:val="00BB575F"/>
    <w:rsid w:val="00BB57CD"/>
    <w:rsid w:val="00BB6667"/>
    <w:rsid w:val="00BB6A69"/>
    <w:rsid w:val="00BB6CFB"/>
    <w:rsid w:val="00BB7550"/>
    <w:rsid w:val="00BB766B"/>
    <w:rsid w:val="00BC021E"/>
    <w:rsid w:val="00BC089B"/>
    <w:rsid w:val="00BC0A80"/>
    <w:rsid w:val="00BC167A"/>
    <w:rsid w:val="00BC1730"/>
    <w:rsid w:val="00BC1C38"/>
    <w:rsid w:val="00BC1D0C"/>
    <w:rsid w:val="00BC2447"/>
    <w:rsid w:val="00BC245A"/>
    <w:rsid w:val="00BC2EAF"/>
    <w:rsid w:val="00BC2EF8"/>
    <w:rsid w:val="00BC4AA7"/>
    <w:rsid w:val="00BC5583"/>
    <w:rsid w:val="00BC55D6"/>
    <w:rsid w:val="00BC565E"/>
    <w:rsid w:val="00BC574F"/>
    <w:rsid w:val="00BC5928"/>
    <w:rsid w:val="00BC5F70"/>
    <w:rsid w:val="00BC5FA6"/>
    <w:rsid w:val="00BC6063"/>
    <w:rsid w:val="00BC6297"/>
    <w:rsid w:val="00BC63C0"/>
    <w:rsid w:val="00BC6520"/>
    <w:rsid w:val="00BC722E"/>
    <w:rsid w:val="00BC72CB"/>
    <w:rsid w:val="00BC770C"/>
    <w:rsid w:val="00BC7F00"/>
    <w:rsid w:val="00BD00A9"/>
    <w:rsid w:val="00BD032A"/>
    <w:rsid w:val="00BD043A"/>
    <w:rsid w:val="00BD0AA6"/>
    <w:rsid w:val="00BD0C63"/>
    <w:rsid w:val="00BD11E2"/>
    <w:rsid w:val="00BD127E"/>
    <w:rsid w:val="00BD14F5"/>
    <w:rsid w:val="00BD1E44"/>
    <w:rsid w:val="00BD2453"/>
    <w:rsid w:val="00BD3813"/>
    <w:rsid w:val="00BD3D19"/>
    <w:rsid w:val="00BD3F6A"/>
    <w:rsid w:val="00BD41F9"/>
    <w:rsid w:val="00BD4619"/>
    <w:rsid w:val="00BD4698"/>
    <w:rsid w:val="00BD4E26"/>
    <w:rsid w:val="00BD4F98"/>
    <w:rsid w:val="00BD54D1"/>
    <w:rsid w:val="00BD55F7"/>
    <w:rsid w:val="00BD68B1"/>
    <w:rsid w:val="00BD6999"/>
    <w:rsid w:val="00BD69B1"/>
    <w:rsid w:val="00BD6F7E"/>
    <w:rsid w:val="00BD781E"/>
    <w:rsid w:val="00BD7AA2"/>
    <w:rsid w:val="00BE0873"/>
    <w:rsid w:val="00BE0F97"/>
    <w:rsid w:val="00BE0FAD"/>
    <w:rsid w:val="00BE142B"/>
    <w:rsid w:val="00BE150C"/>
    <w:rsid w:val="00BE18E5"/>
    <w:rsid w:val="00BE1CF6"/>
    <w:rsid w:val="00BE2941"/>
    <w:rsid w:val="00BE297E"/>
    <w:rsid w:val="00BE2A84"/>
    <w:rsid w:val="00BE34C6"/>
    <w:rsid w:val="00BE35F8"/>
    <w:rsid w:val="00BE3819"/>
    <w:rsid w:val="00BE3AAF"/>
    <w:rsid w:val="00BE3F05"/>
    <w:rsid w:val="00BE41B4"/>
    <w:rsid w:val="00BE45D6"/>
    <w:rsid w:val="00BE54B7"/>
    <w:rsid w:val="00BE58AD"/>
    <w:rsid w:val="00BE5FF9"/>
    <w:rsid w:val="00BE6664"/>
    <w:rsid w:val="00BE6C44"/>
    <w:rsid w:val="00BE6EE2"/>
    <w:rsid w:val="00BE708B"/>
    <w:rsid w:val="00BE7F7D"/>
    <w:rsid w:val="00BF0429"/>
    <w:rsid w:val="00BF08B1"/>
    <w:rsid w:val="00BF1163"/>
    <w:rsid w:val="00BF139B"/>
    <w:rsid w:val="00BF18C1"/>
    <w:rsid w:val="00BF1E0A"/>
    <w:rsid w:val="00BF2292"/>
    <w:rsid w:val="00BF2605"/>
    <w:rsid w:val="00BF27E2"/>
    <w:rsid w:val="00BF28A5"/>
    <w:rsid w:val="00BF28E1"/>
    <w:rsid w:val="00BF2934"/>
    <w:rsid w:val="00BF2D25"/>
    <w:rsid w:val="00BF2E2B"/>
    <w:rsid w:val="00BF3049"/>
    <w:rsid w:val="00BF3209"/>
    <w:rsid w:val="00BF3AB7"/>
    <w:rsid w:val="00BF4115"/>
    <w:rsid w:val="00BF4744"/>
    <w:rsid w:val="00BF47A0"/>
    <w:rsid w:val="00BF4AC0"/>
    <w:rsid w:val="00BF4BA1"/>
    <w:rsid w:val="00BF4DB8"/>
    <w:rsid w:val="00BF59AC"/>
    <w:rsid w:val="00BF5AED"/>
    <w:rsid w:val="00BF5CE6"/>
    <w:rsid w:val="00BF5D96"/>
    <w:rsid w:val="00BF5F2D"/>
    <w:rsid w:val="00BF5F43"/>
    <w:rsid w:val="00BF65D2"/>
    <w:rsid w:val="00BF6715"/>
    <w:rsid w:val="00BF6802"/>
    <w:rsid w:val="00BF6994"/>
    <w:rsid w:val="00BF769B"/>
    <w:rsid w:val="00BF7827"/>
    <w:rsid w:val="00BF7BB5"/>
    <w:rsid w:val="00BF7C8D"/>
    <w:rsid w:val="00BF7CB6"/>
    <w:rsid w:val="00BF7D25"/>
    <w:rsid w:val="00C00653"/>
    <w:rsid w:val="00C00E3D"/>
    <w:rsid w:val="00C01447"/>
    <w:rsid w:val="00C014EA"/>
    <w:rsid w:val="00C0169F"/>
    <w:rsid w:val="00C01E75"/>
    <w:rsid w:val="00C023A8"/>
    <w:rsid w:val="00C02919"/>
    <w:rsid w:val="00C02E28"/>
    <w:rsid w:val="00C02F60"/>
    <w:rsid w:val="00C0312F"/>
    <w:rsid w:val="00C03648"/>
    <w:rsid w:val="00C03734"/>
    <w:rsid w:val="00C04498"/>
    <w:rsid w:val="00C04607"/>
    <w:rsid w:val="00C04708"/>
    <w:rsid w:val="00C04F42"/>
    <w:rsid w:val="00C05295"/>
    <w:rsid w:val="00C05929"/>
    <w:rsid w:val="00C0596F"/>
    <w:rsid w:val="00C05C20"/>
    <w:rsid w:val="00C05F96"/>
    <w:rsid w:val="00C06A64"/>
    <w:rsid w:val="00C06FFE"/>
    <w:rsid w:val="00C071F6"/>
    <w:rsid w:val="00C079F2"/>
    <w:rsid w:val="00C07AEA"/>
    <w:rsid w:val="00C07F76"/>
    <w:rsid w:val="00C10199"/>
    <w:rsid w:val="00C10590"/>
    <w:rsid w:val="00C107FA"/>
    <w:rsid w:val="00C1090D"/>
    <w:rsid w:val="00C10939"/>
    <w:rsid w:val="00C10AA6"/>
    <w:rsid w:val="00C10BC6"/>
    <w:rsid w:val="00C11061"/>
    <w:rsid w:val="00C112A0"/>
    <w:rsid w:val="00C11424"/>
    <w:rsid w:val="00C11790"/>
    <w:rsid w:val="00C11EC3"/>
    <w:rsid w:val="00C120C5"/>
    <w:rsid w:val="00C1223D"/>
    <w:rsid w:val="00C122D3"/>
    <w:rsid w:val="00C12ABF"/>
    <w:rsid w:val="00C12CB6"/>
    <w:rsid w:val="00C12D58"/>
    <w:rsid w:val="00C134D4"/>
    <w:rsid w:val="00C13762"/>
    <w:rsid w:val="00C1389D"/>
    <w:rsid w:val="00C138A8"/>
    <w:rsid w:val="00C13B9A"/>
    <w:rsid w:val="00C1414E"/>
    <w:rsid w:val="00C14EAF"/>
    <w:rsid w:val="00C15221"/>
    <w:rsid w:val="00C1562E"/>
    <w:rsid w:val="00C157EE"/>
    <w:rsid w:val="00C15EA0"/>
    <w:rsid w:val="00C163DB"/>
    <w:rsid w:val="00C1673D"/>
    <w:rsid w:val="00C1684C"/>
    <w:rsid w:val="00C17325"/>
    <w:rsid w:val="00C1734D"/>
    <w:rsid w:val="00C175A0"/>
    <w:rsid w:val="00C17D83"/>
    <w:rsid w:val="00C205DB"/>
    <w:rsid w:val="00C20A3E"/>
    <w:rsid w:val="00C20D3F"/>
    <w:rsid w:val="00C20FA5"/>
    <w:rsid w:val="00C213D3"/>
    <w:rsid w:val="00C2158E"/>
    <w:rsid w:val="00C2182C"/>
    <w:rsid w:val="00C21EA5"/>
    <w:rsid w:val="00C21ECF"/>
    <w:rsid w:val="00C22455"/>
    <w:rsid w:val="00C2298D"/>
    <w:rsid w:val="00C22A7D"/>
    <w:rsid w:val="00C22F49"/>
    <w:rsid w:val="00C23030"/>
    <w:rsid w:val="00C232FB"/>
    <w:rsid w:val="00C23561"/>
    <w:rsid w:val="00C2378D"/>
    <w:rsid w:val="00C23B19"/>
    <w:rsid w:val="00C23CB4"/>
    <w:rsid w:val="00C23FF4"/>
    <w:rsid w:val="00C24549"/>
    <w:rsid w:val="00C24628"/>
    <w:rsid w:val="00C24BA2"/>
    <w:rsid w:val="00C253FE"/>
    <w:rsid w:val="00C25448"/>
    <w:rsid w:val="00C25576"/>
    <w:rsid w:val="00C25807"/>
    <w:rsid w:val="00C25808"/>
    <w:rsid w:val="00C25C42"/>
    <w:rsid w:val="00C25FC9"/>
    <w:rsid w:val="00C2622D"/>
    <w:rsid w:val="00C26541"/>
    <w:rsid w:val="00C2670C"/>
    <w:rsid w:val="00C26C03"/>
    <w:rsid w:val="00C2714B"/>
    <w:rsid w:val="00C27459"/>
    <w:rsid w:val="00C2752D"/>
    <w:rsid w:val="00C27FC1"/>
    <w:rsid w:val="00C300DF"/>
    <w:rsid w:val="00C301C8"/>
    <w:rsid w:val="00C30340"/>
    <w:rsid w:val="00C30D1E"/>
    <w:rsid w:val="00C31461"/>
    <w:rsid w:val="00C31589"/>
    <w:rsid w:val="00C3178A"/>
    <w:rsid w:val="00C317A5"/>
    <w:rsid w:val="00C31D3A"/>
    <w:rsid w:val="00C325CE"/>
    <w:rsid w:val="00C32759"/>
    <w:rsid w:val="00C328F0"/>
    <w:rsid w:val="00C32C28"/>
    <w:rsid w:val="00C32D2F"/>
    <w:rsid w:val="00C333D1"/>
    <w:rsid w:val="00C3343D"/>
    <w:rsid w:val="00C3358E"/>
    <w:rsid w:val="00C3365C"/>
    <w:rsid w:val="00C34503"/>
    <w:rsid w:val="00C346AA"/>
    <w:rsid w:val="00C3480F"/>
    <w:rsid w:val="00C34895"/>
    <w:rsid w:val="00C34A4E"/>
    <w:rsid w:val="00C34A99"/>
    <w:rsid w:val="00C34EE6"/>
    <w:rsid w:val="00C36196"/>
    <w:rsid w:val="00C36B49"/>
    <w:rsid w:val="00C36F1B"/>
    <w:rsid w:val="00C3777C"/>
    <w:rsid w:val="00C377C1"/>
    <w:rsid w:val="00C40201"/>
    <w:rsid w:val="00C406F1"/>
    <w:rsid w:val="00C4096A"/>
    <w:rsid w:val="00C409D6"/>
    <w:rsid w:val="00C40BD1"/>
    <w:rsid w:val="00C40E0F"/>
    <w:rsid w:val="00C40E19"/>
    <w:rsid w:val="00C40F0D"/>
    <w:rsid w:val="00C4102F"/>
    <w:rsid w:val="00C41D0C"/>
    <w:rsid w:val="00C41EFA"/>
    <w:rsid w:val="00C428BA"/>
    <w:rsid w:val="00C42D34"/>
    <w:rsid w:val="00C43537"/>
    <w:rsid w:val="00C4409E"/>
    <w:rsid w:val="00C445F9"/>
    <w:rsid w:val="00C4471B"/>
    <w:rsid w:val="00C44B16"/>
    <w:rsid w:val="00C4529E"/>
    <w:rsid w:val="00C4552E"/>
    <w:rsid w:val="00C45753"/>
    <w:rsid w:val="00C457B5"/>
    <w:rsid w:val="00C4641F"/>
    <w:rsid w:val="00C46AFA"/>
    <w:rsid w:val="00C476FB"/>
    <w:rsid w:val="00C50305"/>
    <w:rsid w:val="00C503D3"/>
    <w:rsid w:val="00C5058D"/>
    <w:rsid w:val="00C50779"/>
    <w:rsid w:val="00C50DE0"/>
    <w:rsid w:val="00C51185"/>
    <w:rsid w:val="00C51D87"/>
    <w:rsid w:val="00C51F43"/>
    <w:rsid w:val="00C51FCC"/>
    <w:rsid w:val="00C5237D"/>
    <w:rsid w:val="00C52445"/>
    <w:rsid w:val="00C5252C"/>
    <w:rsid w:val="00C526FE"/>
    <w:rsid w:val="00C52D6C"/>
    <w:rsid w:val="00C52E31"/>
    <w:rsid w:val="00C537C7"/>
    <w:rsid w:val="00C53A7A"/>
    <w:rsid w:val="00C53E84"/>
    <w:rsid w:val="00C53FEE"/>
    <w:rsid w:val="00C54ADF"/>
    <w:rsid w:val="00C54EB2"/>
    <w:rsid w:val="00C55640"/>
    <w:rsid w:val="00C55818"/>
    <w:rsid w:val="00C55EAC"/>
    <w:rsid w:val="00C56BA5"/>
    <w:rsid w:val="00C56F47"/>
    <w:rsid w:val="00C57359"/>
    <w:rsid w:val="00C57C1C"/>
    <w:rsid w:val="00C57CAF"/>
    <w:rsid w:val="00C57D7B"/>
    <w:rsid w:val="00C57EAE"/>
    <w:rsid w:val="00C6068A"/>
    <w:rsid w:val="00C60787"/>
    <w:rsid w:val="00C616B6"/>
    <w:rsid w:val="00C61CD8"/>
    <w:rsid w:val="00C625BA"/>
    <w:rsid w:val="00C62629"/>
    <w:rsid w:val="00C6276C"/>
    <w:rsid w:val="00C62EBB"/>
    <w:rsid w:val="00C63015"/>
    <w:rsid w:val="00C63155"/>
    <w:rsid w:val="00C634ED"/>
    <w:rsid w:val="00C635B3"/>
    <w:rsid w:val="00C639DE"/>
    <w:rsid w:val="00C63A9B"/>
    <w:rsid w:val="00C63B4F"/>
    <w:rsid w:val="00C63DB1"/>
    <w:rsid w:val="00C6417C"/>
    <w:rsid w:val="00C64493"/>
    <w:rsid w:val="00C6546A"/>
    <w:rsid w:val="00C65563"/>
    <w:rsid w:val="00C65795"/>
    <w:rsid w:val="00C65A09"/>
    <w:rsid w:val="00C65DC2"/>
    <w:rsid w:val="00C661DB"/>
    <w:rsid w:val="00C662D0"/>
    <w:rsid w:val="00C670C6"/>
    <w:rsid w:val="00C67C18"/>
    <w:rsid w:val="00C67F1C"/>
    <w:rsid w:val="00C70EE4"/>
    <w:rsid w:val="00C711DB"/>
    <w:rsid w:val="00C71352"/>
    <w:rsid w:val="00C71640"/>
    <w:rsid w:val="00C719CB"/>
    <w:rsid w:val="00C71AE2"/>
    <w:rsid w:val="00C71DB9"/>
    <w:rsid w:val="00C72188"/>
    <w:rsid w:val="00C72F2F"/>
    <w:rsid w:val="00C7312D"/>
    <w:rsid w:val="00C735CA"/>
    <w:rsid w:val="00C73E2F"/>
    <w:rsid w:val="00C74B45"/>
    <w:rsid w:val="00C74D8B"/>
    <w:rsid w:val="00C74DE0"/>
    <w:rsid w:val="00C75108"/>
    <w:rsid w:val="00C7531B"/>
    <w:rsid w:val="00C75370"/>
    <w:rsid w:val="00C7540A"/>
    <w:rsid w:val="00C76420"/>
    <w:rsid w:val="00C7671B"/>
    <w:rsid w:val="00C767CE"/>
    <w:rsid w:val="00C76814"/>
    <w:rsid w:val="00C769AF"/>
    <w:rsid w:val="00C76AEB"/>
    <w:rsid w:val="00C76BF0"/>
    <w:rsid w:val="00C76D91"/>
    <w:rsid w:val="00C7711A"/>
    <w:rsid w:val="00C77580"/>
    <w:rsid w:val="00C80233"/>
    <w:rsid w:val="00C8038C"/>
    <w:rsid w:val="00C8088D"/>
    <w:rsid w:val="00C81089"/>
    <w:rsid w:val="00C816BA"/>
    <w:rsid w:val="00C81924"/>
    <w:rsid w:val="00C823FC"/>
    <w:rsid w:val="00C82E6E"/>
    <w:rsid w:val="00C831BC"/>
    <w:rsid w:val="00C833B8"/>
    <w:rsid w:val="00C83E44"/>
    <w:rsid w:val="00C83FAD"/>
    <w:rsid w:val="00C8407D"/>
    <w:rsid w:val="00C8488C"/>
    <w:rsid w:val="00C848A9"/>
    <w:rsid w:val="00C85125"/>
    <w:rsid w:val="00C85997"/>
    <w:rsid w:val="00C85B13"/>
    <w:rsid w:val="00C85B7F"/>
    <w:rsid w:val="00C85F10"/>
    <w:rsid w:val="00C8647F"/>
    <w:rsid w:val="00C86AD7"/>
    <w:rsid w:val="00C87101"/>
    <w:rsid w:val="00C871DD"/>
    <w:rsid w:val="00C87BE8"/>
    <w:rsid w:val="00C87CB2"/>
    <w:rsid w:val="00C87DB9"/>
    <w:rsid w:val="00C906F6"/>
    <w:rsid w:val="00C90E2E"/>
    <w:rsid w:val="00C910F1"/>
    <w:rsid w:val="00C92220"/>
    <w:rsid w:val="00C92F7D"/>
    <w:rsid w:val="00C93040"/>
    <w:rsid w:val="00C932FB"/>
    <w:rsid w:val="00C93BE4"/>
    <w:rsid w:val="00C93E79"/>
    <w:rsid w:val="00C93FF2"/>
    <w:rsid w:val="00C9440D"/>
    <w:rsid w:val="00C947B2"/>
    <w:rsid w:val="00C95245"/>
    <w:rsid w:val="00C954F8"/>
    <w:rsid w:val="00C95916"/>
    <w:rsid w:val="00C95A29"/>
    <w:rsid w:val="00C9600C"/>
    <w:rsid w:val="00C96057"/>
    <w:rsid w:val="00C9631A"/>
    <w:rsid w:val="00C96B9E"/>
    <w:rsid w:val="00C9743C"/>
    <w:rsid w:val="00C976DC"/>
    <w:rsid w:val="00C97DA9"/>
    <w:rsid w:val="00CA0781"/>
    <w:rsid w:val="00CA07B7"/>
    <w:rsid w:val="00CA0B43"/>
    <w:rsid w:val="00CA0C81"/>
    <w:rsid w:val="00CA0FE9"/>
    <w:rsid w:val="00CA1032"/>
    <w:rsid w:val="00CA1790"/>
    <w:rsid w:val="00CA1FB8"/>
    <w:rsid w:val="00CA207C"/>
    <w:rsid w:val="00CA2133"/>
    <w:rsid w:val="00CA215C"/>
    <w:rsid w:val="00CA21F0"/>
    <w:rsid w:val="00CA24DF"/>
    <w:rsid w:val="00CA2643"/>
    <w:rsid w:val="00CA368D"/>
    <w:rsid w:val="00CA3B63"/>
    <w:rsid w:val="00CA3CD0"/>
    <w:rsid w:val="00CA42A2"/>
    <w:rsid w:val="00CA4424"/>
    <w:rsid w:val="00CA4646"/>
    <w:rsid w:val="00CA4697"/>
    <w:rsid w:val="00CA4BC1"/>
    <w:rsid w:val="00CA5ADB"/>
    <w:rsid w:val="00CA5CAB"/>
    <w:rsid w:val="00CA606A"/>
    <w:rsid w:val="00CA663D"/>
    <w:rsid w:val="00CA7851"/>
    <w:rsid w:val="00CA7901"/>
    <w:rsid w:val="00CA7A6D"/>
    <w:rsid w:val="00CB03E0"/>
    <w:rsid w:val="00CB05DA"/>
    <w:rsid w:val="00CB0797"/>
    <w:rsid w:val="00CB09BF"/>
    <w:rsid w:val="00CB0D6C"/>
    <w:rsid w:val="00CB1C52"/>
    <w:rsid w:val="00CB203F"/>
    <w:rsid w:val="00CB221C"/>
    <w:rsid w:val="00CB261E"/>
    <w:rsid w:val="00CB2A62"/>
    <w:rsid w:val="00CB3DB9"/>
    <w:rsid w:val="00CB4288"/>
    <w:rsid w:val="00CB42AE"/>
    <w:rsid w:val="00CB42C1"/>
    <w:rsid w:val="00CB432B"/>
    <w:rsid w:val="00CB47D8"/>
    <w:rsid w:val="00CB60CF"/>
    <w:rsid w:val="00CB6471"/>
    <w:rsid w:val="00CB64F0"/>
    <w:rsid w:val="00CB6CBD"/>
    <w:rsid w:val="00CB73F3"/>
    <w:rsid w:val="00CB7485"/>
    <w:rsid w:val="00CB76EC"/>
    <w:rsid w:val="00CB7EE3"/>
    <w:rsid w:val="00CB7F06"/>
    <w:rsid w:val="00CB7F37"/>
    <w:rsid w:val="00CC061F"/>
    <w:rsid w:val="00CC0825"/>
    <w:rsid w:val="00CC12BE"/>
    <w:rsid w:val="00CC140D"/>
    <w:rsid w:val="00CC15D2"/>
    <w:rsid w:val="00CC1C8D"/>
    <w:rsid w:val="00CC1D7B"/>
    <w:rsid w:val="00CC1EF6"/>
    <w:rsid w:val="00CC2205"/>
    <w:rsid w:val="00CC22F7"/>
    <w:rsid w:val="00CC2C3D"/>
    <w:rsid w:val="00CC34DB"/>
    <w:rsid w:val="00CC3F0E"/>
    <w:rsid w:val="00CC3F93"/>
    <w:rsid w:val="00CC4B4F"/>
    <w:rsid w:val="00CC5045"/>
    <w:rsid w:val="00CC526B"/>
    <w:rsid w:val="00CC5373"/>
    <w:rsid w:val="00CC67CE"/>
    <w:rsid w:val="00CC69DA"/>
    <w:rsid w:val="00CC6F9F"/>
    <w:rsid w:val="00CC749F"/>
    <w:rsid w:val="00CC7EDC"/>
    <w:rsid w:val="00CC7FEE"/>
    <w:rsid w:val="00CD029E"/>
    <w:rsid w:val="00CD0624"/>
    <w:rsid w:val="00CD073B"/>
    <w:rsid w:val="00CD08C0"/>
    <w:rsid w:val="00CD098E"/>
    <w:rsid w:val="00CD0A92"/>
    <w:rsid w:val="00CD0E1B"/>
    <w:rsid w:val="00CD0F32"/>
    <w:rsid w:val="00CD10C2"/>
    <w:rsid w:val="00CD1403"/>
    <w:rsid w:val="00CD1469"/>
    <w:rsid w:val="00CD1847"/>
    <w:rsid w:val="00CD1BA0"/>
    <w:rsid w:val="00CD2425"/>
    <w:rsid w:val="00CD2463"/>
    <w:rsid w:val="00CD2C79"/>
    <w:rsid w:val="00CD3E9D"/>
    <w:rsid w:val="00CD4256"/>
    <w:rsid w:val="00CD4A51"/>
    <w:rsid w:val="00CD4F7C"/>
    <w:rsid w:val="00CD51B8"/>
    <w:rsid w:val="00CD52D4"/>
    <w:rsid w:val="00CD5BFB"/>
    <w:rsid w:val="00CD6921"/>
    <w:rsid w:val="00CD6C5F"/>
    <w:rsid w:val="00CD7119"/>
    <w:rsid w:val="00CD7463"/>
    <w:rsid w:val="00CD76A7"/>
    <w:rsid w:val="00CD7817"/>
    <w:rsid w:val="00CD789D"/>
    <w:rsid w:val="00CD7D53"/>
    <w:rsid w:val="00CD7DE8"/>
    <w:rsid w:val="00CE07D2"/>
    <w:rsid w:val="00CE0B5D"/>
    <w:rsid w:val="00CE0B78"/>
    <w:rsid w:val="00CE0C54"/>
    <w:rsid w:val="00CE0E00"/>
    <w:rsid w:val="00CE1547"/>
    <w:rsid w:val="00CE1696"/>
    <w:rsid w:val="00CE1B59"/>
    <w:rsid w:val="00CE1BF0"/>
    <w:rsid w:val="00CE213C"/>
    <w:rsid w:val="00CE2C5A"/>
    <w:rsid w:val="00CE2CAC"/>
    <w:rsid w:val="00CE30E9"/>
    <w:rsid w:val="00CE3275"/>
    <w:rsid w:val="00CE39AD"/>
    <w:rsid w:val="00CE3A84"/>
    <w:rsid w:val="00CE3CC7"/>
    <w:rsid w:val="00CE3D09"/>
    <w:rsid w:val="00CE400D"/>
    <w:rsid w:val="00CE4716"/>
    <w:rsid w:val="00CE471B"/>
    <w:rsid w:val="00CE51FF"/>
    <w:rsid w:val="00CE6285"/>
    <w:rsid w:val="00CE662E"/>
    <w:rsid w:val="00CE6B66"/>
    <w:rsid w:val="00CE6CA9"/>
    <w:rsid w:val="00CE72A5"/>
    <w:rsid w:val="00CE73EB"/>
    <w:rsid w:val="00CE75C8"/>
    <w:rsid w:val="00CE7C12"/>
    <w:rsid w:val="00CF00A7"/>
    <w:rsid w:val="00CF00F7"/>
    <w:rsid w:val="00CF03C3"/>
    <w:rsid w:val="00CF0AE7"/>
    <w:rsid w:val="00CF0AE9"/>
    <w:rsid w:val="00CF0CF1"/>
    <w:rsid w:val="00CF0E00"/>
    <w:rsid w:val="00CF14E4"/>
    <w:rsid w:val="00CF16FA"/>
    <w:rsid w:val="00CF1934"/>
    <w:rsid w:val="00CF2524"/>
    <w:rsid w:val="00CF2B2C"/>
    <w:rsid w:val="00CF2E05"/>
    <w:rsid w:val="00CF2FF1"/>
    <w:rsid w:val="00CF33DE"/>
    <w:rsid w:val="00CF3B3B"/>
    <w:rsid w:val="00CF3C7B"/>
    <w:rsid w:val="00CF3C99"/>
    <w:rsid w:val="00CF428A"/>
    <w:rsid w:val="00CF4F6C"/>
    <w:rsid w:val="00CF5C91"/>
    <w:rsid w:val="00CF5CF2"/>
    <w:rsid w:val="00CF61FB"/>
    <w:rsid w:val="00CF6299"/>
    <w:rsid w:val="00CF6FF9"/>
    <w:rsid w:val="00CF70D8"/>
    <w:rsid w:val="00CF740B"/>
    <w:rsid w:val="00CF7470"/>
    <w:rsid w:val="00CF7820"/>
    <w:rsid w:val="00CF7AB4"/>
    <w:rsid w:val="00CF7FC4"/>
    <w:rsid w:val="00D0021B"/>
    <w:rsid w:val="00D004B1"/>
    <w:rsid w:val="00D008DD"/>
    <w:rsid w:val="00D011E8"/>
    <w:rsid w:val="00D01228"/>
    <w:rsid w:val="00D0142B"/>
    <w:rsid w:val="00D02335"/>
    <w:rsid w:val="00D0243C"/>
    <w:rsid w:val="00D02A2D"/>
    <w:rsid w:val="00D02C3E"/>
    <w:rsid w:val="00D02D71"/>
    <w:rsid w:val="00D032F5"/>
    <w:rsid w:val="00D038BD"/>
    <w:rsid w:val="00D03B29"/>
    <w:rsid w:val="00D03C63"/>
    <w:rsid w:val="00D041AA"/>
    <w:rsid w:val="00D04636"/>
    <w:rsid w:val="00D04A24"/>
    <w:rsid w:val="00D04AFF"/>
    <w:rsid w:val="00D04F3F"/>
    <w:rsid w:val="00D05162"/>
    <w:rsid w:val="00D0519F"/>
    <w:rsid w:val="00D05401"/>
    <w:rsid w:val="00D0543E"/>
    <w:rsid w:val="00D05D53"/>
    <w:rsid w:val="00D064E2"/>
    <w:rsid w:val="00D0654E"/>
    <w:rsid w:val="00D06AD5"/>
    <w:rsid w:val="00D07E61"/>
    <w:rsid w:val="00D1025D"/>
    <w:rsid w:val="00D108E5"/>
    <w:rsid w:val="00D1132E"/>
    <w:rsid w:val="00D119B9"/>
    <w:rsid w:val="00D11CCF"/>
    <w:rsid w:val="00D11E79"/>
    <w:rsid w:val="00D1245D"/>
    <w:rsid w:val="00D1298F"/>
    <w:rsid w:val="00D130EA"/>
    <w:rsid w:val="00D132CA"/>
    <w:rsid w:val="00D13F38"/>
    <w:rsid w:val="00D140A4"/>
    <w:rsid w:val="00D15094"/>
    <w:rsid w:val="00D15759"/>
    <w:rsid w:val="00D158C9"/>
    <w:rsid w:val="00D15930"/>
    <w:rsid w:val="00D15A25"/>
    <w:rsid w:val="00D15B16"/>
    <w:rsid w:val="00D15E0D"/>
    <w:rsid w:val="00D16050"/>
    <w:rsid w:val="00D1643E"/>
    <w:rsid w:val="00D16564"/>
    <w:rsid w:val="00D16945"/>
    <w:rsid w:val="00D16DC2"/>
    <w:rsid w:val="00D16EC7"/>
    <w:rsid w:val="00D172CB"/>
    <w:rsid w:val="00D17ACE"/>
    <w:rsid w:val="00D17B85"/>
    <w:rsid w:val="00D17CF5"/>
    <w:rsid w:val="00D2074D"/>
    <w:rsid w:val="00D21544"/>
    <w:rsid w:val="00D219C7"/>
    <w:rsid w:val="00D21BE3"/>
    <w:rsid w:val="00D21FF1"/>
    <w:rsid w:val="00D2267B"/>
    <w:rsid w:val="00D226D1"/>
    <w:rsid w:val="00D22749"/>
    <w:rsid w:val="00D227C6"/>
    <w:rsid w:val="00D22F1F"/>
    <w:rsid w:val="00D23031"/>
    <w:rsid w:val="00D233C3"/>
    <w:rsid w:val="00D237C1"/>
    <w:rsid w:val="00D2426A"/>
    <w:rsid w:val="00D250A6"/>
    <w:rsid w:val="00D2512D"/>
    <w:rsid w:val="00D252CA"/>
    <w:rsid w:val="00D25594"/>
    <w:rsid w:val="00D258B3"/>
    <w:rsid w:val="00D25BFD"/>
    <w:rsid w:val="00D25E73"/>
    <w:rsid w:val="00D25FE8"/>
    <w:rsid w:val="00D269EA"/>
    <w:rsid w:val="00D26B13"/>
    <w:rsid w:val="00D272B6"/>
    <w:rsid w:val="00D274C1"/>
    <w:rsid w:val="00D30B30"/>
    <w:rsid w:val="00D3136A"/>
    <w:rsid w:val="00D31C45"/>
    <w:rsid w:val="00D31ECB"/>
    <w:rsid w:val="00D3287D"/>
    <w:rsid w:val="00D32A03"/>
    <w:rsid w:val="00D337FF"/>
    <w:rsid w:val="00D3396E"/>
    <w:rsid w:val="00D33ACF"/>
    <w:rsid w:val="00D33B44"/>
    <w:rsid w:val="00D33BA6"/>
    <w:rsid w:val="00D33C70"/>
    <w:rsid w:val="00D33CD3"/>
    <w:rsid w:val="00D33F3B"/>
    <w:rsid w:val="00D34226"/>
    <w:rsid w:val="00D34892"/>
    <w:rsid w:val="00D34CA7"/>
    <w:rsid w:val="00D34CF7"/>
    <w:rsid w:val="00D356C9"/>
    <w:rsid w:val="00D35DB7"/>
    <w:rsid w:val="00D362DA"/>
    <w:rsid w:val="00D367E0"/>
    <w:rsid w:val="00D36F4D"/>
    <w:rsid w:val="00D3744B"/>
    <w:rsid w:val="00D37562"/>
    <w:rsid w:val="00D379EC"/>
    <w:rsid w:val="00D37BA0"/>
    <w:rsid w:val="00D4076C"/>
    <w:rsid w:val="00D4089E"/>
    <w:rsid w:val="00D40B93"/>
    <w:rsid w:val="00D40DB0"/>
    <w:rsid w:val="00D4109F"/>
    <w:rsid w:val="00D411D4"/>
    <w:rsid w:val="00D41C5E"/>
    <w:rsid w:val="00D42444"/>
    <w:rsid w:val="00D426D3"/>
    <w:rsid w:val="00D428F7"/>
    <w:rsid w:val="00D42BD9"/>
    <w:rsid w:val="00D4327D"/>
    <w:rsid w:val="00D43712"/>
    <w:rsid w:val="00D43892"/>
    <w:rsid w:val="00D43F6D"/>
    <w:rsid w:val="00D45DAB"/>
    <w:rsid w:val="00D45F3E"/>
    <w:rsid w:val="00D4645A"/>
    <w:rsid w:val="00D46462"/>
    <w:rsid w:val="00D467C9"/>
    <w:rsid w:val="00D46A87"/>
    <w:rsid w:val="00D46B1D"/>
    <w:rsid w:val="00D46ECE"/>
    <w:rsid w:val="00D471FC"/>
    <w:rsid w:val="00D47749"/>
    <w:rsid w:val="00D47B8E"/>
    <w:rsid w:val="00D47BDF"/>
    <w:rsid w:val="00D50C31"/>
    <w:rsid w:val="00D50DF4"/>
    <w:rsid w:val="00D51409"/>
    <w:rsid w:val="00D51A8D"/>
    <w:rsid w:val="00D522D2"/>
    <w:rsid w:val="00D526E7"/>
    <w:rsid w:val="00D5321C"/>
    <w:rsid w:val="00D53723"/>
    <w:rsid w:val="00D5376C"/>
    <w:rsid w:val="00D5389B"/>
    <w:rsid w:val="00D53C4F"/>
    <w:rsid w:val="00D5487B"/>
    <w:rsid w:val="00D5531B"/>
    <w:rsid w:val="00D557F6"/>
    <w:rsid w:val="00D55B8F"/>
    <w:rsid w:val="00D55F0C"/>
    <w:rsid w:val="00D561CD"/>
    <w:rsid w:val="00D5663D"/>
    <w:rsid w:val="00D5708C"/>
    <w:rsid w:val="00D57592"/>
    <w:rsid w:val="00D57F7B"/>
    <w:rsid w:val="00D6013E"/>
    <w:rsid w:val="00D603EA"/>
    <w:rsid w:val="00D60418"/>
    <w:rsid w:val="00D60693"/>
    <w:rsid w:val="00D60A95"/>
    <w:rsid w:val="00D6236A"/>
    <w:rsid w:val="00D62473"/>
    <w:rsid w:val="00D62BBA"/>
    <w:rsid w:val="00D6329B"/>
    <w:rsid w:val="00D637F3"/>
    <w:rsid w:val="00D6388A"/>
    <w:rsid w:val="00D647CE"/>
    <w:rsid w:val="00D649A0"/>
    <w:rsid w:val="00D64A06"/>
    <w:rsid w:val="00D64F14"/>
    <w:rsid w:val="00D657F1"/>
    <w:rsid w:val="00D659E0"/>
    <w:rsid w:val="00D66158"/>
    <w:rsid w:val="00D661E6"/>
    <w:rsid w:val="00D666EA"/>
    <w:rsid w:val="00D66BFC"/>
    <w:rsid w:val="00D66F05"/>
    <w:rsid w:val="00D6722B"/>
    <w:rsid w:val="00D673B3"/>
    <w:rsid w:val="00D67E34"/>
    <w:rsid w:val="00D701CC"/>
    <w:rsid w:val="00D7022D"/>
    <w:rsid w:val="00D707EA"/>
    <w:rsid w:val="00D709DB"/>
    <w:rsid w:val="00D70B31"/>
    <w:rsid w:val="00D70D5B"/>
    <w:rsid w:val="00D70E46"/>
    <w:rsid w:val="00D71023"/>
    <w:rsid w:val="00D715EE"/>
    <w:rsid w:val="00D71D11"/>
    <w:rsid w:val="00D72022"/>
    <w:rsid w:val="00D7233A"/>
    <w:rsid w:val="00D72773"/>
    <w:rsid w:val="00D73ABB"/>
    <w:rsid w:val="00D73D18"/>
    <w:rsid w:val="00D73D77"/>
    <w:rsid w:val="00D73D7C"/>
    <w:rsid w:val="00D73DA9"/>
    <w:rsid w:val="00D73E43"/>
    <w:rsid w:val="00D73EDF"/>
    <w:rsid w:val="00D745F9"/>
    <w:rsid w:val="00D747F3"/>
    <w:rsid w:val="00D7483E"/>
    <w:rsid w:val="00D74DC6"/>
    <w:rsid w:val="00D7562B"/>
    <w:rsid w:val="00D75BB5"/>
    <w:rsid w:val="00D75E51"/>
    <w:rsid w:val="00D75F4D"/>
    <w:rsid w:val="00D760D7"/>
    <w:rsid w:val="00D761E5"/>
    <w:rsid w:val="00D7695B"/>
    <w:rsid w:val="00D76A63"/>
    <w:rsid w:val="00D76B30"/>
    <w:rsid w:val="00D76F61"/>
    <w:rsid w:val="00D771EC"/>
    <w:rsid w:val="00D772B6"/>
    <w:rsid w:val="00D7760C"/>
    <w:rsid w:val="00D776CA"/>
    <w:rsid w:val="00D77BD1"/>
    <w:rsid w:val="00D80105"/>
    <w:rsid w:val="00D8071F"/>
    <w:rsid w:val="00D80E66"/>
    <w:rsid w:val="00D8100D"/>
    <w:rsid w:val="00D81589"/>
    <w:rsid w:val="00D815F5"/>
    <w:rsid w:val="00D8183F"/>
    <w:rsid w:val="00D81DDF"/>
    <w:rsid w:val="00D826A4"/>
    <w:rsid w:val="00D828A9"/>
    <w:rsid w:val="00D83985"/>
    <w:rsid w:val="00D83CD7"/>
    <w:rsid w:val="00D84388"/>
    <w:rsid w:val="00D845CE"/>
    <w:rsid w:val="00D8461C"/>
    <w:rsid w:val="00D8483F"/>
    <w:rsid w:val="00D853D8"/>
    <w:rsid w:val="00D8565F"/>
    <w:rsid w:val="00D859F3"/>
    <w:rsid w:val="00D85BAA"/>
    <w:rsid w:val="00D85CA2"/>
    <w:rsid w:val="00D85CB6"/>
    <w:rsid w:val="00D86383"/>
    <w:rsid w:val="00D86F66"/>
    <w:rsid w:val="00D8708A"/>
    <w:rsid w:val="00D871C5"/>
    <w:rsid w:val="00D8769F"/>
    <w:rsid w:val="00D87728"/>
    <w:rsid w:val="00D87DE9"/>
    <w:rsid w:val="00D90464"/>
    <w:rsid w:val="00D907FB"/>
    <w:rsid w:val="00D90B11"/>
    <w:rsid w:val="00D90C9B"/>
    <w:rsid w:val="00D90CCA"/>
    <w:rsid w:val="00D9163C"/>
    <w:rsid w:val="00D91C62"/>
    <w:rsid w:val="00D92956"/>
    <w:rsid w:val="00D92F49"/>
    <w:rsid w:val="00D92F88"/>
    <w:rsid w:val="00D93400"/>
    <w:rsid w:val="00D93B54"/>
    <w:rsid w:val="00D94602"/>
    <w:rsid w:val="00D9486A"/>
    <w:rsid w:val="00D949CF"/>
    <w:rsid w:val="00D94D7A"/>
    <w:rsid w:val="00D95356"/>
    <w:rsid w:val="00D95366"/>
    <w:rsid w:val="00D956B2"/>
    <w:rsid w:val="00D957A0"/>
    <w:rsid w:val="00D95950"/>
    <w:rsid w:val="00D968B4"/>
    <w:rsid w:val="00D96CBB"/>
    <w:rsid w:val="00D96E41"/>
    <w:rsid w:val="00D97435"/>
    <w:rsid w:val="00D9795A"/>
    <w:rsid w:val="00D97ADC"/>
    <w:rsid w:val="00DA0335"/>
    <w:rsid w:val="00DA0A65"/>
    <w:rsid w:val="00DA1B75"/>
    <w:rsid w:val="00DA1BC6"/>
    <w:rsid w:val="00DA250D"/>
    <w:rsid w:val="00DA2AA1"/>
    <w:rsid w:val="00DA32AE"/>
    <w:rsid w:val="00DA34B4"/>
    <w:rsid w:val="00DA3913"/>
    <w:rsid w:val="00DA39DA"/>
    <w:rsid w:val="00DA3EA0"/>
    <w:rsid w:val="00DA52F2"/>
    <w:rsid w:val="00DA54A9"/>
    <w:rsid w:val="00DA587A"/>
    <w:rsid w:val="00DA58DE"/>
    <w:rsid w:val="00DA5DA5"/>
    <w:rsid w:val="00DA6EA2"/>
    <w:rsid w:val="00DA6FAF"/>
    <w:rsid w:val="00DA70E5"/>
    <w:rsid w:val="00DA7209"/>
    <w:rsid w:val="00DA73BA"/>
    <w:rsid w:val="00DA73ED"/>
    <w:rsid w:val="00DA7C3D"/>
    <w:rsid w:val="00DB0E6A"/>
    <w:rsid w:val="00DB0E70"/>
    <w:rsid w:val="00DB0F78"/>
    <w:rsid w:val="00DB1083"/>
    <w:rsid w:val="00DB1411"/>
    <w:rsid w:val="00DB179A"/>
    <w:rsid w:val="00DB1BD4"/>
    <w:rsid w:val="00DB1D9B"/>
    <w:rsid w:val="00DB1FB2"/>
    <w:rsid w:val="00DB22CD"/>
    <w:rsid w:val="00DB27B0"/>
    <w:rsid w:val="00DB2904"/>
    <w:rsid w:val="00DB2D33"/>
    <w:rsid w:val="00DB2F94"/>
    <w:rsid w:val="00DB301C"/>
    <w:rsid w:val="00DB34BD"/>
    <w:rsid w:val="00DB483F"/>
    <w:rsid w:val="00DB4AEC"/>
    <w:rsid w:val="00DB4EA0"/>
    <w:rsid w:val="00DB53F0"/>
    <w:rsid w:val="00DB5B38"/>
    <w:rsid w:val="00DB5CDE"/>
    <w:rsid w:val="00DB606B"/>
    <w:rsid w:val="00DB618F"/>
    <w:rsid w:val="00DB6921"/>
    <w:rsid w:val="00DB69EB"/>
    <w:rsid w:val="00DB6A4E"/>
    <w:rsid w:val="00DB6BBD"/>
    <w:rsid w:val="00DB7001"/>
    <w:rsid w:val="00DB7543"/>
    <w:rsid w:val="00DB7621"/>
    <w:rsid w:val="00DB78B1"/>
    <w:rsid w:val="00DB7ADF"/>
    <w:rsid w:val="00DB7C3D"/>
    <w:rsid w:val="00DC05AA"/>
    <w:rsid w:val="00DC062F"/>
    <w:rsid w:val="00DC150F"/>
    <w:rsid w:val="00DC159C"/>
    <w:rsid w:val="00DC15AC"/>
    <w:rsid w:val="00DC2137"/>
    <w:rsid w:val="00DC2823"/>
    <w:rsid w:val="00DC2A8C"/>
    <w:rsid w:val="00DC2BE5"/>
    <w:rsid w:val="00DC2F62"/>
    <w:rsid w:val="00DC30C1"/>
    <w:rsid w:val="00DC312E"/>
    <w:rsid w:val="00DC3494"/>
    <w:rsid w:val="00DC35CC"/>
    <w:rsid w:val="00DC3B87"/>
    <w:rsid w:val="00DC3F44"/>
    <w:rsid w:val="00DC5579"/>
    <w:rsid w:val="00DC5ADD"/>
    <w:rsid w:val="00DC5C4D"/>
    <w:rsid w:val="00DC6C4E"/>
    <w:rsid w:val="00DC7365"/>
    <w:rsid w:val="00DC772C"/>
    <w:rsid w:val="00DC7B2B"/>
    <w:rsid w:val="00DC7EED"/>
    <w:rsid w:val="00DD009A"/>
    <w:rsid w:val="00DD019C"/>
    <w:rsid w:val="00DD0A10"/>
    <w:rsid w:val="00DD0A60"/>
    <w:rsid w:val="00DD14EE"/>
    <w:rsid w:val="00DD1989"/>
    <w:rsid w:val="00DD19E6"/>
    <w:rsid w:val="00DD1B33"/>
    <w:rsid w:val="00DD256E"/>
    <w:rsid w:val="00DD2648"/>
    <w:rsid w:val="00DD2C81"/>
    <w:rsid w:val="00DD3367"/>
    <w:rsid w:val="00DD33AF"/>
    <w:rsid w:val="00DD33B1"/>
    <w:rsid w:val="00DD3732"/>
    <w:rsid w:val="00DD421A"/>
    <w:rsid w:val="00DD427F"/>
    <w:rsid w:val="00DD43BD"/>
    <w:rsid w:val="00DD49E2"/>
    <w:rsid w:val="00DD49EF"/>
    <w:rsid w:val="00DD4A52"/>
    <w:rsid w:val="00DD4D30"/>
    <w:rsid w:val="00DD50C9"/>
    <w:rsid w:val="00DD51A8"/>
    <w:rsid w:val="00DD5781"/>
    <w:rsid w:val="00DD5CB1"/>
    <w:rsid w:val="00DD60A4"/>
    <w:rsid w:val="00DD63F2"/>
    <w:rsid w:val="00DD64A9"/>
    <w:rsid w:val="00DD6D02"/>
    <w:rsid w:val="00DD6D76"/>
    <w:rsid w:val="00DD7298"/>
    <w:rsid w:val="00DD7761"/>
    <w:rsid w:val="00DD780F"/>
    <w:rsid w:val="00DD7A0F"/>
    <w:rsid w:val="00DD7F34"/>
    <w:rsid w:val="00DE0457"/>
    <w:rsid w:val="00DE0633"/>
    <w:rsid w:val="00DE0A91"/>
    <w:rsid w:val="00DE0B5F"/>
    <w:rsid w:val="00DE0C5A"/>
    <w:rsid w:val="00DE1536"/>
    <w:rsid w:val="00DE1BBC"/>
    <w:rsid w:val="00DE1C3C"/>
    <w:rsid w:val="00DE1D01"/>
    <w:rsid w:val="00DE1D37"/>
    <w:rsid w:val="00DE2344"/>
    <w:rsid w:val="00DE2392"/>
    <w:rsid w:val="00DE23F3"/>
    <w:rsid w:val="00DE2933"/>
    <w:rsid w:val="00DE2A11"/>
    <w:rsid w:val="00DE2FEC"/>
    <w:rsid w:val="00DE36EF"/>
    <w:rsid w:val="00DE3730"/>
    <w:rsid w:val="00DE3A5E"/>
    <w:rsid w:val="00DE4218"/>
    <w:rsid w:val="00DE4347"/>
    <w:rsid w:val="00DE44FB"/>
    <w:rsid w:val="00DE4521"/>
    <w:rsid w:val="00DE47A7"/>
    <w:rsid w:val="00DE47EC"/>
    <w:rsid w:val="00DE4889"/>
    <w:rsid w:val="00DE50DB"/>
    <w:rsid w:val="00DE5B9D"/>
    <w:rsid w:val="00DE6B15"/>
    <w:rsid w:val="00DE6C7D"/>
    <w:rsid w:val="00DE6F86"/>
    <w:rsid w:val="00DE76B2"/>
    <w:rsid w:val="00DE76C3"/>
    <w:rsid w:val="00DE79E8"/>
    <w:rsid w:val="00DF032F"/>
    <w:rsid w:val="00DF0A41"/>
    <w:rsid w:val="00DF106F"/>
    <w:rsid w:val="00DF2B94"/>
    <w:rsid w:val="00DF2C64"/>
    <w:rsid w:val="00DF3013"/>
    <w:rsid w:val="00DF3125"/>
    <w:rsid w:val="00DF3391"/>
    <w:rsid w:val="00DF3529"/>
    <w:rsid w:val="00DF3AE1"/>
    <w:rsid w:val="00DF3D3C"/>
    <w:rsid w:val="00DF4230"/>
    <w:rsid w:val="00DF450B"/>
    <w:rsid w:val="00DF4F1B"/>
    <w:rsid w:val="00DF5BE8"/>
    <w:rsid w:val="00DF5EBF"/>
    <w:rsid w:val="00DF6138"/>
    <w:rsid w:val="00DF6238"/>
    <w:rsid w:val="00DF631B"/>
    <w:rsid w:val="00DF63B4"/>
    <w:rsid w:val="00DF65A8"/>
    <w:rsid w:val="00DF66F7"/>
    <w:rsid w:val="00DF6BD9"/>
    <w:rsid w:val="00DF6C0C"/>
    <w:rsid w:val="00DF7348"/>
    <w:rsid w:val="00DF769F"/>
    <w:rsid w:val="00DF774F"/>
    <w:rsid w:val="00DF7A3A"/>
    <w:rsid w:val="00DF7EE9"/>
    <w:rsid w:val="00E000EC"/>
    <w:rsid w:val="00E0072F"/>
    <w:rsid w:val="00E00C35"/>
    <w:rsid w:val="00E00E21"/>
    <w:rsid w:val="00E01097"/>
    <w:rsid w:val="00E011D0"/>
    <w:rsid w:val="00E01353"/>
    <w:rsid w:val="00E01C6E"/>
    <w:rsid w:val="00E01E87"/>
    <w:rsid w:val="00E01F99"/>
    <w:rsid w:val="00E02121"/>
    <w:rsid w:val="00E0291A"/>
    <w:rsid w:val="00E02B52"/>
    <w:rsid w:val="00E02CC2"/>
    <w:rsid w:val="00E03A4F"/>
    <w:rsid w:val="00E03DDF"/>
    <w:rsid w:val="00E042BA"/>
    <w:rsid w:val="00E0510E"/>
    <w:rsid w:val="00E05D47"/>
    <w:rsid w:val="00E05DD8"/>
    <w:rsid w:val="00E061C6"/>
    <w:rsid w:val="00E06AA5"/>
    <w:rsid w:val="00E06DF8"/>
    <w:rsid w:val="00E07312"/>
    <w:rsid w:val="00E075D1"/>
    <w:rsid w:val="00E1079A"/>
    <w:rsid w:val="00E10ADC"/>
    <w:rsid w:val="00E10C87"/>
    <w:rsid w:val="00E10F5E"/>
    <w:rsid w:val="00E1124E"/>
    <w:rsid w:val="00E11584"/>
    <w:rsid w:val="00E120DE"/>
    <w:rsid w:val="00E13682"/>
    <w:rsid w:val="00E14614"/>
    <w:rsid w:val="00E14C87"/>
    <w:rsid w:val="00E14D70"/>
    <w:rsid w:val="00E14DDE"/>
    <w:rsid w:val="00E14FEC"/>
    <w:rsid w:val="00E15797"/>
    <w:rsid w:val="00E160D6"/>
    <w:rsid w:val="00E16807"/>
    <w:rsid w:val="00E16A4E"/>
    <w:rsid w:val="00E2034D"/>
    <w:rsid w:val="00E206A5"/>
    <w:rsid w:val="00E20F5B"/>
    <w:rsid w:val="00E2113A"/>
    <w:rsid w:val="00E21340"/>
    <w:rsid w:val="00E2180C"/>
    <w:rsid w:val="00E235F7"/>
    <w:rsid w:val="00E238AD"/>
    <w:rsid w:val="00E240C2"/>
    <w:rsid w:val="00E245E1"/>
    <w:rsid w:val="00E25101"/>
    <w:rsid w:val="00E25402"/>
    <w:rsid w:val="00E254BF"/>
    <w:rsid w:val="00E25591"/>
    <w:rsid w:val="00E25F6E"/>
    <w:rsid w:val="00E25F94"/>
    <w:rsid w:val="00E26C4F"/>
    <w:rsid w:val="00E26FF5"/>
    <w:rsid w:val="00E27341"/>
    <w:rsid w:val="00E273FA"/>
    <w:rsid w:val="00E27941"/>
    <w:rsid w:val="00E27F1D"/>
    <w:rsid w:val="00E30157"/>
    <w:rsid w:val="00E307A1"/>
    <w:rsid w:val="00E307F1"/>
    <w:rsid w:val="00E310AD"/>
    <w:rsid w:val="00E314D1"/>
    <w:rsid w:val="00E31794"/>
    <w:rsid w:val="00E3192C"/>
    <w:rsid w:val="00E31ACC"/>
    <w:rsid w:val="00E31E26"/>
    <w:rsid w:val="00E321ED"/>
    <w:rsid w:val="00E327C2"/>
    <w:rsid w:val="00E3291F"/>
    <w:rsid w:val="00E32950"/>
    <w:rsid w:val="00E3399D"/>
    <w:rsid w:val="00E34C7D"/>
    <w:rsid w:val="00E34E04"/>
    <w:rsid w:val="00E35474"/>
    <w:rsid w:val="00E3576C"/>
    <w:rsid w:val="00E35BBF"/>
    <w:rsid w:val="00E36BD9"/>
    <w:rsid w:val="00E36C17"/>
    <w:rsid w:val="00E37014"/>
    <w:rsid w:val="00E379BD"/>
    <w:rsid w:val="00E37D33"/>
    <w:rsid w:val="00E4055F"/>
    <w:rsid w:val="00E40977"/>
    <w:rsid w:val="00E409E2"/>
    <w:rsid w:val="00E4110B"/>
    <w:rsid w:val="00E41629"/>
    <w:rsid w:val="00E42994"/>
    <w:rsid w:val="00E42A17"/>
    <w:rsid w:val="00E43196"/>
    <w:rsid w:val="00E437E5"/>
    <w:rsid w:val="00E44544"/>
    <w:rsid w:val="00E445D5"/>
    <w:rsid w:val="00E454E9"/>
    <w:rsid w:val="00E45A95"/>
    <w:rsid w:val="00E45B1F"/>
    <w:rsid w:val="00E46BF2"/>
    <w:rsid w:val="00E47000"/>
    <w:rsid w:val="00E471B5"/>
    <w:rsid w:val="00E472EB"/>
    <w:rsid w:val="00E47B23"/>
    <w:rsid w:val="00E47B31"/>
    <w:rsid w:val="00E47BAC"/>
    <w:rsid w:val="00E50595"/>
    <w:rsid w:val="00E506DB"/>
    <w:rsid w:val="00E50C6D"/>
    <w:rsid w:val="00E513E7"/>
    <w:rsid w:val="00E525DE"/>
    <w:rsid w:val="00E52D4A"/>
    <w:rsid w:val="00E530DF"/>
    <w:rsid w:val="00E5336E"/>
    <w:rsid w:val="00E5396F"/>
    <w:rsid w:val="00E53F9E"/>
    <w:rsid w:val="00E543BC"/>
    <w:rsid w:val="00E54662"/>
    <w:rsid w:val="00E54EFC"/>
    <w:rsid w:val="00E54F60"/>
    <w:rsid w:val="00E552B2"/>
    <w:rsid w:val="00E5596C"/>
    <w:rsid w:val="00E564FD"/>
    <w:rsid w:val="00E565EC"/>
    <w:rsid w:val="00E56D57"/>
    <w:rsid w:val="00E56FFF"/>
    <w:rsid w:val="00E5792E"/>
    <w:rsid w:val="00E57A36"/>
    <w:rsid w:val="00E600B2"/>
    <w:rsid w:val="00E60486"/>
    <w:rsid w:val="00E6095D"/>
    <w:rsid w:val="00E60BDE"/>
    <w:rsid w:val="00E6116F"/>
    <w:rsid w:val="00E61789"/>
    <w:rsid w:val="00E61905"/>
    <w:rsid w:val="00E61D02"/>
    <w:rsid w:val="00E62150"/>
    <w:rsid w:val="00E622DF"/>
    <w:rsid w:val="00E624F5"/>
    <w:rsid w:val="00E626E8"/>
    <w:rsid w:val="00E62A8D"/>
    <w:rsid w:val="00E631EE"/>
    <w:rsid w:val="00E63472"/>
    <w:rsid w:val="00E63988"/>
    <w:rsid w:val="00E63D97"/>
    <w:rsid w:val="00E63FF8"/>
    <w:rsid w:val="00E64051"/>
    <w:rsid w:val="00E64B10"/>
    <w:rsid w:val="00E64DF5"/>
    <w:rsid w:val="00E651EB"/>
    <w:rsid w:val="00E65AB8"/>
    <w:rsid w:val="00E65BE6"/>
    <w:rsid w:val="00E65CFF"/>
    <w:rsid w:val="00E660A7"/>
    <w:rsid w:val="00E6614B"/>
    <w:rsid w:val="00E66675"/>
    <w:rsid w:val="00E6684B"/>
    <w:rsid w:val="00E66928"/>
    <w:rsid w:val="00E66B09"/>
    <w:rsid w:val="00E6724B"/>
    <w:rsid w:val="00E67CF0"/>
    <w:rsid w:val="00E70622"/>
    <w:rsid w:val="00E70A1C"/>
    <w:rsid w:val="00E70DCC"/>
    <w:rsid w:val="00E70F6D"/>
    <w:rsid w:val="00E70FE7"/>
    <w:rsid w:val="00E71684"/>
    <w:rsid w:val="00E7182F"/>
    <w:rsid w:val="00E71BB4"/>
    <w:rsid w:val="00E7255D"/>
    <w:rsid w:val="00E72F72"/>
    <w:rsid w:val="00E73B48"/>
    <w:rsid w:val="00E74295"/>
    <w:rsid w:val="00E743AB"/>
    <w:rsid w:val="00E743C8"/>
    <w:rsid w:val="00E74881"/>
    <w:rsid w:val="00E74ECD"/>
    <w:rsid w:val="00E75290"/>
    <w:rsid w:val="00E759BC"/>
    <w:rsid w:val="00E75A18"/>
    <w:rsid w:val="00E75DF3"/>
    <w:rsid w:val="00E76050"/>
    <w:rsid w:val="00E76156"/>
    <w:rsid w:val="00E769C1"/>
    <w:rsid w:val="00E77160"/>
    <w:rsid w:val="00E772CA"/>
    <w:rsid w:val="00E775F5"/>
    <w:rsid w:val="00E77B34"/>
    <w:rsid w:val="00E77BC0"/>
    <w:rsid w:val="00E77F99"/>
    <w:rsid w:val="00E80261"/>
    <w:rsid w:val="00E80B31"/>
    <w:rsid w:val="00E8115B"/>
    <w:rsid w:val="00E8167C"/>
    <w:rsid w:val="00E81AEF"/>
    <w:rsid w:val="00E81B58"/>
    <w:rsid w:val="00E8282C"/>
    <w:rsid w:val="00E83359"/>
    <w:rsid w:val="00E839A5"/>
    <w:rsid w:val="00E83AA9"/>
    <w:rsid w:val="00E83FD8"/>
    <w:rsid w:val="00E845B3"/>
    <w:rsid w:val="00E84D99"/>
    <w:rsid w:val="00E84EFF"/>
    <w:rsid w:val="00E85441"/>
    <w:rsid w:val="00E85612"/>
    <w:rsid w:val="00E85963"/>
    <w:rsid w:val="00E85F5D"/>
    <w:rsid w:val="00E863AF"/>
    <w:rsid w:val="00E86707"/>
    <w:rsid w:val="00E867F5"/>
    <w:rsid w:val="00E87F7B"/>
    <w:rsid w:val="00E901B6"/>
    <w:rsid w:val="00E903B3"/>
    <w:rsid w:val="00E904D1"/>
    <w:rsid w:val="00E90956"/>
    <w:rsid w:val="00E90AF0"/>
    <w:rsid w:val="00E90E02"/>
    <w:rsid w:val="00E913F4"/>
    <w:rsid w:val="00E91AA3"/>
    <w:rsid w:val="00E91E42"/>
    <w:rsid w:val="00E91EC5"/>
    <w:rsid w:val="00E92054"/>
    <w:rsid w:val="00E92097"/>
    <w:rsid w:val="00E92111"/>
    <w:rsid w:val="00E92AB2"/>
    <w:rsid w:val="00E9387F"/>
    <w:rsid w:val="00E93945"/>
    <w:rsid w:val="00E939F5"/>
    <w:rsid w:val="00E93CC4"/>
    <w:rsid w:val="00E93F75"/>
    <w:rsid w:val="00E94049"/>
    <w:rsid w:val="00E944CA"/>
    <w:rsid w:val="00E9530A"/>
    <w:rsid w:val="00E95F6F"/>
    <w:rsid w:val="00E961F1"/>
    <w:rsid w:val="00E972C7"/>
    <w:rsid w:val="00E97875"/>
    <w:rsid w:val="00E979BF"/>
    <w:rsid w:val="00E97D88"/>
    <w:rsid w:val="00EA058F"/>
    <w:rsid w:val="00EA066B"/>
    <w:rsid w:val="00EA08C6"/>
    <w:rsid w:val="00EA0A92"/>
    <w:rsid w:val="00EA0BFB"/>
    <w:rsid w:val="00EA0DE1"/>
    <w:rsid w:val="00EA1644"/>
    <w:rsid w:val="00EA17F9"/>
    <w:rsid w:val="00EA1A8B"/>
    <w:rsid w:val="00EA2106"/>
    <w:rsid w:val="00EA33A3"/>
    <w:rsid w:val="00EA3679"/>
    <w:rsid w:val="00EA4088"/>
    <w:rsid w:val="00EA447A"/>
    <w:rsid w:val="00EA468A"/>
    <w:rsid w:val="00EA4F83"/>
    <w:rsid w:val="00EA525C"/>
    <w:rsid w:val="00EA53A3"/>
    <w:rsid w:val="00EA5563"/>
    <w:rsid w:val="00EA62BB"/>
    <w:rsid w:val="00EA7341"/>
    <w:rsid w:val="00EA7842"/>
    <w:rsid w:val="00EA7A71"/>
    <w:rsid w:val="00EA7CC1"/>
    <w:rsid w:val="00EB0A85"/>
    <w:rsid w:val="00EB0CC9"/>
    <w:rsid w:val="00EB1039"/>
    <w:rsid w:val="00EB1666"/>
    <w:rsid w:val="00EB1788"/>
    <w:rsid w:val="00EB1870"/>
    <w:rsid w:val="00EB1BA5"/>
    <w:rsid w:val="00EB1CA9"/>
    <w:rsid w:val="00EB3520"/>
    <w:rsid w:val="00EB3F91"/>
    <w:rsid w:val="00EB4352"/>
    <w:rsid w:val="00EB54E0"/>
    <w:rsid w:val="00EB5829"/>
    <w:rsid w:val="00EB6B08"/>
    <w:rsid w:val="00EB6D14"/>
    <w:rsid w:val="00EB6F6B"/>
    <w:rsid w:val="00EB73A3"/>
    <w:rsid w:val="00EB7423"/>
    <w:rsid w:val="00EB76F5"/>
    <w:rsid w:val="00EB774C"/>
    <w:rsid w:val="00EC020A"/>
    <w:rsid w:val="00EC0544"/>
    <w:rsid w:val="00EC0816"/>
    <w:rsid w:val="00EC094B"/>
    <w:rsid w:val="00EC0CD0"/>
    <w:rsid w:val="00EC0EB7"/>
    <w:rsid w:val="00EC1A49"/>
    <w:rsid w:val="00EC1A4F"/>
    <w:rsid w:val="00EC2554"/>
    <w:rsid w:val="00EC2929"/>
    <w:rsid w:val="00EC2ACF"/>
    <w:rsid w:val="00EC2E68"/>
    <w:rsid w:val="00EC2FC2"/>
    <w:rsid w:val="00EC39B8"/>
    <w:rsid w:val="00EC4086"/>
    <w:rsid w:val="00EC56BC"/>
    <w:rsid w:val="00EC5D61"/>
    <w:rsid w:val="00EC5FB6"/>
    <w:rsid w:val="00EC60AF"/>
    <w:rsid w:val="00EC626F"/>
    <w:rsid w:val="00EC64EA"/>
    <w:rsid w:val="00EC6AD0"/>
    <w:rsid w:val="00EC6C1C"/>
    <w:rsid w:val="00EC6DBF"/>
    <w:rsid w:val="00EC6F75"/>
    <w:rsid w:val="00EC73EF"/>
    <w:rsid w:val="00EC74F9"/>
    <w:rsid w:val="00EC7900"/>
    <w:rsid w:val="00EC7F41"/>
    <w:rsid w:val="00ED0FEB"/>
    <w:rsid w:val="00ED1024"/>
    <w:rsid w:val="00ED2028"/>
    <w:rsid w:val="00ED2AFB"/>
    <w:rsid w:val="00ED2E47"/>
    <w:rsid w:val="00ED2E81"/>
    <w:rsid w:val="00ED2E9F"/>
    <w:rsid w:val="00ED3452"/>
    <w:rsid w:val="00ED395B"/>
    <w:rsid w:val="00ED3A60"/>
    <w:rsid w:val="00ED4175"/>
    <w:rsid w:val="00ED4252"/>
    <w:rsid w:val="00ED43E5"/>
    <w:rsid w:val="00ED454F"/>
    <w:rsid w:val="00ED4822"/>
    <w:rsid w:val="00ED4923"/>
    <w:rsid w:val="00ED51D4"/>
    <w:rsid w:val="00ED537F"/>
    <w:rsid w:val="00ED53A1"/>
    <w:rsid w:val="00ED56A7"/>
    <w:rsid w:val="00ED6AD3"/>
    <w:rsid w:val="00ED6B3C"/>
    <w:rsid w:val="00ED6C3A"/>
    <w:rsid w:val="00ED6E3D"/>
    <w:rsid w:val="00ED6F98"/>
    <w:rsid w:val="00ED785B"/>
    <w:rsid w:val="00ED7D7F"/>
    <w:rsid w:val="00EE081C"/>
    <w:rsid w:val="00EE0BEF"/>
    <w:rsid w:val="00EE1295"/>
    <w:rsid w:val="00EE1807"/>
    <w:rsid w:val="00EE1C9F"/>
    <w:rsid w:val="00EE26A0"/>
    <w:rsid w:val="00EE2716"/>
    <w:rsid w:val="00EE2921"/>
    <w:rsid w:val="00EE2F49"/>
    <w:rsid w:val="00EE2FA9"/>
    <w:rsid w:val="00EE303C"/>
    <w:rsid w:val="00EE30D1"/>
    <w:rsid w:val="00EE3294"/>
    <w:rsid w:val="00EE3383"/>
    <w:rsid w:val="00EE3876"/>
    <w:rsid w:val="00EE3B08"/>
    <w:rsid w:val="00EE408E"/>
    <w:rsid w:val="00EE4129"/>
    <w:rsid w:val="00EE442C"/>
    <w:rsid w:val="00EE46DD"/>
    <w:rsid w:val="00EE4903"/>
    <w:rsid w:val="00EE636E"/>
    <w:rsid w:val="00EE648C"/>
    <w:rsid w:val="00EE669F"/>
    <w:rsid w:val="00EE7134"/>
    <w:rsid w:val="00EE73C5"/>
    <w:rsid w:val="00EE7603"/>
    <w:rsid w:val="00EE766D"/>
    <w:rsid w:val="00EE7687"/>
    <w:rsid w:val="00EE78B4"/>
    <w:rsid w:val="00EF00D4"/>
    <w:rsid w:val="00EF0B64"/>
    <w:rsid w:val="00EF1123"/>
    <w:rsid w:val="00EF192D"/>
    <w:rsid w:val="00EF2EC9"/>
    <w:rsid w:val="00EF3B8C"/>
    <w:rsid w:val="00EF40DC"/>
    <w:rsid w:val="00EF41E1"/>
    <w:rsid w:val="00EF44AF"/>
    <w:rsid w:val="00EF4699"/>
    <w:rsid w:val="00EF5009"/>
    <w:rsid w:val="00EF51A2"/>
    <w:rsid w:val="00EF58CF"/>
    <w:rsid w:val="00EF5C2F"/>
    <w:rsid w:val="00EF6421"/>
    <w:rsid w:val="00EF6605"/>
    <w:rsid w:val="00EF6C9F"/>
    <w:rsid w:val="00EF6F81"/>
    <w:rsid w:val="00EF7344"/>
    <w:rsid w:val="00EF7966"/>
    <w:rsid w:val="00EF7D24"/>
    <w:rsid w:val="00F001C2"/>
    <w:rsid w:val="00F002CC"/>
    <w:rsid w:val="00F00826"/>
    <w:rsid w:val="00F00EC4"/>
    <w:rsid w:val="00F00FFC"/>
    <w:rsid w:val="00F018CD"/>
    <w:rsid w:val="00F0259A"/>
    <w:rsid w:val="00F02A08"/>
    <w:rsid w:val="00F02CE0"/>
    <w:rsid w:val="00F02FC6"/>
    <w:rsid w:val="00F031E8"/>
    <w:rsid w:val="00F03455"/>
    <w:rsid w:val="00F036B1"/>
    <w:rsid w:val="00F04010"/>
    <w:rsid w:val="00F04217"/>
    <w:rsid w:val="00F04289"/>
    <w:rsid w:val="00F051B6"/>
    <w:rsid w:val="00F05292"/>
    <w:rsid w:val="00F054E5"/>
    <w:rsid w:val="00F054ED"/>
    <w:rsid w:val="00F05CA0"/>
    <w:rsid w:val="00F0615A"/>
    <w:rsid w:val="00F06232"/>
    <w:rsid w:val="00F06371"/>
    <w:rsid w:val="00F06C8E"/>
    <w:rsid w:val="00F06F73"/>
    <w:rsid w:val="00F0734C"/>
    <w:rsid w:val="00F076C1"/>
    <w:rsid w:val="00F07C7C"/>
    <w:rsid w:val="00F07FFE"/>
    <w:rsid w:val="00F108C0"/>
    <w:rsid w:val="00F10DD2"/>
    <w:rsid w:val="00F1114D"/>
    <w:rsid w:val="00F1150E"/>
    <w:rsid w:val="00F11607"/>
    <w:rsid w:val="00F11C0E"/>
    <w:rsid w:val="00F12538"/>
    <w:rsid w:val="00F12641"/>
    <w:rsid w:val="00F13D69"/>
    <w:rsid w:val="00F14033"/>
    <w:rsid w:val="00F1409B"/>
    <w:rsid w:val="00F14116"/>
    <w:rsid w:val="00F14340"/>
    <w:rsid w:val="00F147BF"/>
    <w:rsid w:val="00F14A8D"/>
    <w:rsid w:val="00F14F5A"/>
    <w:rsid w:val="00F151E5"/>
    <w:rsid w:val="00F15320"/>
    <w:rsid w:val="00F15439"/>
    <w:rsid w:val="00F1591D"/>
    <w:rsid w:val="00F15ECB"/>
    <w:rsid w:val="00F16145"/>
    <w:rsid w:val="00F1634E"/>
    <w:rsid w:val="00F16411"/>
    <w:rsid w:val="00F164FC"/>
    <w:rsid w:val="00F16670"/>
    <w:rsid w:val="00F168AB"/>
    <w:rsid w:val="00F16A7E"/>
    <w:rsid w:val="00F16EC7"/>
    <w:rsid w:val="00F176D2"/>
    <w:rsid w:val="00F17A4A"/>
    <w:rsid w:val="00F17FF8"/>
    <w:rsid w:val="00F2007B"/>
    <w:rsid w:val="00F205EF"/>
    <w:rsid w:val="00F207BD"/>
    <w:rsid w:val="00F208B4"/>
    <w:rsid w:val="00F212AC"/>
    <w:rsid w:val="00F215DD"/>
    <w:rsid w:val="00F21EC6"/>
    <w:rsid w:val="00F21F45"/>
    <w:rsid w:val="00F229D3"/>
    <w:rsid w:val="00F22FA5"/>
    <w:rsid w:val="00F2379C"/>
    <w:rsid w:val="00F23ED6"/>
    <w:rsid w:val="00F24A4D"/>
    <w:rsid w:val="00F24E32"/>
    <w:rsid w:val="00F25F35"/>
    <w:rsid w:val="00F263BD"/>
    <w:rsid w:val="00F265D4"/>
    <w:rsid w:val="00F26F1D"/>
    <w:rsid w:val="00F271AF"/>
    <w:rsid w:val="00F2753A"/>
    <w:rsid w:val="00F2760B"/>
    <w:rsid w:val="00F304D5"/>
    <w:rsid w:val="00F31BCB"/>
    <w:rsid w:val="00F31E19"/>
    <w:rsid w:val="00F32067"/>
    <w:rsid w:val="00F321C5"/>
    <w:rsid w:val="00F32C46"/>
    <w:rsid w:val="00F33C36"/>
    <w:rsid w:val="00F342C1"/>
    <w:rsid w:val="00F34B05"/>
    <w:rsid w:val="00F34FEA"/>
    <w:rsid w:val="00F3543F"/>
    <w:rsid w:val="00F355DD"/>
    <w:rsid w:val="00F360B8"/>
    <w:rsid w:val="00F360D2"/>
    <w:rsid w:val="00F363B7"/>
    <w:rsid w:val="00F36708"/>
    <w:rsid w:val="00F3694E"/>
    <w:rsid w:val="00F36E04"/>
    <w:rsid w:val="00F37694"/>
    <w:rsid w:val="00F379C0"/>
    <w:rsid w:val="00F37A73"/>
    <w:rsid w:val="00F37D25"/>
    <w:rsid w:val="00F40041"/>
    <w:rsid w:val="00F40868"/>
    <w:rsid w:val="00F40CFE"/>
    <w:rsid w:val="00F40DCF"/>
    <w:rsid w:val="00F41887"/>
    <w:rsid w:val="00F41901"/>
    <w:rsid w:val="00F41A2F"/>
    <w:rsid w:val="00F42189"/>
    <w:rsid w:val="00F42305"/>
    <w:rsid w:val="00F425F9"/>
    <w:rsid w:val="00F429D6"/>
    <w:rsid w:val="00F432CC"/>
    <w:rsid w:val="00F43702"/>
    <w:rsid w:val="00F43C84"/>
    <w:rsid w:val="00F4482A"/>
    <w:rsid w:val="00F451E7"/>
    <w:rsid w:val="00F454F7"/>
    <w:rsid w:val="00F45BC8"/>
    <w:rsid w:val="00F46255"/>
    <w:rsid w:val="00F46258"/>
    <w:rsid w:val="00F463D7"/>
    <w:rsid w:val="00F46522"/>
    <w:rsid w:val="00F47346"/>
    <w:rsid w:val="00F473DA"/>
    <w:rsid w:val="00F478CB"/>
    <w:rsid w:val="00F50727"/>
    <w:rsid w:val="00F5074B"/>
    <w:rsid w:val="00F509BE"/>
    <w:rsid w:val="00F50FC2"/>
    <w:rsid w:val="00F515CB"/>
    <w:rsid w:val="00F523A4"/>
    <w:rsid w:val="00F52486"/>
    <w:rsid w:val="00F524A7"/>
    <w:rsid w:val="00F52733"/>
    <w:rsid w:val="00F52946"/>
    <w:rsid w:val="00F52A7C"/>
    <w:rsid w:val="00F52B25"/>
    <w:rsid w:val="00F544CA"/>
    <w:rsid w:val="00F54877"/>
    <w:rsid w:val="00F5497B"/>
    <w:rsid w:val="00F54B49"/>
    <w:rsid w:val="00F54D26"/>
    <w:rsid w:val="00F54D73"/>
    <w:rsid w:val="00F55323"/>
    <w:rsid w:val="00F55661"/>
    <w:rsid w:val="00F56787"/>
    <w:rsid w:val="00F56A92"/>
    <w:rsid w:val="00F56CD4"/>
    <w:rsid w:val="00F61980"/>
    <w:rsid w:val="00F623E0"/>
    <w:rsid w:val="00F62592"/>
    <w:rsid w:val="00F62E01"/>
    <w:rsid w:val="00F62E1C"/>
    <w:rsid w:val="00F6368E"/>
    <w:rsid w:val="00F6389B"/>
    <w:rsid w:val="00F638C7"/>
    <w:rsid w:val="00F639F2"/>
    <w:rsid w:val="00F64EFE"/>
    <w:rsid w:val="00F656B2"/>
    <w:rsid w:val="00F65CE9"/>
    <w:rsid w:val="00F65DA6"/>
    <w:rsid w:val="00F65F0C"/>
    <w:rsid w:val="00F65FA4"/>
    <w:rsid w:val="00F6645C"/>
    <w:rsid w:val="00F66461"/>
    <w:rsid w:val="00F66726"/>
    <w:rsid w:val="00F676B9"/>
    <w:rsid w:val="00F67D03"/>
    <w:rsid w:val="00F707F8"/>
    <w:rsid w:val="00F714FF"/>
    <w:rsid w:val="00F737AF"/>
    <w:rsid w:val="00F744E0"/>
    <w:rsid w:val="00F74596"/>
    <w:rsid w:val="00F745A9"/>
    <w:rsid w:val="00F74819"/>
    <w:rsid w:val="00F74847"/>
    <w:rsid w:val="00F74CAE"/>
    <w:rsid w:val="00F74EFB"/>
    <w:rsid w:val="00F758E0"/>
    <w:rsid w:val="00F768BF"/>
    <w:rsid w:val="00F76CD8"/>
    <w:rsid w:val="00F76DF0"/>
    <w:rsid w:val="00F76E85"/>
    <w:rsid w:val="00F772D4"/>
    <w:rsid w:val="00F77CCE"/>
    <w:rsid w:val="00F80642"/>
    <w:rsid w:val="00F80C86"/>
    <w:rsid w:val="00F80F93"/>
    <w:rsid w:val="00F81082"/>
    <w:rsid w:val="00F8113B"/>
    <w:rsid w:val="00F81171"/>
    <w:rsid w:val="00F816D9"/>
    <w:rsid w:val="00F817E3"/>
    <w:rsid w:val="00F81ACA"/>
    <w:rsid w:val="00F81BB2"/>
    <w:rsid w:val="00F81F14"/>
    <w:rsid w:val="00F82562"/>
    <w:rsid w:val="00F82D0E"/>
    <w:rsid w:val="00F82D13"/>
    <w:rsid w:val="00F82D5B"/>
    <w:rsid w:val="00F834A1"/>
    <w:rsid w:val="00F838DA"/>
    <w:rsid w:val="00F8511F"/>
    <w:rsid w:val="00F85228"/>
    <w:rsid w:val="00F85A7D"/>
    <w:rsid w:val="00F85FF9"/>
    <w:rsid w:val="00F86366"/>
    <w:rsid w:val="00F8646B"/>
    <w:rsid w:val="00F86670"/>
    <w:rsid w:val="00F8675E"/>
    <w:rsid w:val="00F869E4"/>
    <w:rsid w:val="00F870DB"/>
    <w:rsid w:val="00F874E9"/>
    <w:rsid w:val="00F87650"/>
    <w:rsid w:val="00F9035D"/>
    <w:rsid w:val="00F90B3C"/>
    <w:rsid w:val="00F90BF0"/>
    <w:rsid w:val="00F90F85"/>
    <w:rsid w:val="00F90F94"/>
    <w:rsid w:val="00F912C0"/>
    <w:rsid w:val="00F91617"/>
    <w:rsid w:val="00F916B7"/>
    <w:rsid w:val="00F919C4"/>
    <w:rsid w:val="00F91E5E"/>
    <w:rsid w:val="00F921FF"/>
    <w:rsid w:val="00F92715"/>
    <w:rsid w:val="00F92D91"/>
    <w:rsid w:val="00F92DB6"/>
    <w:rsid w:val="00F930B4"/>
    <w:rsid w:val="00F936A8"/>
    <w:rsid w:val="00F939DE"/>
    <w:rsid w:val="00F9486A"/>
    <w:rsid w:val="00F949B9"/>
    <w:rsid w:val="00F94A9F"/>
    <w:rsid w:val="00F94B65"/>
    <w:rsid w:val="00F94DAE"/>
    <w:rsid w:val="00F94EE9"/>
    <w:rsid w:val="00F95010"/>
    <w:rsid w:val="00F95CAD"/>
    <w:rsid w:val="00F96E02"/>
    <w:rsid w:val="00F97581"/>
    <w:rsid w:val="00F9797A"/>
    <w:rsid w:val="00F97F39"/>
    <w:rsid w:val="00FA02DB"/>
    <w:rsid w:val="00FA099C"/>
    <w:rsid w:val="00FA0A6D"/>
    <w:rsid w:val="00FA0C2D"/>
    <w:rsid w:val="00FA0FC3"/>
    <w:rsid w:val="00FA10B9"/>
    <w:rsid w:val="00FA123B"/>
    <w:rsid w:val="00FA1720"/>
    <w:rsid w:val="00FA1A3B"/>
    <w:rsid w:val="00FA1ECA"/>
    <w:rsid w:val="00FA2199"/>
    <w:rsid w:val="00FA3134"/>
    <w:rsid w:val="00FA339D"/>
    <w:rsid w:val="00FA358A"/>
    <w:rsid w:val="00FA4271"/>
    <w:rsid w:val="00FA456F"/>
    <w:rsid w:val="00FA482C"/>
    <w:rsid w:val="00FA4983"/>
    <w:rsid w:val="00FA55C6"/>
    <w:rsid w:val="00FA5E2C"/>
    <w:rsid w:val="00FA620D"/>
    <w:rsid w:val="00FA639D"/>
    <w:rsid w:val="00FA67A9"/>
    <w:rsid w:val="00FA68AD"/>
    <w:rsid w:val="00FA69D0"/>
    <w:rsid w:val="00FA7BEF"/>
    <w:rsid w:val="00FB0142"/>
    <w:rsid w:val="00FB0289"/>
    <w:rsid w:val="00FB04F3"/>
    <w:rsid w:val="00FB0970"/>
    <w:rsid w:val="00FB0A7D"/>
    <w:rsid w:val="00FB1AF9"/>
    <w:rsid w:val="00FB2A7F"/>
    <w:rsid w:val="00FB2D62"/>
    <w:rsid w:val="00FB304E"/>
    <w:rsid w:val="00FB319A"/>
    <w:rsid w:val="00FB391A"/>
    <w:rsid w:val="00FB3CBB"/>
    <w:rsid w:val="00FB4119"/>
    <w:rsid w:val="00FB44C8"/>
    <w:rsid w:val="00FB4520"/>
    <w:rsid w:val="00FB4640"/>
    <w:rsid w:val="00FB4B92"/>
    <w:rsid w:val="00FB4F68"/>
    <w:rsid w:val="00FB509F"/>
    <w:rsid w:val="00FB5620"/>
    <w:rsid w:val="00FB569E"/>
    <w:rsid w:val="00FB5F97"/>
    <w:rsid w:val="00FB619C"/>
    <w:rsid w:val="00FB6959"/>
    <w:rsid w:val="00FB6995"/>
    <w:rsid w:val="00FB709C"/>
    <w:rsid w:val="00FB7788"/>
    <w:rsid w:val="00FC00CC"/>
    <w:rsid w:val="00FC04D4"/>
    <w:rsid w:val="00FC0616"/>
    <w:rsid w:val="00FC0B20"/>
    <w:rsid w:val="00FC0EA0"/>
    <w:rsid w:val="00FC1634"/>
    <w:rsid w:val="00FC21E0"/>
    <w:rsid w:val="00FC2BAB"/>
    <w:rsid w:val="00FC312A"/>
    <w:rsid w:val="00FC3C19"/>
    <w:rsid w:val="00FC4161"/>
    <w:rsid w:val="00FC44D9"/>
    <w:rsid w:val="00FC4A1E"/>
    <w:rsid w:val="00FC4B76"/>
    <w:rsid w:val="00FC524D"/>
    <w:rsid w:val="00FC544C"/>
    <w:rsid w:val="00FC5A66"/>
    <w:rsid w:val="00FC5AB8"/>
    <w:rsid w:val="00FC5B0B"/>
    <w:rsid w:val="00FC5C0F"/>
    <w:rsid w:val="00FC5C2F"/>
    <w:rsid w:val="00FC5F45"/>
    <w:rsid w:val="00FC6062"/>
    <w:rsid w:val="00FC6197"/>
    <w:rsid w:val="00FC6393"/>
    <w:rsid w:val="00FC690A"/>
    <w:rsid w:val="00FC6A35"/>
    <w:rsid w:val="00FC6B8A"/>
    <w:rsid w:val="00FC7625"/>
    <w:rsid w:val="00FC7784"/>
    <w:rsid w:val="00FC7885"/>
    <w:rsid w:val="00FC7CDF"/>
    <w:rsid w:val="00FC7DB9"/>
    <w:rsid w:val="00FD0BFD"/>
    <w:rsid w:val="00FD0D4E"/>
    <w:rsid w:val="00FD1676"/>
    <w:rsid w:val="00FD1924"/>
    <w:rsid w:val="00FD1AD5"/>
    <w:rsid w:val="00FD204E"/>
    <w:rsid w:val="00FD37C1"/>
    <w:rsid w:val="00FD3D3F"/>
    <w:rsid w:val="00FD4074"/>
    <w:rsid w:val="00FD45BD"/>
    <w:rsid w:val="00FD4B0D"/>
    <w:rsid w:val="00FD4C04"/>
    <w:rsid w:val="00FD4C22"/>
    <w:rsid w:val="00FD4DC3"/>
    <w:rsid w:val="00FD5274"/>
    <w:rsid w:val="00FD537E"/>
    <w:rsid w:val="00FD53A2"/>
    <w:rsid w:val="00FD642D"/>
    <w:rsid w:val="00FD675E"/>
    <w:rsid w:val="00FD6B10"/>
    <w:rsid w:val="00FD6FAB"/>
    <w:rsid w:val="00FD74CB"/>
    <w:rsid w:val="00FD7C98"/>
    <w:rsid w:val="00FD7CC7"/>
    <w:rsid w:val="00FD7D5C"/>
    <w:rsid w:val="00FE03F9"/>
    <w:rsid w:val="00FE0781"/>
    <w:rsid w:val="00FE1932"/>
    <w:rsid w:val="00FE19BB"/>
    <w:rsid w:val="00FE1C1B"/>
    <w:rsid w:val="00FE221D"/>
    <w:rsid w:val="00FE22E0"/>
    <w:rsid w:val="00FE23A8"/>
    <w:rsid w:val="00FE2543"/>
    <w:rsid w:val="00FE2EED"/>
    <w:rsid w:val="00FE2F2E"/>
    <w:rsid w:val="00FE3109"/>
    <w:rsid w:val="00FE3339"/>
    <w:rsid w:val="00FE3C31"/>
    <w:rsid w:val="00FE3E01"/>
    <w:rsid w:val="00FE490C"/>
    <w:rsid w:val="00FE492D"/>
    <w:rsid w:val="00FE4981"/>
    <w:rsid w:val="00FE4ABA"/>
    <w:rsid w:val="00FE5341"/>
    <w:rsid w:val="00FE564D"/>
    <w:rsid w:val="00FE56ED"/>
    <w:rsid w:val="00FE5814"/>
    <w:rsid w:val="00FE5A2F"/>
    <w:rsid w:val="00FE5BF1"/>
    <w:rsid w:val="00FE5C86"/>
    <w:rsid w:val="00FE5D67"/>
    <w:rsid w:val="00FE601A"/>
    <w:rsid w:val="00FE6075"/>
    <w:rsid w:val="00FE6291"/>
    <w:rsid w:val="00FE6588"/>
    <w:rsid w:val="00FE6CD1"/>
    <w:rsid w:val="00FE7271"/>
    <w:rsid w:val="00FE7AB0"/>
    <w:rsid w:val="00FE7AE9"/>
    <w:rsid w:val="00FE7BC6"/>
    <w:rsid w:val="00FE7CD2"/>
    <w:rsid w:val="00FF0091"/>
    <w:rsid w:val="00FF0425"/>
    <w:rsid w:val="00FF05AE"/>
    <w:rsid w:val="00FF0CB6"/>
    <w:rsid w:val="00FF0DEF"/>
    <w:rsid w:val="00FF12A1"/>
    <w:rsid w:val="00FF1741"/>
    <w:rsid w:val="00FF2032"/>
    <w:rsid w:val="00FF291F"/>
    <w:rsid w:val="00FF2AB3"/>
    <w:rsid w:val="00FF2BFC"/>
    <w:rsid w:val="00FF2CB0"/>
    <w:rsid w:val="00FF3059"/>
    <w:rsid w:val="00FF3247"/>
    <w:rsid w:val="00FF327E"/>
    <w:rsid w:val="00FF362A"/>
    <w:rsid w:val="00FF37C1"/>
    <w:rsid w:val="00FF46E8"/>
    <w:rsid w:val="00FF48EA"/>
    <w:rsid w:val="00FF4CE5"/>
    <w:rsid w:val="00FF4EAE"/>
    <w:rsid w:val="00FF5630"/>
    <w:rsid w:val="00FF56EA"/>
    <w:rsid w:val="00FF5A0E"/>
    <w:rsid w:val="00FF5DC1"/>
    <w:rsid w:val="00FF6B3A"/>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922C96"/>
  <w15:docId w15:val="{97B6720A-BDA2-4179-85E7-4B17A4512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nhideWhenUsed="1"/>
    <w:lsdException w:name="Table Grid 5" w:semiHidden="1" w:uiPriority="99"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uiPriority w:val="9"/>
    <w:qFormat/>
    <w:rsid w:val="00A30EDC"/>
    <w:pPr>
      <w:keepNext/>
      <w:tabs>
        <w:tab w:val="left" w:pos="567"/>
      </w:tabs>
      <w:spacing w:before="0" w:line="276" w:lineRule="auto"/>
      <w:ind w:firstLine="426"/>
      <w:jc w:val="center"/>
      <w:outlineLvl w:val="0"/>
    </w:pPr>
    <w:rPr>
      <w:sz w:val="28"/>
      <w:szCs w:val="20"/>
      <w:lang w:val="en-US"/>
    </w:rPr>
  </w:style>
  <w:style w:type="paragraph" w:styleId="Heading2">
    <w:name w:val="heading 2"/>
    <w:aliases w:val="(Chapter),Paranum,Body"/>
    <w:basedOn w:val="Normal"/>
    <w:next w:val="Normal"/>
    <w:link w:val="Heading2Char"/>
    <w:autoRedefine/>
    <w:uiPriority w:val="9"/>
    <w:qFormat/>
    <w:rsid w:val="002F7255"/>
    <w:pPr>
      <w:keepNext/>
      <w:spacing w:before="0" w:line="276" w:lineRule="auto"/>
      <w:jc w:val="center"/>
      <w:outlineLvl w:val="1"/>
    </w:pPr>
    <w:rPr>
      <w:rFonts w:eastAsia="Calibri" w:cs="Times LatArm"/>
      <w:sz w:val="24"/>
      <w:lang w:val="hy-AM" w:eastAsia="en-US"/>
    </w:rPr>
  </w:style>
  <w:style w:type="paragraph" w:styleId="Heading3">
    <w:name w:val="heading 3"/>
    <w:aliases w:val="Centered,(text),(Sub-Chapter),Heading 3 Char Char Char Char Char Char"/>
    <w:basedOn w:val="Normal"/>
    <w:next w:val="Normal"/>
    <w:link w:val="Heading3Char"/>
    <w:autoRedefine/>
    <w:uiPriority w:val="9"/>
    <w:qFormat/>
    <w:rsid w:val="002F7255"/>
    <w:pPr>
      <w:keepNext/>
      <w:tabs>
        <w:tab w:val="left" w:pos="709"/>
      </w:tabs>
      <w:spacing w:before="0"/>
      <w:ind w:firstLine="0"/>
      <w:jc w:val="center"/>
      <w:outlineLvl w:val="2"/>
    </w:pPr>
    <w:rPr>
      <w:rFonts w:eastAsia="Calibri" w:cs="GHEA Grapalat"/>
      <w:bCs/>
      <w:sz w:val="24"/>
      <w:szCs w:val="26"/>
      <w:lang w:val="af-ZA" w:eastAsia="en-US"/>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uiPriority w:val="99"/>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rPr>
  </w:style>
  <w:style w:type="paragraph" w:styleId="Header">
    <w:name w:val="header"/>
    <w:aliases w:val="Header Char Char Char Char Char Char Char Char Char Char,Header Char Char Char Char Char Char Char Char Char Char Char Char,h"/>
    <w:basedOn w:val="Normal"/>
    <w:link w:val="HeaderChar"/>
    <w:uiPriority w:val="99"/>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A5558B"/>
    <w:pPr>
      <w:spacing w:before="0" w:line="276" w:lineRule="auto"/>
      <w:ind w:firstLine="720"/>
    </w:pPr>
    <w:rPr>
      <w:rFonts w:eastAsia="Calibri"/>
      <w:b w:val="0"/>
      <w:szCs w:val="22"/>
      <w:lang w:val="hy-AM" w:eastAsia="en-US"/>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0">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OBC Bullet"/>
    <w:basedOn w:val="Normal"/>
    <w:link w:val="ListParagraphChar"/>
    <w:qFormat/>
    <w:rsid w:val="00DA54A9"/>
    <w:pPr>
      <w:ind w:left="720"/>
    </w:p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link w:val="DefaultChar"/>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uiPriority w:val="99"/>
    <w:rsid w:val="00C719CB"/>
    <w:pPr>
      <w:jc w:val="center"/>
    </w:pPr>
    <w:rPr>
      <w:rFonts w:ascii="Arial Armenian" w:hAnsi="Arial Armenian"/>
      <w:szCs w:val="20"/>
      <w:lang w:val="en-US"/>
    </w:rPr>
  </w:style>
  <w:style w:type="character" w:customStyle="1" w:styleId="mechtexChar">
    <w:name w:val="mechtex Char"/>
    <w:link w:val="mechtex"/>
    <w:uiPriority w:val="99"/>
    <w:rsid w:val="00C719CB"/>
    <w:rPr>
      <w:rFonts w:ascii="Arial Armenian" w:hAnsi="Arial Armenian"/>
      <w:sz w:val="22"/>
      <w:lang w:val="en-US" w:eastAsia="ru-RU" w:bidi="ar-SA"/>
    </w:rPr>
  </w:style>
  <w:style w:type="character" w:styleId="Strong">
    <w:name w:val="Strong"/>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uiPriority w:val="99"/>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qFormat/>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866D50"/>
    <w:pPr>
      <w:keepNext/>
      <w:numPr>
        <w:numId w:val="16"/>
      </w:numPr>
      <w:spacing w:before="0" w:line="276" w:lineRule="auto"/>
      <w:ind w:hanging="1350"/>
      <w:contextualSpacing w:val="0"/>
      <w:jc w:val="left"/>
    </w:pPr>
    <w:rPr>
      <w:rFonts w:cs="Sylfaen"/>
      <w:szCs w:val="22"/>
      <w:lang w:val="af-ZA"/>
    </w:rPr>
  </w:style>
  <w:style w:type="paragraph" w:customStyle="1" w:styleId="Charts">
    <w:name w:val="Charts"/>
    <w:basedOn w:val="Normal"/>
    <w:autoRedefine/>
    <w:qFormat/>
    <w:rsid w:val="00263EE6"/>
    <w:pPr>
      <w:keepNext/>
      <w:numPr>
        <w:numId w:val="17"/>
      </w:numPr>
      <w:tabs>
        <w:tab w:val="left" w:pos="795"/>
      </w:tabs>
      <w:spacing w:before="360" w:after="120" w:line="240" w:lineRule="auto"/>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DE6C7D"/>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DE6C7D"/>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FD4074"/>
    <w:pPr>
      <w:widowControl w:val="0"/>
      <w:spacing w:before="0" w:line="276" w:lineRule="auto"/>
      <w:ind w:firstLine="720"/>
    </w:pPr>
    <w:rPr>
      <w:rFonts w:eastAsia="Calibri" w:cs="Sylfaen"/>
      <w:b w:val="0"/>
      <w:szCs w:val="22"/>
      <w:lang w:val="af-ZA"/>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uiPriority w:val="99"/>
    <w:rsid w:val="00FA0FC3"/>
    <w:rPr>
      <w:sz w:val="16"/>
      <w:szCs w:val="16"/>
    </w:rPr>
  </w:style>
  <w:style w:type="paragraph" w:styleId="CommentText">
    <w:name w:val="annotation text"/>
    <w:basedOn w:val="Normal"/>
    <w:link w:val="CommentTextChar"/>
    <w:uiPriority w:val="99"/>
    <w:rsid w:val="00FA0FC3"/>
    <w:pPr>
      <w:spacing w:line="240" w:lineRule="auto"/>
    </w:pPr>
    <w:rPr>
      <w:sz w:val="20"/>
      <w:szCs w:val="20"/>
    </w:rPr>
  </w:style>
  <w:style w:type="character" w:customStyle="1" w:styleId="CommentTextChar">
    <w:name w:val="Comment Text Char"/>
    <w:basedOn w:val="DefaultParagraphFont"/>
    <w:link w:val="CommentText"/>
    <w:uiPriority w:val="99"/>
    <w:rsid w:val="00FA0FC3"/>
    <w:rPr>
      <w:rFonts w:ascii="GHEA Grapalat" w:hAnsi="GHEA Grapalat"/>
      <w:lang w:val="ru-RU" w:eastAsia="ru-RU"/>
    </w:rPr>
  </w:style>
  <w:style w:type="paragraph" w:styleId="CommentSubject">
    <w:name w:val="annotation subject"/>
    <w:basedOn w:val="CommentText"/>
    <w:next w:val="CommentText"/>
    <w:link w:val="CommentSubjectChar"/>
    <w:uiPriority w:val="99"/>
    <w:rsid w:val="00FA0FC3"/>
    <w:rPr>
      <w:b w:val="0"/>
      <w:bCs/>
    </w:rPr>
  </w:style>
  <w:style w:type="character" w:customStyle="1" w:styleId="CommentSubjectChar">
    <w:name w:val="Comment Subject Char"/>
    <w:basedOn w:val="CommentTextChar"/>
    <w:link w:val="CommentSubject"/>
    <w:uiPriority w:val="99"/>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ebb Char"/>
    <w:link w:val="NormalWeb"/>
    <w:locked/>
    <w:rsid w:val="008E54BF"/>
    <w:rPr>
      <w:rFonts w:ascii="GHEA Grapalat" w:hAnsi="GHEA Grapalat"/>
      <w:sz w:val="22"/>
      <w:szCs w:val="24"/>
      <w:lang w:val="ru-RU" w:eastAsia="ru-RU"/>
    </w:rPr>
  </w:style>
  <w:style w:type="numbering" w:customStyle="1" w:styleId="NoList1">
    <w:name w:val="No List1"/>
    <w:next w:val="NoList"/>
    <w:uiPriority w:val="99"/>
    <w:semiHidden/>
    <w:unhideWhenUsed/>
    <w:rsid w:val="008E54BF"/>
  </w:style>
  <w:style w:type="character" w:customStyle="1" w:styleId="Heading1Char">
    <w:name w:val="Heading 1 Char"/>
    <w:aliases w:val="(Text) Char,(Section) Char,Section Heading Char,1 Char, 1 Char,Chapter Char,head3 Char"/>
    <w:link w:val="Heading1"/>
    <w:uiPriority w:val="9"/>
    <w:rsid w:val="00A30EDC"/>
    <w:rPr>
      <w:rFonts w:ascii="GHEA Grapalat" w:hAnsi="GHEA Grapalat"/>
      <w:b/>
      <w:sz w:val="28"/>
      <w:lang w:eastAsia="ru-RU"/>
    </w:rPr>
  </w:style>
  <w:style w:type="character" w:customStyle="1" w:styleId="Heading2Char">
    <w:name w:val="Heading 2 Char"/>
    <w:aliases w:val="(Chapter) Char,Paranum Char,Body Char"/>
    <w:link w:val="Heading2"/>
    <w:uiPriority w:val="9"/>
    <w:rsid w:val="002F7255"/>
    <w:rPr>
      <w:rFonts w:ascii="GHEA Grapalat" w:eastAsia="Calibri" w:hAnsi="GHEA Grapalat" w:cs="Times LatArm"/>
      <w:b/>
      <w:sz w:val="24"/>
      <w:szCs w:val="24"/>
      <w:lang w:val="hy-AM"/>
    </w:rPr>
  </w:style>
  <w:style w:type="character" w:customStyle="1" w:styleId="Heading3Char">
    <w:name w:val="Heading 3 Char"/>
    <w:aliases w:val="Centered Char2,(text) Char2,(Sub-Chapter) Char2,Heading 3 Char Char Char Char Char Char Char2"/>
    <w:link w:val="Heading3"/>
    <w:uiPriority w:val="9"/>
    <w:rsid w:val="002F7255"/>
    <w:rPr>
      <w:rFonts w:ascii="GHEA Grapalat" w:eastAsia="Calibri" w:hAnsi="GHEA Grapalat" w:cs="GHEA Grapalat"/>
      <w:b/>
      <w:bCs/>
      <w:sz w:val="24"/>
      <w:szCs w:val="26"/>
      <w:lang w:val="af-ZA"/>
    </w:rPr>
  </w:style>
  <w:style w:type="character" w:customStyle="1" w:styleId="Heading4Char">
    <w:name w:val="Heading 4 Char"/>
    <w:aliases w:val="Centred Char"/>
    <w:link w:val="Heading4"/>
    <w:rsid w:val="004D4C68"/>
    <w:rPr>
      <w:rFonts w:ascii="GHEA Grapalat" w:hAnsi="GHEA Grapalat"/>
      <w:b/>
      <w:sz w:val="22"/>
      <w:lang w:val="en-GB"/>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A5558B"/>
    <w:rPr>
      <w:rFonts w:ascii="GHEA Grapalat" w:eastAsia="Calibri" w:hAnsi="GHEA Grapalat"/>
      <w:sz w:val="22"/>
      <w:szCs w:val="22"/>
      <w:lang w:val="hy-AM"/>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uiPriority w:val="99"/>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uiPriority w:val="39"/>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054D48"/>
    <w:pPr>
      <w:tabs>
        <w:tab w:val="left" w:pos="1843"/>
        <w:tab w:val="right" w:leader="dot" w:pos="9923"/>
      </w:tabs>
      <w:spacing w:before="0"/>
      <w:ind w:left="1440" w:hanging="1440"/>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rPr>
  </w:style>
  <w:style w:type="character" w:customStyle="1" w:styleId="Heading9Char">
    <w:name w:val="Heading 9 Char"/>
    <w:basedOn w:val="DefaultParagraphFont"/>
    <w:link w:val="Heading9"/>
    <w:rsid w:val="00060470"/>
    <w:rPr>
      <w:rFonts w:ascii="Garamond" w:hAnsi="Garamond"/>
      <w:b/>
      <w:i/>
      <w:kern w:val="28"/>
      <w:sz w:val="16"/>
      <w:lang w:val="en-GB"/>
    </w:rPr>
  </w:style>
  <w:style w:type="character" w:customStyle="1" w:styleId="FooterChar1">
    <w:name w:val="Footer Char1"/>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1">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2"/>
      </w:numPr>
      <w:tabs>
        <w:tab w:val="clear" w:pos="540"/>
      </w:tabs>
      <w:spacing w:before="0" w:line="240" w:lineRule="auto"/>
      <w:ind w:left="0" w:firstLine="0"/>
      <w:contextualSpacing w:val="0"/>
      <w:jc w:val="left"/>
    </w:pPr>
    <w:rPr>
      <w:rFonts w:ascii="Courier New" w:hAnsi="Courier New"/>
      <w:sz w:val="20"/>
      <w:szCs w:val="20"/>
    </w:rPr>
  </w:style>
  <w:style w:type="character" w:customStyle="1" w:styleId="PlainTextChar">
    <w:name w:val="Plain Text Char"/>
    <w:basedOn w:val="DefaultParagraphFont"/>
    <w:link w:val="PlainText"/>
    <w:rsid w:val="00060470"/>
    <w:rPr>
      <w:rFonts w:ascii="Courier New" w:hAnsi="Courier New"/>
      <w:b/>
      <w:lang w:val="ru-RU" w:eastAsia="ru-RU"/>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10">
    <w:name w:val="Абзац списка1"/>
    <w:basedOn w:val="Normal"/>
    <w:uiPriority w:val="99"/>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link w:val="Char2"/>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ind w:left="928" w:hanging="360"/>
      <w:contextualSpacing w:val="0"/>
    </w:pPr>
    <w:rPr>
      <w:rFonts w:ascii="Times Armenian" w:hAnsi="Times Armenian" w:cs="Times New Roman"/>
      <w:bCs w:val="0"/>
      <w:i/>
      <w:iCs/>
      <w:spacing w:val="-5"/>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Heading 3 Char2"/>
    <w:rsid w:val="00060470"/>
    <w:rPr>
      <w:rFonts w:ascii="Times Armenian" w:hAnsi="Times Armenian"/>
      <w:sz w:val="24"/>
      <w:lang w:val="fr-FR" w:eastAsia="en-US" w:bidi="ar-SA"/>
    </w:rPr>
  </w:style>
  <w:style w:type="character" w:customStyle="1" w:styleId="CharChar16">
    <w:name w:val="Char Char16"/>
    <w:uiPriority w:val="99"/>
    <w:rsid w:val="00060470"/>
    <w:rPr>
      <w:b/>
      <w:sz w:val="32"/>
      <w:lang w:val="en-GB" w:eastAsia="en-US" w:bidi="ar-SA"/>
    </w:rPr>
  </w:style>
  <w:style w:type="character" w:customStyle="1" w:styleId="CharChar14">
    <w:name w:val="Char Char14"/>
    <w:uiPriority w:val="99"/>
    <w:rsid w:val="00060470"/>
    <w:rPr>
      <w:sz w:val="22"/>
      <w:lang w:val="en-GB" w:eastAsia="en-US" w:bidi="ar-SA"/>
    </w:rPr>
  </w:style>
  <w:style w:type="character" w:customStyle="1" w:styleId="CharChar15">
    <w:name w:val="Char Char15"/>
    <w:uiPriority w:val="99"/>
    <w:rsid w:val="00060470"/>
    <w:rPr>
      <w:sz w:val="36"/>
      <w:lang w:val="en-GB" w:eastAsia="en-US" w:bidi="ar-SA"/>
    </w:rPr>
  </w:style>
  <w:style w:type="character" w:customStyle="1" w:styleId="CharChar13">
    <w:name w:val="Char Char13"/>
    <w:uiPriority w:val="99"/>
    <w:rsid w:val="00060470"/>
    <w:rPr>
      <w:sz w:val="22"/>
      <w:lang w:val="en-GB" w:eastAsia="en-US" w:bidi="ar-SA"/>
    </w:rPr>
  </w:style>
  <w:style w:type="character" w:customStyle="1" w:styleId="CharChar12">
    <w:name w:val="Char Char12"/>
    <w:uiPriority w:val="99"/>
    <w:rsid w:val="00060470"/>
    <w:rPr>
      <w:sz w:val="22"/>
      <w:lang w:val="en-GB" w:eastAsia="en-US" w:bidi="ar-SA"/>
    </w:rPr>
  </w:style>
  <w:style w:type="character" w:customStyle="1" w:styleId="CharChar11">
    <w:name w:val="Char Char11"/>
    <w:uiPriority w:val="99"/>
    <w:rsid w:val="00060470"/>
    <w:rPr>
      <w:rFonts w:ascii="Times Armenian" w:hAnsi="Times Armenian"/>
      <w:b/>
      <w:bCs/>
      <w:sz w:val="32"/>
      <w:szCs w:val="24"/>
      <w:lang w:val="fr-FR" w:eastAsia="en-US" w:bidi="ar-SA"/>
    </w:rPr>
  </w:style>
  <w:style w:type="character" w:customStyle="1" w:styleId="CharChar10">
    <w:name w:val="Char Char10"/>
    <w:uiPriority w:val="99"/>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uiPriority w:val="9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Body Text Char4,Body Text (Main text) Char4"/>
    <w:uiPriority w:val="99"/>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uiPriority w:val="99"/>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uiPriority w:val="99"/>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aliases w:val="1Text Char1"/>
    <w:link w:val="1Text1"/>
    <w:locked/>
    <w:rsid w:val="00060470"/>
    <w:rPr>
      <w:rFonts w:cs="Times New Roman"/>
    </w:rPr>
  </w:style>
  <w:style w:type="paragraph" w:customStyle="1" w:styleId="11">
    <w:name w:val="Рецензия1"/>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uiPriority w:val="99"/>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aliases w:val="1Text Char2"/>
    <w:uiPriority w:val="99"/>
    <w:rsid w:val="00060470"/>
    <w:rPr>
      <w:sz w:val="24"/>
      <w:szCs w:val="24"/>
    </w:rPr>
  </w:style>
  <w:style w:type="numbering" w:customStyle="1" w:styleId="NoList2">
    <w:name w:val="No List2"/>
    <w:next w:val="NoList"/>
    <w:semiHidden/>
    <w:rsid w:val="00060470"/>
  </w:style>
  <w:style w:type="paragraph" w:customStyle="1" w:styleId="12">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0">
    <w:name w:val="Char2"/>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rsid w:val="00060470"/>
    <w:rPr>
      <w:b/>
      <w:sz w:val="32"/>
      <w:lang w:val="en-GB" w:eastAsia="en-US"/>
    </w:rPr>
  </w:style>
  <w:style w:type="character" w:customStyle="1" w:styleId="CharChar141">
    <w:name w:val="Char Char141"/>
    <w:rsid w:val="00060470"/>
    <w:rPr>
      <w:sz w:val="22"/>
      <w:lang w:val="en-GB" w:eastAsia="en-US"/>
    </w:rPr>
  </w:style>
  <w:style w:type="character" w:customStyle="1" w:styleId="CharChar151">
    <w:name w:val="Char Char151"/>
    <w:rsid w:val="00060470"/>
    <w:rPr>
      <w:sz w:val="36"/>
      <w:lang w:val="en-GB" w:eastAsia="en-US"/>
    </w:rPr>
  </w:style>
  <w:style w:type="character" w:customStyle="1" w:styleId="CharChar131">
    <w:name w:val="Char Char131"/>
    <w:rsid w:val="00060470"/>
    <w:rPr>
      <w:sz w:val="22"/>
      <w:lang w:val="en-GB" w:eastAsia="en-US"/>
    </w:rPr>
  </w:style>
  <w:style w:type="character" w:customStyle="1" w:styleId="CharChar121">
    <w:name w:val="Char Char121"/>
    <w:rsid w:val="00060470"/>
    <w:rPr>
      <w:sz w:val="22"/>
      <w:lang w:val="en-GB" w:eastAsia="en-US"/>
    </w:rPr>
  </w:style>
  <w:style w:type="character" w:customStyle="1" w:styleId="CharChar111">
    <w:name w:val="Char Char111"/>
    <w:rsid w:val="00060470"/>
    <w:rPr>
      <w:rFonts w:ascii="Times Armenian" w:hAnsi="Times Armenian"/>
      <w:b/>
      <w:sz w:val="24"/>
      <w:lang w:val="fr-FR" w:eastAsia="en-US"/>
    </w:rPr>
  </w:style>
  <w:style w:type="character" w:customStyle="1" w:styleId="CharChar101">
    <w:name w:val="Char Char101"/>
    <w:rsid w:val="00060470"/>
    <w:rPr>
      <w:rFonts w:ascii="Times Armenian" w:hAnsi="Times Armenian"/>
      <w:color w:val="993300"/>
      <w:sz w:val="24"/>
      <w:lang w:val="hy-AM" w:eastAsia="en-US"/>
    </w:rPr>
  </w:style>
  <w:style w:type="character" w:customStyle="1" w:styleId="CharChar91">
    <w:name w:val="Char Char91"/>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rPr>
  </w:style>
  <w:style w:type="character" w:customStyle="1" w:styleId="Heading9Char1">
    <w:name w:val="Heading 9 Char1"/>
    <w:rsid w:val="00060470"/>
    <w:rPr>
      <w:rFonts w:ascii="Garamond" w:eastAsia="Times New Roman" w:hAnsi="Garamond" w:cs="Times New Roman"/>
      <w:b/>
      <w:i/>
      <w:kern w:val="28"/>
      <w:sz w:val="20"/>
      <w:szCs w:val="20"/>
      <w:lang w:val="en-GB"/>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link w:val="BodyTextIndent2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2">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1"/>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3">
    <w:name w:val="???????? ?????"/>
    <w:basedOn w:val="a1"/>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4">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0">
    <w:name w:val="????????? 11"/>
    <w:basedOn w:val="20"/>
    <w:next w:val="20"/>
    <w:rsid w:val="00060470"/>
    <w:pPr>
      <w:keepNext/>
      <w:spacing w:line="360" w:lineRule="auto"/>
      <w:outlineLvl w:val="0"/>
    </w:pPr>
    <w:rPr>
      <w:rFonts w:ascii="Times LatArm" w:hAnsi="Times LatArm"/>
    </w:rPr>
  </w:style>
  <w:style w:type="paragraph" w:customStyle="1" w:styleId="13">
    <w:name w:val="????????1"/>
    <w:basedOn w:val="a1"/>
    <w:rsid w:val="00060470"/>
    <w:pPr>
      <w:jc w:val="center"/>
    </w:pPr>
    <w:rPr>
      <w:rFonts w:ascii="Times Armenian" w:hAnsi="Times Armenian"/>
      <w:i/>
      <w:sz w:val="28"/>
      <w:lang w:val="en-US"/>
    </w:rPr>
  </w:style>
  <w:style w:type="paragraph" w:customStyle="1" w:styleId="22">
    <w:name w:val="???????? ????? ? ???????? 2"/>
    <w:basedOn w:val="a1"/>
    <w:rsid w:val="00060470"/>
    <w:pPr>
      <w:ind w:right="-141" w:firstLine="567"/>
      <w:jc w:val="both"/>
    </w:pPr>
    <w:rPr>
      <w:rFonts w:ascii="Times Armenian" w:hAnsi="Times Armenian"/>
      <w:sz w:val="24"/>
    </w:rPr>
  </w:style>
  <w:style w:type="paragraph" w:customStyle="1" w:styleId="23">
    <w:name w:val="???????? ????? 2"/>
    <w:basedOn w:val="a1"/>
    <w:rsid w:val="00060470"/>
    <w:pPr>
      <w:spacing w:line="360" w:lineRule="auto"/>
      <w:jc w:val="both"/>
    </w:pPr>
    <w:rPr>
      <w:rFonts w:ascii="Times LatArm" w:hAnsi="Times LatArm"/>
      <w:b/>
      <w:i/>
      <w:sz w:val="28"/>
      <w:lang w:val="en-US"/>
    </w:rPr>
  </w:style>
  <w:style w:type="paragraph" w:customStyle="1" w:styleId="15">
    <w:name w:val="???????1"/>
    <w:rsid w:val="00060470"/>
    <w:rPr>
      <w:lang w:val="ru-RU" w:eastAsia="ru-RU"/>
    </w:rPr>
  </w:style>
  <w:style w:type="paragraph" w:customStyle="1" w:styleId="30">
    <w:name w:val="???????? ????? ? ????????3"/>
    <w:basedOn w:val="a1"/>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rPr>
  </w:style>
  <w:style w:type="paragraph" w:customStyle="1" w:styleId="8">
    <w:name w:val="????????? 8"/>
    <w:basedOn w:val="a1"/>
    <w:next w:val="a1"/>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link w:val="BodyText3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uiPriority w:val="99"/>
    <w:rsid w:val="00060470"/>
    <w:rPr>
      <w:rFonts w:ascii="Times New Roman" w:eastAsia="Times New Roman" w:hAnsi="Times New Roman" w:cs="Times New Roman"/>
      <w:lang w:val="en-GB"/>
    </w:rPr>
  </w:style>
  <w:style w:type="paragraph" w:customStyle="1" w:styleId="CaptionTable">
    <w:name w:val="Caption_Table"/>
    <w:basedOn w:val="Caption"/>
    <w:qFormat/>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uiPriority w:val="99"/>
    <w:rsid w:val="00060470"/>
    <w:rPr>
      <w:rFonts w:ascii="Times New Roman" w:eastAsia="Times New Roman" w:hAnsi="Times New Roman" w:cs="Times New Roman"/>
      <w:sz w:val="24"/>
      <w:szCs w:val="24"/>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uiPriority w:val="99"/>
    <w:rsid w:val="000604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uiPriority w:val="99"/>
    <w:rsid w:val="000604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0604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line="240" w:lineRule="auto"/>
      <w:contextualSpacing w:val="0"/>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ind w:left="360" w:firstLine="540"/>
      <w:jc w:val="left"/>
    </w:pPr>
    <w:rPr>
      <w:color w:val="3366FF"/>
      <w:spacing w:val="24"/>
      <w:kern w:val="16"/>
      <w:sz w:val="32"/>
      <w:lang w:val="en-US"/>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5">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6">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7">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ind w:firstLine="540"/>
    </w:pPr>
    <w:rPr>
      <w:kern w:val="16"/>
      <w:lang w:val="af-ZA"/>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uiPriority w:val="99"/>
    <w:rsid w:val="000604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rsid w:val="000604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0"/>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6">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uiPriority w:val="99"/>
    <w:rsid w:val="00060470"/>
    <w:rPr>
      <w:rFonts w:ascii="Courier New" w:hAnsi="Courier New"/>
      <w:b/>
      <w:bCs/>
    </w:rPr>
  </w:style>
  <w:style w:type="table" w:styleId="TableGrid8">
    <w:name w:val="Table Grid 8"/>
    <w:basedOn w:val="TableNormal"/>
    <w:uiPriority w:val="99"/>
    <w:rsid w:val="000604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0604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7">
    <w:name w:val="Заголовок таблицы"/>
    <w:basedOn w:val="a8"/>
    <w:rsid w:val="00060470"/>
  </w:style>
  <w:style w:type="paragraph" w:customStyle="1" w:styleId="a8">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9">
    <w:name w:val="??????? ??????????"/>
    <w:basedOn w:val="a1"/>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contextualSpacing w:val="0"/>
    </w:pPr>
    <w:rPr>
      <w:bCs/>
      <w:kern w:val="32"/>
      <w:szCs w:val="28"/>
      <w:lang w:val="es-ES"/>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18">
    <w:name w:val="Обычный1"/>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Знак Char Char Знак Char Char Char,Знак Char Char Знак Char Char Char1"/>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rsid w:val="00060470"/>
    <w:rPr>
      <w:rFonts w:ascii="Times Armenian" w:hAnsi="Times Armenian"/>
      <w:sz w:val="24"/>
      <w:szCs w:val="24"/>
      <w:lang w:val="ru-RU" w:eastAsia="ru-RU" w:bidi="ar-SA"/>
    </w:rPr>
  </w:style>
  <w:style w:type="character" w:customStyle="1" w:styleId="CommentSubjectChar1">
    <w:name w:val="Comment Subject Char1"/>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ink w:val="DocumentMap1"/>
    <w:uiPriority w:val="99"/>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contextualSpacing w:val="0"/>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9">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qFormat/>
    <w:rsid w:val="00060470"/>
    <w:rPr>
      <w:rFonts w:ascii="GHEA Grapalat" w:hAnsi="GHEA Grapalat"/>
      <w:sz w:val="22"/>
    </w:rPr>
  </w:style>
  <w:style w:type="paragraph" w:customStyle="1" w:styleId="1a">
    <w:name w:val="Без интервала1"/>
    <w:link w:val="aa"/>
    <w:uiPriority w:val="1"/>
    <w:qFormat/>
    <w:rsid w:val="00060470"/>
    <w:rPr>
      <w:rFonts w:ascii="Calibri" w:hAnsi="Calibri"/>
      <w:sz w:val="22"/>
      <w:szCs w:val="22"/>
    </w:rPr>
  </w:style>
  <w:style w:type="character" w:customStyle="1" w:styleId="aa">
    <w:name w:val="Без интервала Знак"/>
    <w:link w:val="1a"/>
    <w:rsid w:val="00060470"/>
    <w:rPr>
      <w:rFonts w:ascii="Calibri" w:hAnsi="Calibri"/>
      <w:sz w:val="22"/>
      <w:szCs w:val="22"/>
    </w:rPr>
  </w:style>
  <w:style w:type="paragraph" w:customStyle="1" w:styleId="1b">
    <w:name w:val="Обычный1"/>
    <w:rsid w:val="00060470"/>
    <w:pPr>
      <w:autoSpaceDE w:val="0"/>
      <w:autoSpaceDN w:val="0"/>
    </w:pPr>
    <w:rPr>
      <w:lang w:val="ru-RU" w:eastAsia="ru-RU"/>
    </w:rPr>
  </w:style>
  <w:style w:type="paragraph" w:customStyle="1" w:styleId="32">
    <w:name w:val="???????? ????? ? ???????? 3"/>
    <w:basedOn w:val="a1"/>
    <w:uiPriority w:val="99"/>
    <w:rsid w:val="00060470"/>
    <w:pPr>
      <w:ind w:firstLine="360"/>
      <w:jc w:val="both"/>
    </w:pPr>
    <w:rPr>
      <w:rFonts w:ascii="Times Armenian" w:hAnsi="Times Armenian"/>
      <w:sz w:val="24"/>
      <w:lang w:val="af-ZA"/>
    </w:rPr>
  </w:style>
  <w:style w:type="paragraph" w:customStyle="1" w:styleId="6">
    <w:name w:val="????????? 6"/>
    <w:basedOn w:val="a1"/>
    <w:next w:val="a1"/>
    <w:uiPriority w:val="99"/>
    <w:rsid w:val="00060470"/>
    <w:pPr>
      <w:keepNext/>
      <w:jc w:val="center"/>
      <w:outlineLvl w:val="5"/>
    </w:pPr>
    <w:rPr>
      <w:rFonts w:ascii="Times Armenian" w:hAnsi="Times Armenian"/>
      <w:i/>
      <w:lang w:val="en-US"/>
    </w:rPr>
  </w:style>
  <w:style w:type="paragraph" w:customStyle="1" w:styleId="310">
    <w:name w:val="???????? ????? 31"/>
    <w:basedOn w:val="a1"/>
    <w:uiPriority w:val="99"/>
    <w:rsid w:val="00060470"/>
    <w:pPr>
      <w:jc w:val="center"/>
    </w:pPr>
    <w:rPr>
      <w:rFonts w:ascii="Arial Armenian" w:hAnsi="Arial Armenian"/>
      <w:sz w:val="24"/>
      <w:lang w:val="en-AU"/>
    </w:rPr>
  </w:style>
  <w:style w:type="paragraph" w:customStyle="1" w:styleId="25">
    <w:name w:val="????????? 2"/>
    <w:basedOn w:val="a1"/>
    <w:next w:val="a1"/>
    <w:uiPriority w:val="99"/>
    <w:rsid w:val="00060470"/>
    <w:pPr>
      <w:keepNext/>
      <w:ind w:firstLine="720"/>
      <w:outlineLvl w:val="1"/>
    </w:pPr>
    <w:rPr>
      <w:rFonts w:ascii="Times LatArm" w:hAnsi="Times LatArm"/>
      <w:b/>
      <w:i/>
      <w:sz w:val="28"/>
      <w:lang w:val="en-US"/>
    </w:rPr>
  </w:style>
  <w:style w:type="paragraph" w:customStyle="1" w:styleId="40">
    <w:name w:val="????????? 4"/>
    <w:basedOn w:val="a1"/>
    <w:next w:val="a1"/>
    <w:uiPriority w:val="99"/>
    <w:rsid w:val="00060470"/>
    <w:pPr>
      <w:keepNext/>
      <w:spacing w:line="360" w:lineRule="auto"/>
      <w:ind w:firstLine="360"/>
      <w:jc w:val="both"/>
      <w:outlineLvl w:val="3"/>
    </w:pPr>
    <w:rPr>
      <w:rFonts w:ascii="Times LatArm" w:hAnsi="Times LatArm"/>
      <w:i/>
      <w:noProof/>
      <w:sz w:val="24"/>
    </w:rPr>
  </w:style>
  <w:style w:type="paragraph" w:customStyle="1" w:styleId="1c">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rPr>
  </w:style>
  <w:style w:type="character" w:customStyle="1" w:styleId="Char11">
    <w:name w:val="Знак Знак Char1"/>
    <w:link w:val="33"/>
    <w:locked/>
    <w:rsid w:val="00060470"/>
    <w:rPr>
      <w:rFonts w:ascii="Arial" w:eastAsia="Calibri" w:hAnsi="Arial"/>
      <w:lang w:val="en-GB"/>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1">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QuoteChar">
    <w:name w:val="Quote Char"/>
    <w:basedOn w:val="DefaultParagraphFont"/>
    <w:link w:val="Quote"/>
    <w:uiPriority w:val="29"/>
    <w:rsid w:val="00060470"/>
    <w:rPr>
      <w:i/>
      <w:iCs/>
      <w:color w:val="000000"/>
      <w:sz w:val="24"/>
      <w:szCs w:val="24"/>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uiPriority w:val="99"/>
    <w:rsid w:val="000604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uiPriority w:val="99"/>
    <w:rsid w:val="000604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uiPriority w:val="99"/>
    <w:rsid w:val="000604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uiPriority w:val="99"/>
    <w:rsid w:val="000604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uiPriority w:val="99"/>
    <w:rsid w:val="000604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uiPriority w:val="99"/>
    <w:rsid w:val="000604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d">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b">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e">
    <w:name w:val="Нет списка1"/>
    <w:next w:val="NoList"/>
    <w:semiHidden/>
    <w:unhideWhenUsed/>
    <w:rsid w:val="00060470"/>
  </w:style>
  <w:style w:type="paragraph" w:customStyle="1" w:styleId="NoSpacing1">
    <w:name w:val="No Spacing1"/>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qFormat/>
    <w:rsid w:val="00060470"/>
    <w:pPr>
      <w:keepLines/>
      <w:spacing w:before="480"/>
      <w:contextualSpacing w:val="0"/>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c">
    <w:name w:val="Основной текст_"/>
    <w:link w:val="50"/>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f">
    <w:name w:val="Заголовок №1_"/>
    <w:rsid w:val="00060470"/>
    <w:rPr>
      <w:rFonts w:ascii="Sylfaen" w:hAnsi="Sylfaen" w:cs="Sylfaen"/>
      <w:i/>
      <w:iCs/>
      <w:spacing w:val="-30"/>
      <w:sz w:val="31"/>
      <w:szCs w:val="31"/>
      <w:shd w:val="clear" w:color="auto" w:fill="FFFFFF"/>
    </w:rPr>
  </w:style>
  <w:style w:type="character" w:customStyle="1" w:styleId="1110">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d">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e">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f0">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f1">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2">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IntenseQuoteChar">
    <w:name w:val="Intense Quote Char"/>
    <w:basedOn w:val="DefaultParagraphFont"/>
    <w:link w:val="IntenseQuote"/>
    <w:rsid w:val="00060470"/>
    <w:rPr>
      <w:b/>
      <w:bCs/>
      <w:i/>
      <w:iCs/>
      <w:color w:val="4F81BD"/>
      <w:sz w:val="24"/>
      <w:szCs w:val="24"/>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rPr>
  </w:style>
  <w:style w:type="character" w:customStyle="1" w:styleId="CharChar34">
    <w:name w:val="Char Char34"/>
    <w:rsid w:val="00060470"/>
    <w:rPr>
      <w:rFonts w:ascii="Garamond" w:hAnsi="Garamond"/>
      <w:i/>
      <w:spacing w:val="-5"/>
      <w:sz w:val="28"/>
      <w:shd w:val="pct5" w:color="auto" w:fill="auto"/>
      <w:lang w:val="en-GB"/>
    </w:rPr>
  </w:style>
  <w:style w:type="character" w:customStyle="1" w:styleId="CharChar33">
    <w:name w:val="Char Char33"/>
    <w:rsid w:val="00060470"/>
    <w:rPr>
      <w:rFonts w:ascii="Arial Black" w:hAnsi="Arial Black"/>
      <w:caps/>
      <w:spacing w:val="60"/>
      <w:position w:val="4"/>
      <w:sz w:val="14"/>
      <w:lang w:val="en-GB"/>
    </w:rPr>
  </w:style>
  <w:style w:type="character" w:customStyle="1" w:styleId="CharChar32">
    <w:name w:val="Char Char32"/>
    <w:rsid w:val="00060470"/>
    <w:rPr>
      <w:rFonts w:ascii="Garamond" w:hAnsi="Garamond"/>
      <w:b/>
      <w:i/>
      <w:kern w:val="28"/>
      <w:lang w:val="en-GB"/>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uiPriority w:val="99"/>
    <w:rsid w:val="000604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rPr>
  </w:style>
  <w:style w:type="character" w:customStyle="1" w:styleId="z-TopofFormChar">
    <w:name w:val="z-Top of Form Char"/>
    <w:basedOn w:val="DefaultParagraphFont"/>
    <w:link w:val="z-TopofForm"/>
    <w:uiPriority w:val="99"/>
    <w:rsid w:val="00060470"/>
    <w:rPr>
      <w:rFonts w:ascii="Arial" w:hAnsi="Arial"/>
      <w:vanish/>
      <w:sz w:val="16"/>
      <w:szCs w:val="16"/>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060470"/>
    <w:rPr>
      <w:rFonts w:ascii="Arial" w:hAnsi="Arial"/>
      <w:vanish/>
      <w:sz w:val="16"/>
      <w:szCs w:val="16"/>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rPr>
  </w:style>
  <w:style w:type="character" w:customStyle="1" w:styleId="HTMLPreformattedChar">
    <w:name w:val="HTML Preformatted Char"/>
    <w:basedOn w:val="DefaultParagraphFont"/>
    <w:link w:val="HTMLPreformatted"/>
    <w:uiPriority w:val="99"/>
    <w:rsid w:val="00060470"/>
    <w:rPr>
      <w:rFonts w:ascii="Arial Unicode" w:hAnsi="Arial Unicod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rPr>
  </w:style>
  <w:style w:type="character" w:customStyle="1" w:styleId="StyleCaption11ptChar">
    <w:name w:val="Style Caption + 11 pt Char"/>
    <w:link w:val="StyleCaption11pt"/>
    <w:rsid w:val="00060470"/>
    <w:rPr>
      <w:rFonts w:ascii="GHEA Grapalat" w:hAnsi="GHEA Grapalat"/>
      <w:b/>
      <w:bCs/>
      <w:lang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37">
    <w:name w:val="Основной текст3"/>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8">
    <w:name w:val="Обычный3"/>
    <w:rsid w:val="00060470"/>
    <w:pPr>
      <w:autoSpaceDE w:val="0"/>
      <w:autoSpaceDN w:val="0"/>
    </w:pPr>
    <w:rPr>
      <w:lang w:val="ru-RU" w:eastAsia="ru-RU"/>
    </w:rPr>
  </w:style>
  <w:style w:type="paragraph" w:customStyle="1" w:styleId="1f3">
    <w:name w:val="Заголовок оглавления1"/>
    <w:basedOn w:val="Heading1"/>
    <w:next w:val="Normal"/>
    <w:uiPriority w:val="39"/>
    <w:unhideWhenUsed/>
    <w:qFormat/>
    <w:rsid w:val="00060470"/>
    <w:pPr>
      <w:keepLines/>
      <w:spacing w:before="480"/>
      <w:contextualSpacing w:val="0"/>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1f4">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5">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1f6">
    <w:name w:val="Слабое выделение1"/>
    <w:qFormat/>
    <w:rsid w:val="00060470"/>
    <w:rPr>
      <w:rFonts w:cs="Times New Roman"/>
      <w:i/>
      <w:iCs/>
      <w:color w:val="808080"/>
    </w:rPr>
  </w:style>
  <w:style w:type="character" w:customStyle="1" w:styleId="1f7">
    <w:name w:val="Слабая ссылка1"/>
    <w:qFormat/>
    <w:rsid w:val="00060470"/>
    <w:rPr>
      <w:rFonts w:cs="Times New Roman"/>
      <w:smallCaps/>
      <w:color w:val="C0504D"/>
      <w:u w:val="single"/>
    </w:rPr>
  </w:style>
  <w:style w:type="character" w:customStyle="1" w:styleId="1f8">
    <w:name w:val="Сильная ссылка1"/>
    <w:qFormat/>
    <w:rsid w:val="00060470"/>
    <w:rPr>
      <w:rFonts w:cs="Times New Roman"/>
      <w:b/>
      <w:bCs/>
      <w:smallCaps/>
      <w:color w:val="C0504D"/>
      <w:spacing w:val="5"/>
      <w:u w:val="single"/>
    </w:rPr>
  </w:style>
  <w:style w:type="character" w:customStyle="1" w:styleId="1f9">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uiPriority w:val="99"/>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a">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a"/>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rsid w:val="003E71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3E71C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uiPriority w:val="99"/>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uiPriority w:val="99"/>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uiPriority w:val="39"/>
    <w:rsid w:val="000E5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0E584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uiPriority w:val="99"/>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uiPriority w:val="39"/>
    <w:rsid w:val="00BD0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15"/>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8644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semiHidden/>
    <w:unhideWhenUsed/>
    <w:rsid w:val="0006050F"/>
  </w:style>
  <w:style w:type="table" w:customStyle="1" w:styleId="TableGrid60">
    <w:name w:val="Table Grid6"/>
    <w:basedOn w:val="TableNormal"/>
    <w:next w:val="TableGrid"/>
    <w:uiPriority w:val="39"/>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0572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1">
    <w:name w:val="Medium List 2 - Accent 51"/>
    <w:basedOn w:val="TableNormal"/>
    <w:next w:val="MediumList2-Accent5"/>
    <w:uiPriority w:val="66"/>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6">
    <w:name w:val="Light List - Accent 16"/>
    <w:basedOn w:val="TableNormal"/>
    <w:next w:val="LightList-Accent1"/>
    <w:uiPriority w:val="61"/>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1">
    <w:name w:val="Medium Grid 3 - Accent 51"/>
    <w:basedOn w:val="TableNormal"/>
    <w:next w:val="MediumGrid3-Accent5"/>
    <w:uiPriority w:val="69"/>
    <w:rsid w:val="0010572B"/>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
    <w:name w:val="Light Shading - Accent 51"/>
    <w:basedOn w:val="TableNormal"/>
    <w:next w:val="LightShading-Accent5"/>
    <w:uiPriority w:val="60"/>
    <w:rsid w:val="0010572B"/>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
    <w:name w:val="Medium Grid 2 - Accent 51"/>
    <w:basedOn w:val="TableNormal"/>
    <w:next w:val="MediumGrid2-Accent5"/>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next w:val="LightGrid-Accent1"/>
    <w:uiPriority w:val="62"/>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next w:val="LightShading-Accent1"/>
    <w:uiPriority w:val="60"/>
    <w:rsid w:val="0036062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2">
    <w:name w:val="Medium Grid 2 - Accent 12"/>
    <w:basedOn w:val="TableNormal"/>
    <w:next w:val="MediumGrid2-Accent1"/>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2">
    <w:name w:val="Medium List 2 - Accent 52"/>
    <w:basedOn w:val="TableNormal"/>
    <w:next w:val="MediumList2-Accent5"/>
    <w:uiPriority w:val="66"/>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7">
    <w:name w:val="Light List - Accent 17"/>
    <w:basedOn w:val="TableNormal"/>
    <w:next w:val="LightList-Accent1"/>
    <w:uiPriority w:val="61"/>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2">
    <w:name w:val="Medium Grid 3 - Accent 52"/>
    <w:basedOn w:val="TableNormal"/>
    <w:next w:val="MediumGrid3-Accent5"/>
    <w:uiPriority w:val="69"/>
    <w:rsid w:val="00360620"/>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2">
    <w:name w:val="Light Shading - Accent 52"/>
    <w:basedOn w:val="TableNormal"/>
    <w:next w:val="LightShading-Accent5"/>
    <w:uiPriority w:val="60"/>
    <w:rsid w:val="0036062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2">
    <w:name w:val="Medium Grid 2 - Accent 52"/>
    <w:basedOn w:val="TableNormal"/>
    <w:next w:val="MediumGrid2-Accent5"/>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2">
    <w:name w:val="Light Grid - Accent 12"/>
    <w:basedOn w:val="TableNormal"/>
    <w:next w:val="LightGrid-Accent1"/>
    <w:uiPriority w:val="62"/>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8">
    <w:name w:val="No List18"/>
    <w:next w:val="NoList"/>
    <w:semiHidden/>
    <w:unhideWhenUsed/>
    <w:rsid w:val="00006BCE"/>
  </w:style>
  <w:style w:type="table" w:customStyle="1" w:styleId="TableGrid70">
    <w:name w:val="Table Grid7"/>
    <w:basedOn w:val="TableNormal"/>
    <w:next w:val="TableGrid"/>
    <w:uiPriority w:val="39"/>
    <w:rsid w:val="0000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
    <w:name w:val="Table List 74"/>
    <w:basedOn w:val="TableNormal"/>
    <w:next w:val="TableList7"/>
    <w:rsid w:val="00006B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
    <w:name w:val="Table Web 34"/>
    <w:basedOn w:val="TableNormal"/>
    <w:next w:val="TableWeb3"/>
    <w:rsid w:val="00006B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006B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006B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006B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006B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006B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
    <w:name w:val="No List19"/>
    <w:next w:val="NoList"/>
    <w:semiHidden/>
    <w:unhideWhenUsed/>
    <w:rsid w:val="00006BCE"/>
  </w:style>
  <w:style w:type="numbering" w:customStyle="1" w:styleId="NoList25">
    <w:name w:val="No List25"/>
    <w:next w:val="NoList"/>
    <w:semiHidden/>
    <w:unhideWhenUsed/>
    <w:rsid w:val="00006BCE"/>
  </w:style>
  <w:style w:type="numbering" w:customStyle="1" w:styleId="NoList35">
    <w:name w:val="No List35"/>
    <w:next w:val="NoList"/>
    <w:semiHidden/>
    <w:unhideWhenUsed/>
    <w:rsid w:val="00006BCE"/>
  </w:style>
  <w:style w:type="table" w:customStyle="1" w:styleId="LightList-Accent18">
    <w:name w:val="Light List - Accent 18"/>
    <w:basedOn w:val="TableNormal"/>
    <w:next w:val="LightList-Accent1"/>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
    <w:name w:val="Table Grid 74"/>
    <w:basedOn w:val="TableNormal"/>
    <w:next w:val="TableGrid7"/>
    <w:rsid w:val="00006B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
    <w:name w:val="Colorful Grid - Accent 15"/>
    <w:basedOn w:val="TableNormal"/>
    <w:next w:val="ColorfulGrid-Accent1"/>
    <w:uiPriority w:val="73"/>
    <w:rsid w:val="00006B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
    <w:name w:val="Light List - Accent 55"/>
    <w:basedOn w:val="TableNormal"/>
    <w:next w:val="LightList-Accent5"/>
    <w:uiPriority w:val="61"/>
    <w:rsid w:val="00006BC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
    <w:name w:val="Table Simple 34"/>
    <w:basedOn w:val="TableNormal"/>
    <w:next w:val="TableSimple3"/>
    <w:rsid w:val="00006B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
    <w:name w:val="Table Grid 54"/>
    <w:basedOn w:val="TableNormal"/>
    <w:next w:val="TableGrid5"/>
    <w:rsid w:val="00006B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
    <w:name w:val="Table Grid 34"/>
    <w:basedOn w:val="TableNormal"/>
    <w:next w:val="TableGrid3"/>
    <w:rsid w:val="00006B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
    <w:name w:val="Table Grid 14"/>
    <w:basedOn w:val="TableNormal"/>
    <w:next w:val="TableGrid10"/>
    <w:rsid w:val="00006B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006B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
    <w:name w:val="Light List - Accent 114"/>
    <w:basedOn w:val="TableNormal"/>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NoList"/>
    <w:semiHidden/>
    <w:unhideWhenUsed/>
    <w:rsid w:val="00006BCE"/>
  </w:style>
  <w:style w:type="table" w:customStyle="1" w:styleId="ColorfulGrid-Accent114">
    <w:name w:val="Colorful Grid - Accent 114"/>
    <w:basedOn w:val="TableNormal"/>
    <w:rsid w:val="00006BCE"/>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
    <w:name w:val="Light List - Accent 514"/>
    <w:basedOn w:val="TableNormal"/>
    <w:rsid w:val="00006BCE"/>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
    <w:name w:val="No List44"/>
    <w:next w:val="NoList"/>
    <w:semiHidden/>
    <w:rsid w:val="00006BCE"/>
  </w:style>
  <w:style w:type="numbering" w:customStyle="1" w:styleId="NoList117">
    <w:name w:val="No List117"/>
    <w:next w:val="NoList"/>
    <w:semiHidden/>
    <w:unhideWhenUsed/>
    <w:rsid w:val="00006BCE"/>
  </w:style>
  <w:style w:type="table" w:customStyle="1" w:styleId="Table3Deffects34">
    <w:name w:val="Table 3D effects 34"/>
    <w:basedOn w:val="TableNormal"/>
    <w:next w:val="Table3Deffects3"/>
    <w:rsid w:val="00006B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
    <w:name w:val="Нет списка114"/>
    <w:next w:val="NoList"/>
    <w:semiHidden/>
    <w:unhideWhenUsed/>
    <w:rsid w:val="00006BCE"/>
  </w:style>
  <w:style w:type="table" w:customStyle="1" w:styleId="Style111">
    <w:name w:val="Style111"/>
    <w:basedOn w:val="TableElegant"/>
    <w:uiPriority w:val="99"/>
    <w:rsid w:val="00BC5928"/>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
    <w:name w:val="Style212"/>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
    <w:name w:val="Style2111"/>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
    <w:name w:val="Style112"/>
    <w:basedOn w:val="TableElegant"/>
    <w:uiPriority w:val="99"/>
    <w:rsid w:val="00D70E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
    <w:name w:val="Style213"/>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
    <w:name w:val="Style2112"/>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
    <w:name w:val="No List20"/>
    <w:next w:val="NoList"/>
    <w:uiPriority w:val="99"/>
    <w:semiHidden/>
    <w:unhideWhenUsed/>
    <w:rsid w:val="009526B6"/>
  </w:style>
  <w:style w:type="numbering" w:customStyle="1" w:styleId="NoList110">
    <w:name w:val="No List110"/>
    <w:next w:val="NoList"/>
    <w:uiPriority w:val="99"/>
    <w:semiHidden/>
    <w:unhideWhenUsed/>
    <w:rsid w:val="009526B6"/>
  </w:style>
  <w:style w:type="paragraph" w:customStyle="1" w:styleId="TableTitleCharCharCharCharCharCharCharCharCharChar1">
    <w:name w:val="(Table Title) Char Char Char Char Char Char Char Char Char Char1"/>
    <w:basedOn w:val="Normal"/>
    <w:next w:val="Normal"/>
    <w:unhideWhenUsed/>
    <w:qFormat/>
    <w:rsid w:val="009526B6"/>
    <w:pPr>
      <w:spacing w:after="200"/>
    </w:pPr>
    <w:rPr>
      <w:b w:val="0"/>
      <w:bCs/>
      <w:color w:val="4F81BD"/>
      <w:sz w:val="18"/>
      <w:szCs w:val="18"/>
    </w:rPr>
  </w:style>
  <w:style w:type="table" w:customStyle="1" w:styleId="TableGrid80">
    <w:name w:val="Table Grid8"/>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9526B6"/>
  </w:style>
  <w:style w:type="numbering" w:customStyle="1" w:styleId="NoList1114">
    <w:name w:val="No List1114"/>
    <w:next w:val="NoList"/>
    <w:semiHidden/>
    <w:rsid w:val="009526B6"/>
  </w:style>
  <w:style w:type="table" w:customStyle="1" w:styleId="TableGrid140">
    <w:name w:val="Table Grid14"/>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semiHidden/>
    <w:rsid w:val="009526B6"/>
  </w:style>
  <w:style w:type="numbering" w:customStyle="1" w:styleId="NoList26">
    <w:name w:val="No List26"/>
    <w:next w:val="NoList"/>
    <w:semiHidden/>
    <w:rsid w:val="009526B6"/>
  </w:style>
  <w:style w:type="numbering" w:customStyle="1" w:styleId="NoList36">
    <w:name w:val="No List36"/>
    <w:next w:val="NoList"/>
    <w:semiHidden/>
    <w:unhideWhenUsed/>
    <w:rsid w:val="009526B6"/>
  </w:style>
  <w:style w:type="table" w:customStyle="1" w:styleId="TableList75">
    <w:name w:val="Table List 75"/>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
    <w:name w:val="Table Web 35"/>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
    <w:name w:val="Table Elegant5"/>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
    <w:name w:val="Light List - Accent 19"/>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
    <w:name w:val="Table Grid 75"/>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
    <w:name w:val="Colorful Grid - Accent 16"/>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
    <w:name w:val="Light List - Accent 56"/>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
    <w:name w:val="Table Simple 35"/>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
    <w:name w:val="Table Grid 55"/>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
    <w:name w:val="Table Grid 35"/>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
    <w:name w:val="Table Grid 15"/>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
    <w:name w:val="Light List - Accent 115"/>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0">
    <w:name w:val="Нет списка16"/>
    <w:next w:val="NoList"/>
    <w:semiHidden/>
    <w:unhideWhenUsed/>
    <w:rsid w:val="009526B6"/>
  </w:style>
  <w:style w:type="table" w:customStyle="1" w:styleId="ColorfulGrid-Accent115">
    <w:name w:val="Colorful Grid - Accent 115"/>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
    <w:name w:val="Light List - Accent 515"/>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
    <w:name w:val="No List45"/>
    <w:next w:val="NoList"/>
    <w:semiHidden/>
    <w:rsid w:val="009526B6"/>
  </w:style>
  <w:style w:type="table" w:customStyle="1" w:styleId="Table3Deffects35">
    <w:name w:val="Table 3D effects 35"/>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
    <w:name w:val="Нет списка115"/>
    <w:next w:val="NoList"/>
    <w:semiHidden/>
    <w:unhideWhenUsed/>
    <w:rsid w:val="009526B6"/>
  </w:style>
  <w:style w:type="numbering" w:customStyle="1" w:styleId="NoList53">
    <w:name w:val="No List53"/>
    <w:next w:val="NoList"/>
    <w:uiPriority w:val="99"/>
    <w:semiHidden/>
    <w:unhideWhenUsed/>
    <w:rsid w:val="009526B6"/>
  </w:style>
  <w:style w:type="numbering" w:customStyle="1" w:styleId="NoList123">
    <w:name w:val="No List123"/>
    <w:next w:val="NoList"/>
    <w:semiHidden/>
    <w:rsid w:val="009526B6"/>
  </w:style>
  <w:style w:type="numbering" w:customStyle="1" w:styleId="NoList1123">
    <w:name w:val="No List1123"/>
    <w:next w:val="NoList"/>
    <w:semiHidden/>
    <w:rsid w:val="009526B6"/>
  </w:style>
  <w:style w:type="numbering" w:customStyle="1" w:styleId="NoList111111">
    <w:name w:val="No List111111"/>
    <w:next w:val="NoList"/>
    <w:semiHidden/>
    <w:rsid w:val="009526B6"/>
  </w:style>
  <w:style w:type="numbering" w:customStyle="1" w:styleId="NoList213">
    <w:name w:val="No List213"/>
    <w:next w:val="NoList"/>
    <w:semiHidden/>
    <w:rsid w:val="009526B6"/>
  </w:style>
  <w:style w:type="table" w:customStyle="1" w:styleId="TableGrid23">
    <w:name w:val="Table Grid23"/>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9526B6"/>
  </w:style>
  <w:style w:type="numbering" w:customStyle="1" w:styleId="NoList61">
    <w:name w:val="No List61"/>
    <w:next w:val="NoList"/>
    <w:uiPriority w:val="99"/>
    <w:semiHidden/>
    <w:unhideWhenUsed/>
    <w:rsid w:val="009526B6"/>
  </w:style>
  <w:style w:type="numbering" w:customStyle="1" w:styleId="NoList71">
    <w:name w:val="No List71"/>
    <w:next w:val="NoList"/>
    <w:uiPriority w:val="99"/>
    <w:semiHidden/>
    <w:unhideWhenUsed/>
    <w:rsid w:val="009526B6"/>
  </w:style>
  <w:style w:type="table" w:customStyle="1" w:styleId="TableGrid310">
    <w:name w:val="Table Grid3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unhideWhenUsed/>
    <w:rsid w:val="009526B6"/>
  </w:style>
  <w:style w:type="numbering" w:customStyle="1" w:styleId="NoList1131">
    <w:name w:val="No List1131"/>
    <w:next w:val="NoList"/>
    <w:semiHidden/>
    <w:rsid w:val="009526B6"/>
  </w:style>
  <w:style w:type="table" w:customStyle="1" w:styleId="TableGrid111">
    <w:name w:val="Table Grid11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rsid w:val="009526B6"/>
  </w:style>
  <w:style w:type="numbering" w:customStyle="1" w:styleId="NoList221">
    <w:name w:val="No List221"/>
    <w:next w:val="NoList"/>
    <w:semiHidden/>
    <w:rsid w:val="009526B6"/>
  </w:style>
  <w:style w:type="numbering" w:customStyle="1" w:styleId="NoList321">
    <w:name w:val="No List321"/>
    <w:next w:val="NoList"/>
    <w:semiHidden/>
    <w:unhideWhenUsed/>
    <w:rsid w:val="009526B6"/>
  </w:style>
  <w:style w:type="table" w:customStyle="1" w:styleId="TableList711">
    <w:name w:val="Table List 71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
    <w:name w:val="Light List - Accent 12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
    <w:name w:val="Table Grid 71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
    <w:name w:val="Colorful Grid - Accent 121"/>
    <w:basedOn w:val="TableNormal"/>
    <w:next w:val="ColorfulGrid-Accent1"/>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
    <w:name w:val="Table Simple 31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
    <w:name w:val="Нет списка121"/>
    <w:next w:val="NoList"/>
    <w:uiPriority w:val="99"/>
    <w:semiHidden/>
    <w:unhideWhenUsed/>
    <w:rsid w:val="009526B6"/>
  </w:style>
  <w:style w:type="table" w:customStyle="1" w:styleId="ColorfulGrid-Accent1111">
    <w:name w:val="Colorful Grid - Accent 111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
    <w:name w:val="No List411"/>
    <w:next w:val="NoList"/>
    <w:semiHidden/>
    <w:rsid w:val="009526B6"/>
  </w:style>
  <w:style w:type="table" w:customStyle="1" w:styleId="Table3Deffects311">
    <w:name w:val="Table 3D effects 31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NoList"/>
    <w:semiHidden/>
    <w:unhideWhenUsed/>
    <w:rsid w:val="009526B6"/>
  </w:style>
  <w:style w:type="numbering" w:customStyle="1" w:styleId="NoList511">
    <w:name w:val="No List511"/>
    <w:next w:val="NoList"/>
    <w:uiPriority w:val="99"/>
    <w:semiHidden/>
    <w:unhideWhenUsed/>
    <w:rsid w:val="009526B6"/>
  </w:style>
  <w:style w:type="numbering" w:customStyle="1" w:styleId="NoList1211">
    <w:name w:val="No List1211"/>
    <w:next w:val="NoList"/>
    <w:uiPriority w:val="99"/>
    <w:semiHidden/>
    <w:rsid w:val="009526B6"/>
  </w:style>
  <w:style w:type="numbering" w:customStyle="1" w:styleId="NoList11211">
    <w:name w:val="No List11211"/>
    <w:next w:val="NoList"/>
    <w:semiHidden/>
    <w:rsid w:val="009526B6"/>
  </w:style>
  <w:style w:type="numbering" w:customStyle="1" w:styleId="NoList1111111">
    <w:name w:val="No List1111111"/>
    <w:next w:val="NoList"/>
    <w:semiHidden/>
    <w:rsid w:val="009526B6"/>
  </w:style>
  <w:style w:type="numbering" w:customStyle="1" w:styleId="NoList2111">
    <w:name w:val="No List2111"/>
    <w:next w:val="NoList"/>
    <w:semiHidden/>
    <w:rsid w:val="009526B6"/>
  </w:style>
  <w:style w:type="table" w:customStyle="1" w:styleId="TableGrid211">
    <w:name w:val="Table Grid21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semiHidden/>
    <w:unhideWhenUsed/>
    <w:rsid w:val="009526B6"/>
  </w:style>
  <w:style w:type="numbering" w:customStyle="1" w:styleId="NoList81">
    <w:name w:val="No List81"/>
    <w:next w:val="NoList"/>
    <w:uiPriority w:val="99"/>
    <w:semiHidden/>
    <w:unhideWhenUsed/>
    <w:rsid w:val="009526B6"/>
  </w:style>
  <w:style w:type="numbering" w:customStyle="1" w:styleId="NoList91">
    <w:name w:val="No List91"/>
    <w:next w:val="NoList"/>
    <w:uiPriority w:val="99"/>
    <w:semiHidden/>
    <w:unhideWhenUsed/>
    <w:rsid w:val="009526B6"/>
  </w:style>
  <w:style w:type="table" w:customStyle="1" w:styleId="TableGrid41">
    <w:name w:val="Table Grid4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
    <w:name w:val="Table List 72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
    <w:name w:val="Table Web 32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9526B6"/>
  </w:style>
  <w:style w:type="numbering" w:customStyle="1" w:styleId="NoList231">
    <w:name w:val="No List231"/>
    <w:next w:val="NoList"/>
    <w:semiHidden/>
    <w:unhideWhenUsed/>
    <w:rsid w:val="009526B6"/>
  </w:style>
  <w:style w:type="numbering" w:customStyle="1" w:styleId="NoList331">
    <w:name w:val="No List331"/>
    <w:next w:val="NoList"/>
    <w:semiHidden/>
    <w:unhideWhenUsed/>
    <w:rsid w:val="009526B6"/>
  </w:style>
  <w:style w:type="table" w:customStyle="1" w:styleId="LightList-Accent131">
    <w:name w:val="Light List - Accent 13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
    <w:name w:val="Table Grid 72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
    <w:name w:val="Table Simple 32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
    <w:name w:val="Table Grid 52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
    <w:name w:val="Table Grid 32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
    <w:name w:val="Table Grid 12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
    <w:name w:val="Light List - Accent 112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1"/>
    <w:next w:val="NoList"/>
    <w:semiHidden/>
    <w:unhideWhenUsed/>
    <w:rsid w:val="009526B6"/>
  </w:style>
  <w:style w:type="table" w:customStyle="1" w:styleId="ColorfulGrid-Accent1121">
    <w:name w:val="Colorful Grid - Accent 112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
    <w:name w:val="Light List - Accent 512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9526B6"/>
  </w:style>
  <w:style w:type="numbering" w:customStyle="1" w:styleId="NoList1141">
    <w:name w:val="No List1141"/>
    <w:next w:val="NoList"/>
    <w:semiHidden/>
    <w:unhideWhenUsed/>
    <w:rsid w:val="009526B6"/>
  </w:style>
  <w:style w:type="table" w:customStyle="1" w:styleId="Table3Deffects321">
    <w:name w:val="Table 3D effects 32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9526B6"/>
  </w:style>
  <w:style w:type="numbering" w:customStyle="1" w:styleId="NoList101">
    <w:name w:val="No List101"/>
    <w:next w:val="NoList"/>
    <w:uiPriority w:val="99"/>
    <w:semiHidden/>
    <w:unhideWhenUsed/>
    <w:rsid w:val="009526B6"/>
  </w:style>
  <w:style w:type="table" w:customStyle="1" w:styleId="TableGrid510">
    <w:name w:val="Table Grid5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semiHidden/>
    <w:unhideWhenUsed/>
    <w:rsid w:val="009526B6"/>
  </w:style>
  <w:style w:type="numbering" w:customStyle="1" w:styleId="NoList1151">
    <w:name w:val="No List1151"/>
    <w:next w:val="NoList"/>
    <w:semiHidden/>
    <w:rsid w:val="009526B6"/>
  </w:style>
  <w:style w:type="table" w:customStyle="1" w:styleId="TableGrid1210">
    <w:name w:val="Table Grid12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semiHidden/>
    <w:rsid w:val="009526B6"/>
  </w:style>
  <w:style w:type="numbering" w:customStyle="1" w:styleId="NoList241">
    <w:name w:val="No List241"/>
    <w:next w:val="NoList"/>
    <w:semiHidden/>
    <w:rsid w:val="009526B6"/>
  </w:style>
  <w:style w:type="numbering" w:customStyle="1" w:styleId="NoList341">
    <w:name w:val="No List341"/>
    <w:next w:val="NoList"/>
    <w:semiHidden/>
    <w:unhideWhenUsed/>
    <w:rsid w:val="009526B6"/>
  </w:style>
  <w:style w:type="table" w:customStyle="1" w:styleId="TableList731">
    <w:name w:val="Table List 73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
    <w:name w:val="Table Web 33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
    <w:name w:val="Table Elegant3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
    <w:name w:val="Light List - Accent 14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
    <w:name w:val="Table Grid 73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
    <w:name w:val="Colorful Grid - Accent 14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
    <w:name w:val="Light List - Accent 54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
    <w:name w:val="Table Simple 33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
    <w:name w:val="Table Grid 53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
    <w:name w:val="Table Grid 33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
    <w:name w:val="Table Grid 13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
    <w:name w:val="Light List - Accent 113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
    <w:name w:val="Нет списка141"/>
    <w:next w:val="NoList"/>
    <w:semiHidden/>
    <w:unhideWhenUsed/>
    <w:rsid w:val="009526B6"/>
  </w:style>
  <w:style w:type="table" w:customStyle="1" w:styleId="ColorfulGrid-Accent1131">
    <w:name w:val="Colorful Grid - Accent 113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
    <w:name w:val="Light List - Accent 513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
    <w:name w:val="No List431"/>
    <w:next w:val="NoList"/>
    <w:semiHidden/>
    <w:rsid w:val="009526B6"/>
  </w:style>
  <w:style w:type="table" w:customStyle="1" w:styleId="Table3Deffects331">
    <w:name w:val="Table 3D effects 33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NoList"/>
    <w:semiHidden/>
    <w:unhideWhenUsed/>
    <w:rsid w:val="009526B6"/>
  </w:style>
  <w:style w:type="numbering" w:customStyle="1" w:styleId="NoList521">
    <w:name w:val="No List521"/>
    <w:next w:val="NoList"/>
    <w:uiPriority w:val="99"/>
    <w:semiHidden/>
    <w:unhideWhenUsed/>
    <w:rsid w:val="009526B6"/>
  </w:style>
  <w:style w:type="numbering" w:customStyle="1" w:styleId="NoList1221">
    <w:name w:val="No List1221"/>
    <w:next w:val="NoList"/>
    <w:semiHidden/>
    <w:rsid w:val="009526B6"/>
  </w:style>
  <w:style w:type="numbering" w:customStyle="1" w:styleId="NoList11221">
    <w:name w:val="No List11221"/>
    <w:next w:val="NoList"/>
    <w:semiHidden/>
    <w:rsid w:val="009526B6"/>
  </w:style>
  <w:style w:type="numbering" w:customStyle="1" w:styleId="NoList111121">
    <w:name w:val="No List111121"/>
    <w:next w:val="NoList"/>
    <w:semiHidden/>
    <w:rsid w:val="009526B6"/>
  </w:style>
  <w:style w:type="numbering" w:customStyle="1" w:styleId="NoList2121">
    <w:name w:val="No List2121"/>
    <w:next w:val="NoList"/>
    <w:semiHidden/>
    <w:rsid w:val="009526B6"/>
  </w:style>
  <w:style w:type="table" w:customStyle="1" w:styleId="TableGrid221">
    <w:name w:val="Table Grid22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9526B6"/>
  </w:style>
  <w:style w:type="table" w:customStyle="1" w:styleId="LightShading-Accent111">
    <w:name w:val="Light Shading - Accent 111"/>
    <w:basedOn w:val="TableNormal"/>
    <w:next w:val="LightShading-Accent1"/>
    <w:uiPriority w:val="60"/>
    <w:rsid w:val="009526B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
    <w:name w:val="Medium Grid 2 - Accent 111"/>
    <w:basedOn w:val="TableNormal"/>
    <w:next w:val="MediumGrid2-Accent1"/>
    <w:uiPriority w:val="68"/>
    <w:rsid w:val="009526B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
    <w:name w:val="Medium List 2 - Accent 511"/>
    <w:basedOn w:val="TableNormal"/>
    <w:next w:val="MediumList2-Accent5"/>
    <w:uiPriority w:val="66"/>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
    <w:name w:val="Light List - Accent 15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
    <w:name w:val="Medium Grid 3 - Accent 511"/>
    <w:basedOn w:val="TableNormal"/>
    <w:next w:val="MediumGrid3-Accent5"/>
    <w:uiPriority w:val="69"/>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
    <w:name w:val="Light Shading - Accent 511"/>
    <w:basedOn w:val="TableNormal"/>
    <w:next w:val="LightShading-Accent5"/>
    <w:uiPriority w:val="60"/>
    <w:rsid w:val="009526B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
    <w:name w:val="Medium Grid 2 - Accent 511"/>
    <w:basedOn w:val="TableNormal"/>
    <w:next w:val="MediumGrid2-Accent5"/>
    <w:uiPriority w:val="68"/>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
    <w:name w:val="Light Grid - Accent 111"/>
    <w:basedOn w:val="TableNormal"/>
    <w:next w:val="LightGrid-Accent1"/>
    <w:uiPriority w:val="62"/>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
    <w:name w:val="Table List 43"/>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
    <w:name w:val="Table List 412"/>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
    <w:name w:val="Table Theme1"/>
    <w:basedOn w:val="TableNormal"/>
    <w:next w:val="TableTheme"/>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
    <w:name w:val="Table Grid 61"/>
    <w:basedOn w:val="TableNormal"/>
    <w:next w:val="TableGrid6"/>
    <w:rsid w:val="009526B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
    <w:name w:val="Table List 42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
    <w:name w:val="Table List 411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
    <w:name w:val="Style113"/>
    <w:basedOn w:val="TableElegant"/>
    <w:uiPriority w:val="99"/>
    <w:rsid w:val="009526B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
    <w:name w:val="Style214"/>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
    <w:name w:val="Style2113"/>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
    <w:name w:val="No List161"/>
    <w:next w:val="NoList"/>
    <w:uiPriority w:val="99"/>
    <w:semiHidden/>
    <w:unhideWhenUsed/>
    <w:rsid w:val="009526B6"/>
  </w:style>
  <w:style w:type="table" w:customStyle="1" w:styleId="TableGrid610">
    <w:name w:val="Table Grid6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9526B6"/>
  </w:style>
  <w:style w:type="numbering" w:customStyle="1" w:styleId="NoList1161">
    <w:name w:val="No List1161"/>
    <w:next w:val="NoList"/>
    <w:semiHidden/>
    <w:rsid w:val="009526B6"/>
  </w:style>
  <w:style w:type="table" w:customStyle="1" w:styleId="TableGrid1310">
    <w:name w:val="Table Grid131"/>
    <w:basedOn w:val="TableNormal"/>
    <w:next w:val="TableGrid"/>
    <w:uiPriority w:val="5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
    <w:name w:val="Light List - Accent 16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next w:val="LightShading-Accent1"/>
    <w:uiPriority w:val="60"/>
    <w:semiHidden/>
    <w:unhideWhenUsed/>
    <w:rsid w:val="009526B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
    <w:name w:val="Medium Grid 2 - Accent 13"/>
    <w:basedOn w:val="TableNormal"/>
    <w:next w:val="MediumGrid2-Accent1"/>
    <w:uiPriority w:val="68"/>
    <w:semiHidden/>
    <w:unhideWhenUsed/>
    <w:rsid w:val="009526B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
    <w:name w:val="Medium List 2 - Accent 53"/>
    <w:basedOn w:val="TableNormal"/>
    <w:next w:val="MediumList2-Accent5"/>
    <w:uiPriority w:val="66"/>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
    <w:name w:val="Medium Grid 3 - Accent 53"/>
    <w:basedOn w:val="TableNormal"/>
    <w:next w:val="MediumGrid3-Accent5"/>
    <w:uiPriority w:val="69"/>
    <w:semiHidden/>
    <w:unhideWhenUsed/>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
    <w:name w:val="Light Shading - Accent 53"/>
    <w:basedOn w:val="TableNormal"/>
    <w:next w:val="LightShading-Accent5"/>
    <w:uiPriority w:val="60"/>
    <w:semiHidden/>
    <w:unhideWhenUsed/>
    <w:rsid w:val="009526B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
    <w:name w:val="Medium Grid 2 - Accent 53"/>
    <w:basedOn w:val="TableNormal"/>
    <w:next w:val="MediumGrid2-Accent5"/>
    <w:uiPriority w:val="68"/>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
    <w:name w:val="Light Grid - Accent 13"/>
    <w:basedOn w:val="TableNormal"/>
    <w:next w:val="LightGrid-Accent1"/>
    <w:uiPriority w:val="62"/>
    <w:semiHidden/>
    <w:unhideWhenUsed/>
    <w:rsid w:val="009526B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
    <w:name w:val="Light Shading - Accent 14"/>
    <w:basedOn w:val="TableNormal"/>
    <w:next w:val="LightShading-Accent1"/>
    <w:uiPriority w:val="60"/>
    <w:rsid w:val="002D7AC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4">
    <w:name w:val="Medium Grid 2 - Accent 14"/>
    <w:basedOn w:val="TableNormal"/>
    <w:next w:val="MediumGrid2-Accent1"/>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4">
    <w:name w:val="Medium List 2 - Accent 54"/>
    <w:basedOn w:val="TableNormal"/>
    <w:next w:val="MediumList2-Accent5"/>
    <w:uiPriority w:val="66"/>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0">
    <w:name w:val="Light List - Accent 110"/>
    <w:basedOn w:val="TableNormal"/>
    <w:next w:val="LightList-Accent1"/>
    <w:uiPriority w:val="61"/>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4">
    <w:name w:val="Medium Grid 3 - Accent 54"/>
    <w:basedOn w:val="TableNormal"/>
    <w:next w:val="MediumGrid3-Accent5"/>
    <w:uiPriority w:val="69"/>
    <w:rsid w:val="002D7AC1"/>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4">
    <w:name w:val="Light Shading - Accent 54"/>
    <w:basedOn w:val="TableNormal"/>
    <w:next w:val="LightShading-Accent5"/>
    <w:uiPriority w:val="60"/>
    <w:rsid w:val="002D7AC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4">
    <w:name w:val="Medium Grid 2 - Accent 54"/>
    <w:basedOn w:val="TableNormal"/>
    <w:next w:val="MediumGrid2-Accent5"/>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4">
    <w:name w:val="Light Grid - Accent 14"/>
    <w:basedOn w:val="TableNormal"/>
    <w:next w:val="LightGrid-Accent1"/>
    <w:uiPriority w:val="62"/>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5">
    <w:name w:val="Light Shading - Accent 15"/>
    <w:basedOn w:val="TableNormal"/>
    <w:next w:val="LightShading-Accent1"/>
    <w:uiPriority w:val="60"/>
    <w:rsid w:val="00EF5C2F"/>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5">
    <w:name w:val="Medium Grid 2 - Accent 15"/>
    <w:basedOn w:val="TableNormal"/>
    <w:next w:val="MediumGrid2-Accent1"/>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5">
    <w:name w:val="Medium List 2 - Accent 55"/>
    <w:basedOn w:val="TableNormal"/>
    <w:next w:val="MediumList2-Accent5"/>
    <w:uiPriority w:val="66"/>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6">
    <w:name w:val="Light List - Accent 116"/>
    <w:basedOn w:val="TableNormal"/>
    <w:next w:val="LightList-Accent1"/>
    <w:uiPriority w:val="61"/>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5">
    <w:name w:val="Medium Grid 3 - Accent 55"/>
    <w:basedOn w:val="TableNormal"/>
    <w:next w:val="MediumGrid3-Accent5"/>
    <w:uiPriority w:val="69"/>
    <w:rsid w:val="00EF5C2F"/>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5">
    <w:name w:val="Light Shading - Accent 55"/>
    <w:basedOn w:val="TableNormal"/>
    <w:next w:val="LightShading-Accent5"/>
    <w:uiPriority w:val="60"/>
    <w:rsid w:val="00EF5C2F"/>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5">
    <w:name w:val="Medium Grid 2 - Accent 55"/>
    <w:basedOn w:val="TableNormal"/>
    <w:next w:val="MediumGrid2-Accent5"/>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5">
    <w:name w:val="Light Grid - Accent 15"/>
    <w:basedOn w:val="TableNormal"/>
    <w:next w:val="LightGrid-Accent1"/>
    <w:uiPriority w:val="62"/>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27">
    <w:name w:val="No List27"/>
    <w:next w:val="NoList"/>
    <w:uiPriority w:val="99"/>
    <w:semiHidden/>
    <w:unhideWhenUsed/>
    <w:rsid w:val="00CD7119"/>
  </w:style>
  <w:style w:type="table" w:customStyle="1" w:styleId="TableGrid9">
    <w:name w:val="Table Grid9"/>
    <w:basedOn w:val="TableNormal"/>
    <w:next w:val="TableGrid"/>
    <w:uiPriority w:val="39"/>
    <w:rsid w:val="00CD7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
    <w:name w:val="Table List 76"/>
    <w:basedOn w:val="TableNormal"/>
    <w:next w:val="TableList7"/>
    <w:rsid w:val="00CD711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
    <w:name w:val="Table Web 36"/>
    <w:basedOn w:val="TableNormal"/>
    <w:next w:val="TableWeb3"/>
    <w:rsid w:val="00CD711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
    <w:name w:val="Table Elegant6"/>
    <w:basedOn w:val="TableNormal"/>
    <w:next w:val="TableElegant"/>
    <w:rsid w:val="00CD71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CD71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
    <w:name w:val="Table Web 16"/>
    <w:basedOn w:val="TableNormal"/>
    <w:next w:val="TableWeb1"/>
    <w:rsid w:val="00CD71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
    <w:rsid w:val="00CD711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rsid w:val="00CD711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
    <w:name w:val="No List119"/>
    <w:next w:val="NoList"/>
    <w:semiHidden/>
    <w:unhideWhenUsed/>
    <w:rsid w:val="00CD7119"/>
  </w:style>
  <w:style w:type="numbering" w:customStyle="1" w:styleId="NoList28">
    <w:name w:val="No List28"/>
    <w:next w:val="NoList"/>
    <w:semiHidden/>
    <w:unhideWhenUsed/>
    <w:rsid w:val="00CD7119"/>
  </w:style>
  <w:style w:type="numbering" w:customStyle="1" w:styleId="NoList37">
    <w:name w:val="No List37"/>
    <w:next w:val="NoList"/>
    <w:semiHidden/>
    <w:unhideWhenUsed/>
    <w:rsid w:val="00CD7119"/>
  </w:style>
  <w:style w:type="table" w:customStyle="1" w:styleId="LightList-Accent117">
    <w:name w:val="Light List - Accent 117"/>
    <w:basedOn w:val="TableNormal"/>
    <w:next w:val="LightList-Accent1"/>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
    <w:name w:val="Table Grid 76"/>
    <w:basedOn w:val="TableNormal"/>
    <w:next w:val="TableGrid7"/>
    <w:rsid w:val="00CD711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
    <w:name w:val="Colorful Grid - Accent 17"/>
    <w:basedOn w:val="TableNormal"/>
    <w:next w:val="ColorfulGrid-Accent1"/>
    <w:uiPriority w:val="73"/>
    <w:rsid w:val="00CD711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
    <w:name w:val="Light List - Accent 57"/>
    <w:basedOn w:val="TableNormal"/>
    <w:next w:val="LightList-Accent5"/>
    <w:uiPriority w:val="61"/>
    <w:rsid w:val="00CD711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
    <w:name w:val="Table Simple 36"/>
    <w:basedOn w:val="TableNormal"/>
    <w:next w:val="TableSimple3"/>
    <w:rsid w:val="00CD711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
    <w:name w:val="Table Grid 56"/>
    <w:basedOn w:val="TableNormal"/>
    <w:next w:val="TableGrid5"/>
    <w:rsid w:val="00CD711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
    <w:name w:val="Table Grid 36"/>
    <w:basedOn w:val="TableNormal"/>
    <w:next w:val="TableGrid3"/>
    <w:rsid w:val="00CD711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
    <w:name w:val="Table Grid 16"/>
    <w:basedOn w:val="TableNormal"/>
    <w:next w:val="TableGrid10"/>
    <w:rsid w:val="00CD71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rsid w:val="00CD711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
    <w:name w:val="Light List - Accent 118"/>
    <w:basedOn w:val="TableNormal"/>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0">
    <w:name w:val="Нет списка17"/>
    <w:next w:val="NoList"/>
    <w:semiHidden/>
    <w:unhideWhenUsed/>
    <w:rsid w:val="00CD7119"/>
  </w:style>
  <w:style w:type="table" w:customStyle="1" w:styleId="ColorfulGrid-Accent116">
    <w:name w:val="Colorful Grid - Accent 116"/>
    <w:basedOn w:val="TableNormal"/>
    <w:rsid w:val="00CD711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
    <w:name w:val="Light List - Accent 516"/>
    <w:basedOn w:val="TableNormal"/>
    <w:rsid w:val="00CD711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
    <w:name w:val="No List46"/>
    <w:next w:val="NoList"/>
    <w:semiHidden/>
    <w:rsid w:val="00CD7119"/>
  </w:style>
  <w:style w:type="numbering" w:customStyle="1" w:styleId="NoList1110">
    <w:name w:val="No List1110"/>
    <w:next w:val="NoList"/>
    <w:semiHidden/>
    <w:unhideWhenUsed/>
    <w:rsid w:val="00CD7119"/>
  </w:style>
  <w:style w:type="table" w:customStyle="1" w:styleId="Table3Deffects36">
    <w:name w:val="Table 3D effects 36"/>
    <w:basedOn w:val="TableNormal"/>
    <w:next w:val="Table3Deffects3"/>
    <w:rsid w:val="00CD71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
    <w:name w:val="Нет списка116"/>
    <w:next w:val="NoList"/>
    <w:semiHidden/>
    <w:unhideWhenUsed/>
    <w:rsid w:val="00CD7119"/>
  </w:style>
  <w:style w:type="character" w:customStyle="1" w:styleId="39">
    <w:name w:val="Основной текст3"/>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msonormal0">
    <w:name w:val="msonormal"/>
    <w:basedOn w:val="Normal"/>
    <w:rsid w:val="00291C2D"/>
    <w:pPr>
      <w:spacing w:before="100" w:beforeAutospacing="1" w:after="100" w:afterAutospacing="1" w:line="240" w:lineRule="auto"/>
      <w:ind w:firstLine="0"/>
      <w:contextualSpacing w:val="0"/>
      <w:jc w:val="left"/>
    </w:pPr>
    <w:rPr>
      <w:rFonts w:ascii="Times New Roman" w:hAnsi="Times New Roman"/>
      <w:b w:val="0"/>
      <w:sz w:val="24"/>
      <w:lang w:val="en-US" w:eastAsia="en-US"/>
    </w:rPr>
  </w:style>
  <w:style w:type="paragraph" w:customStyle="1" w:styleId="2b">
    <w:name w:val="Абзац списка2"/>
    <w:basedOn w:val="Normal"/>
    <w:uiPriority w:val="99"/>
    <w:qFormat/>
    <w:rsid w:val="00291C2D"/>
    <w:pPr>
      <w:spacing w:before="0" w:after="200" w:line="276" w:lineRule="auto"/>
      <w:ind w:left="720" w:firstLine="0"/>
      <w:jc w:val="left"/>
    </w:pPr>
    <w:rPr>
      <w:rFonts w:ascii="Calibri" w:eastAsia="Calibri" w:hAnsi="Calibri"/>
      <w:szCs w:val="22"/>
      <w:lang w:eastAsia="en-US"/>
    </w:rPr>
  </w:style>
  <w:style w:type="paragraph" w:customStyle="1" w:styleId="3a">
    <w:name w:val="Рецензия3"/>
    <w:hidden/>
    <w:uiPriority w:val="99"/>
    <w:semiHidden/>
    <w:rsid w:val="00291C2D"/>
    <w:rPr>
      <w:rFonts w:ascii="Arial Armenian" w:hAnsi="Arial Armenian"/>
      <w:sz w:val="22"/>
      <w:szCs w:val="22"/>
      <w:lang w:eastAsia="ru-RU"/>
    </w:rPr>
  </w:style>
  <w:style w:type="paragraph" w:customStyle="1" w:styleId="44">
    <w:name w:val="Обычный4"/>
    <w:rsid w:val="00291C2D"/>
    <w:pPr>
      <w:autoSpaceDE w:val="0"/>
      <w:autoSpaceDN w:val="0"/>
    </w:pPr>
    <w:rPr>
      <w:lang w:val="ru-RU" w:eastAsia="ru-RU"/>
    </w:rPr>
  </w:style>
  <w:style w:type="paragraph" w:customStyle="1" w:styleId="2c">
    <w:name w:val="Без интервала2"/>
    <w:uiPriority w:val="1"/>
    <w:qFormat/>
    <w:rsid w:val="00291C2D"/>
    <w:rPr>
      <w:rFonts w:ascii="Calibri" w:hAnsi="Calibri"/>
      <w:sz w:val="22"/>
      <w:szCs w:val="22"/>
    </w:rPr>
  </w:style>
  <w:style w:type="character" w:customStyle="1" w:styleId="45">
    <w:name w:val="Основной текст4"/>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table" w:customStyle="1" w:styleId="LightShading-Accent16">
    <w:name w:val="Light Shading - Accent 16"/>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
    <w:name w:val="Medium Grid 2 - Accent 16"/>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
    <w:name w:val="Medium List 2 - Accent 56"/>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
    <w:name w:val="Light List - Accent 15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
    <w:name w:val="Medium Grid 3 - Accent 56"/>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
    <w:name w:val="Light Shading - Accent 56"/>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
    <w:name w:val="Medium Grid 2 - Accent 56"/>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
    <w:name w:val="Light Grid - Accent 16"/>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
    <w:name w:val="Style114"/>
    <w:basedOn w:val="TableElegant"/>
    <w:uiPriority w:val="99"/>
    <w:rsid w:val="00291C2D"/>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
    <w:name w:val="Style215"/>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
    <w:name w:val="Style2114"/>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
    <w:name w:val="Light Shading - Accent 112"/>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
    <w:name w:val="Medium Grid 2 - Accent 112"/>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
    <w:name w:val="Medium List 2 - Accent 512"/>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
    <w:name w:val="Light List - Accent 16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
    <w:name w:val="Medium Grid 3 - Accent 512"/>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
    <w:name w:val="Light Shading - Accent 512"/>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
    <w:name w:val="Medium Grid 2 - Accent 512"/>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
    <w:name w:val="Light Grid - Accent 112"/>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
    <w:name w:val="No List29"/>
    <w:next w:val="NoList"/>
    <w:uiPriority w:val="99"/>
    <w:semiHidden/>
    <w:unhideWhenUsed/>
    <w:rsid w:val="00CC15D2"/>
  </w:style>
  <w:style w:type="table" w:customStyle="1" w:styleId="TableGrid100">
    <w:name w:val="Table Grid10"/>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C15D2"/>
  </w:style>
  <w:style w:type="numbering" w:customStyle="1" w:styleId="NoList1115">
    <w:name w:val="No List1115"/>
    <w:next w:val="NoList"/>
    <w:semiHidden/>
    <w:rsid w:val="00CC15D2"/>
  </w:style>
  <w:style w:type="table" w:customStyle="1" w:styleId="TableGrid150">
    <w:name w:val="Table Grid15"/>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941455"/>
  </w:style>
  <w:style w:type="table" w:customStyle="1" w:styleId="LightShading-Accent17">
    <w:name w:val="Light Shading - Accent 17"/>
    <w:basedOn w:val="TableNormal"/>
    <w:next w:val="LightShading-Accent1"/>
    <w:uiPriority w:val="60"/>
    <w:rsid w:val="00372F27"/>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7">
    <w:name w:val="Medium Grid 2 - Accent 17"/>
    <w:basedOn w:val="TableNormal"/>
    <w:next w:val="MediumGrid2-Accent1"/>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7">
    <w:name w:val="Medium List 2 - Accent 57"/>
    <w:basedOn w:val="TableNormal"/>
    <w:next w:val="MediumList2-Accent5"/>
    <w:uiPriority w:val="66"/>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9">
    <w:name w:val="Light List - Accent 119"/>
    <w:basedOn w:val="TableNormal"/>
    <w:next w:val="LightList-Accent1"/>
    <w:uiPriority w:val="61"/>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7">
    <w:name w:val="Medium Grid 3 - Accent 57"/>
    <w:basedOn w:val="TableNormal"/>
    <w:next w:val="MediumGrid3-Accent5"/>
    <w:uiPriority w:val="69"/>
    <w:rsid w:val="00372F27"/>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7">
    <w:name w:val="Light Shading - Accent 57"/>
    <w:basedOn w:val="TableNormal"/>
    <w:next w:val="LightShading-Accent5"/>
    <w:uiPriority w:val="60"/>
    <w:rsid w:val="00372F27"/>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7">
    <w:name w:val="Medium Grid 2 - Accent 57"/>
    <w:basedOn w:val="TableNormal"/>
    <w:next w:val="MediumGrid2-Accent5"/>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7">
    <w:name w:val="Light Grid - Accent 17"/>
    <w:basedOn w:val="TableNormal"/>
    <w:next w:val="LightGrid-Accent1"/>
    <w:uiPriority w:val="62"/>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38">
    <w:name w:val="No List38"/>
    <w:next w:val="NoList"/>
    <w:uiPriority w:val="99"/>
    <w:semiHidden/>
    <w:unhideWhenUsed/>
    <w:rsid w:val="00CD51B8"/>
  </w:style>
  <w:style w:type="table" w:customStyle="1" w:styleId="TableGrid160">
    <w:name w:val="Table Grid16"/>
    <w:basedOn w:val="TableNormal"/>
    <w:next w:val="TableGrid"/>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CD51B8"/>
  </w:style>
  <w:style w:type="numbering" w:customStyle="1" w:styleId="NoList1116">
    <w:name w:val="No List1116"/>
    <w:next w:val="NoList"/>
    <w:semiHidden/>
    <w:rsid w:val="00CD51B8"/>
  </w:style>
  <w:style w:type="table" w:customStyle="1" w:styleId="TableGrid17">
    <w:name w:val="Table Grid17"/>
    <w:basedOn w:val="TableNormal"/>
    <w:next w:val="TableGrid"/>
    <w:uiPriority w:val="59"/>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43453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8">
    <w:name w:val="Medium Grid 2 - Accent 18"/>
    <w:basedOn w:val="TableNormal"/>
    <w:next w:val="MediumGrid2-Accent1"/>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8">
    <w:name w:val="Medium List 2 - Accent 58"/>
    <w:basedOn w:val="TableNormal"/>
    <w:next w:val="MediumList2-Accent5"/>
    <w:uiPriority w:val="66"/>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0">
    <w:name w:val="Light List - Accent 120"/>
    <w:basedOn w:val="TableNormal"/>
    <w:next w:val="LightList-Accent1"/>
    <w:uiPriority w:val="61"/>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8">
    <w:name w:val="Medium Grid 3 - Accent 58"/>
    <w:basedOn w:val="TableNormal"/>
    <w:next w:val="MediumGrid3-Accent5"/>
    <w:uiPriority w:val="69"/>
    <w:rsid w:val="0043453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8">
    <w:name w:val="Light Shading - Accent 58"/>
    <w:basedOn w:val="TableNormal"/>
    <w:next w:val="LightShading-Accent5"/>
    <w:uiPriority w:val="60"/>
    <w:rsid w:val="00434536"/>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8">
    <w:name w:val="Medium Grid 2 - Accent 58"/>
    <w:basedOn w:val="TableNormal"/>
    <w:next w:val="MediumGrid2-Accent5"/>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8">
    <w:name w:val="Light Grid - Accent 18"/>
    <w:basedOn w:val="TableNormal"/>
    <w:next w:val="LightGrid-Accent1"/>
    <w:uiPriority w:val="62"/>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9">
    <w:name w:val="Light Shading - Accent 19"/>
    <w:basedOn w:val="TableNormal"/>
    <w:next w:val="LightShading-Accent1"/>
    <w:uiPriority w:val="60"/>
    <w:rsid w:val="00E81B58"/>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9">
    <w:name w:val="Medium Grid 2 - Accent 19"/>
    <w:basedOn w:val="TableNormal"/>
    <w:next w:val="MediumGrid2-Accent1"/>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9">
    <w:name w:val="Medium List 2 - Accent 59"/>
    <w:basedOn w:val="TableNormal"/>
    <w:next w:val="MediumList2-Accent5"/>
    <w:uiPriority w:val="66"/>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2">
    <w:name w:val="Light List - Accent 122"/>
    <w:basedOn w:val="TableNormal"/>
    <w:next w:val="LightList-Accent1"/>
    <w:uiPriority w:val="61"/>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9">
    <w:name w:val="Medium Grid 3 - Accent 59"/>
    <w:basedOn w:val="TableNormal"/>
    <w:next w:val="MediumGrid3-Accent5"/>
    <w:uiPriority w:val="69"/>
    <w:rsid w:val="00E81B58"/>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9">
    <w:name w:val="Light Shading - Accent 59"/>
    <w:basedOn w:val="TableNormal"/>
    <w:next w:val="LightShading-Accent5"/>
    <w:uiPriority w:val="60"/>
    <w:rsid w:val="00E81B58"/>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9">
    <w:name w:val="Medium Grid 2 - Accent 59"/>
    <w:basedOn w:val="TableNormal"/>
    <w:next w:val="MediumGrid2-Accent5"/>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9">
    <w:name w:val="Light Grid - Accent 19"/>
    <w:basedOn w:val="TableNormal"/>
    <w:next w:val="LightGrid-Accent1"/>
    <w:uiPriority w:val="62"/>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e115">
    <w:name w:val="Style115"/>
    <w:basedOn w:val="TableElegant"/>
    <w:uiPriority w:val="99"/>
    <w:rsid w:val="00CF7470"/>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
    <w:name w:val="Style2115"/>
    <w:basedOn w:val="TableGrid5"/>
    <w:uiPriority w:val="99"/>
    <w:rsid w:val="00CF7470"/>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
    <w:name w:val="No List39"/>
    <w:next w:val="NoList"/>
    <w:uiPriority w:val="99"/>
    <w:semiHidden/>
    <w:unhideWhenUsed/>
    <w:rsid w:val="008B1219"/>
  </w:style>
  <w:style w:type="table" w:customStyle="1" w:styleId="TableGrid18">
    <w:name w:val="Table Grid18"/>
    <w:basedOn w:val="TableNormal"/>
    <w:next w:val="TableGrid"/>
    <w:uiPriority w:val="3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8B1219"/>
  </w:style>
  <w:style w:type="numbering" w:customStyle="1" w:styleId="NoList1117">
    <w:name w:val="No List1117"/>
    <w:next w:val="NoList"/>
    <w:semiHidden/>
    <w:rsid w:val="008B1219"/>
  </w:style>
  <w:style w:type="table" w:customStyle="1" w:styleId="TableGrid19">
    <w:name w:val="Table Grid19"/>
    <w:basedOn w:val="TableNormal"/>
    <w:next w:val="TableGrid"/>
    <w:uiPriority w:val="5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
    <w:name w:val="Style1151"/>
    <w:basedOn w:val="TableElegant"/>
    <w:uiPriority w:val="99"/>
    <w:rsid w:val="008B121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
    <w:name w:val="Style216"/>
    <w:basedOn w:val="TableGrid5"/>
    <w:uiPriority w:val="99"/>
    <w:rsid w:val="008B121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
    <w:name w:val="No List40"/>
    <w:next w:val="NoList"/>
    <w:uiPriority w:val="99"/>
    <w:semiHidden/>
    <w:unhideWhenUsed/>
    <w:rsid w:val="008B1219"/>
  </w:style>
  <w:style w:type="table" w:customStyle="1" w:styleId="TableGrid20">
    <w:name w:val="Table Grid20"/>
    <w:basedOn w:val="TableNormal"/>
    <w:next w:val="TableGrid"/>
    <w:uiPriority w:val="59"/>
    <w:rsid w:val="008B1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
    <w:name w:val="Light Shading - Accent 110"/>
    <w:basedOn w:val="TableNormal"/>
    <w:next w:val="LightShading-Accent1"/>
    <w:uiPriority w:val="60"/>
    <w:rsid w:val="008B1219"/>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58">
    <w:name w:val="Light List - Accent 58"/>
    <w:basedOn w:val="TableNormal"/>
    <w:next w:val="LightList-Accent5"/>
    <w:uiPriority w:val="61"/>
    <w:rsid w:val="008B1219"/>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1">
    <w:name w:val="Medium List 2 Accent 1"/>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Accent110">
    <w:name w:val="Medium Grid 2 - Accent 110"/>
    <w:basedOn w:val="TableNormal"/>
    <w:next w:val="MediumGrid2-Accent1"/>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2-Accent510">
    <w:name w:val="Medium List 2 - Accent 510"/>
    <w:basedOn w:val="TableNormal"/>
    <w:next w:val="MediumList2-Accent5"/>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3">
    <w:name w:val="Light List - Accent 123"/>
    <w:basedOn w:val="TableNormal"/>
    <w:next w:val="LightList-Accent1"/>
    <w:uiPriority w:val="61"/>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5">
    <w:name w:val="Medium List 1 Accent 5"/>
    <w:basedOn w:val="TableNormal"/>
    <w:uiPriority w:val="65"/>
    <w:rsid w:val="008B1219"/>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Grid3-Accent510">
    <w:name w:val="Medium Grid 3 - Accent 510"/>
    <w:basedOn w:val="TableNormal"/>
    <w:next w:val="MediumGrid3-Accent5"/>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0">
    <w:name w:val="Light Shading - Accent 510"/>
    <w:basedOn w:val="TableNormal"/>
    <w:next w:val="LightShading-Accent5"/>
    <w:uiPriority w:val="60"/>
    <w:rsid w:val="008B1219"/>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0">
    <w:name w:val="Medium Grid 2 - Accent 510"/>
    <w:basedOn w:val="TableNormal"/>
    <w:next w:val="MediumGrid2-Accent5"/>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8B1219"/>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Accent110">
    <w:name w:val="Light Grid - Accent 110"/>
    <w:basedOn w:val="TableNormal"/>
    <w:next w:val="LightGrid-Accent1"/>
    <w:uiPriority w:val="62"/>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47">
    <w:name w:val="No List47"/>
    <w:next w:val="NoList"/>
    <w:uiPriority w:val="99"/>
    <w:semiHidden/>
    <w:unhideWhenUsed/>
    <w:rsid w:val="00961B35"/>
  </w:style>
  <w:style w:type="table" w:customStyle="1" w:styleId="TableGrid24">
    <w:name w:val="Table Grid24"/>
    <w:basedOn w:val="TableNormal"/>
    <w:next w:val="TableGrid"/>
    <w:uiPriority w:val="3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961B35"/>
  </w:style>
  <w:style w:type="numbering" w:customStyle="1" w:styleId="NoList1118">
    <w:name w:val="No List1118"/>
    <w:next w:val="NoList"/>
    <w:semiHidden/>
    <w:rsid w:val="00961B35"/>
  </w:style>
  <w:style w:type="table" w:customStyle="1" w:styleId="TableGrid1100">
    <w:name w:val="Table Grid110"/>
    <w:basedOn w:val="TableNormal"/>
    <w:next w:val="TableGrid"/>
    <w:uiPriority w:val="5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semiHidden/>
    <w:rsid w:val="001725C5"/>
  </w:style>
  <w:style w:type="paragraph" w:customStyle="1" w:styleId="CharChara">
    <w:name w:val="Char Char"/>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a">
    <w:name w:val="Char"/>
    <w:basedOn w:val="Normal"/>
    <w:next w:val="Normal"/>
    <w:rsid w:val="001725C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1CharCharCharCharCharCharCharCharCharCharCharChar0">
    <w:name w:val="Char1 Char Char Char Char Char Char Char Char Char Char Char Char"/>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4">
    <w:name w:val="Char Char Char"/>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5">
    <w:name w:val="Char Char Char 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5">
    <w:name w:val="Char Char Char Char Char 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af">
    <w:name w:val="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numbering" w:customStyle="1" w:styleId="NoList127">
    <w:name w:val="No List127"/>
    <w:next w:val="NoList"/>
    <w:semiHidden/>
    <w:rsid w:val="001725C5"/>
  </w:style>
  <w:style w:type="paragraph" w:customStyle="1" w:styleId="CharCharCharCharCharCharCharCharCharCharCharCharCharCharChar0">
    <w:name w:val="Char Char Char Char Знак Char Знак Char Char Char Char Char Char Char Char Char Char"/>
    <w:basedOn w:val="Normal"/>
    <w:rsid w:val="001725C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160">
    <w:name w:val="Char Char16"/>
    <w:rsid w:val="001725C5"/>
    <w:rPr>
      <w:b/>
      <w:sz w:val="32"/>
      <w:lang w:val="en-GB" w:eastAsia="en-US" w:bidi="ar-SA"/>
    </w:rPr>
  </w:style>
  <w:style w:type="character" w:customStyle="1" w:styleId="CharChar140">
    <w:name w:val="Char Char14"/>
    <w:rsid w:val="001725C5"/>
    <w:rPr>
      <w:sz w:val="22"/>
      <w:lang w:val="en-GB" w:eastAsia="en-US" w:bidi="ar-SA"/>
    </w:rPr>
  </w:style>
  <w:style w:type="character" w:customStyle="1" w:styleId="CharChar150">
    <w:name w:val="Char Char15"/>
    <w:rsid w:val="001725C5"/>
    <w:rPr>
      <w:sz w:val="36"/>
      <w:lang w:val="en-GB" w:eastAsia="en-US" w:bidi="ar-SA"/>
    </w:rPr>
  </w:style>
  <w:style w:type="character" w:customStyle="1" w:styleId="CharChar130">
    <w:name w:val="Char Char13"/>
    <w:rsid w:val="001725C5"/>
    <w:rPr>
      <w:sz w:val="22"/>
      <w:lang w:val="en-GB" w:eastAsia="en-US" w:bidi="ar-SA"/>
    </w:rPr>
  </w:style>
  <w:style w:type="character" w:customStyle="1" w:styleId="CharChar120">
    <w:name w:val="Char Char12"/>
    <w:uiPriority w:val="99"/>
    <w:rsid w:val="001725C5"/>
    <w:rPr>
      <w:sz w:val="22"/>
      <w:lang w:val="en-GB" w:eastAsia="en-US" w:bidi="ar-SA"/>
    </w:rPr>
  </w:style>
  <w:style w:type="character" w:customStyle="1" w:styleId="CharChar110">
    <w:name w:val="Char Char11"/>
    <w:uiPriority w:val="99"/>
    <w:rsid w:val="001725C5"/>
    <w:rPr>
      <w:rFonts w:ascii="Times Armenian" w:hAnsi="Times Armenian"/>
      <w:b/>
      <w:bCs/>
      <w:sz w:val="32"/>
      <w:szCs w:val="24"/>
      <w:lang w:val="fr-FR" w:eastAsia="en-US" w:bidi="ar-SA"/>
    </w:rPr>
  </w:style>
  <w:style w:type="character" w:customStyle="1" w:styleId="CharChar100">
    <w:name w:val="Char Char10"/>
    <w:rsid w:val="001725C5"/>
    <w:rPr>
      <w:rFonts w:ascii="Times Armenian" w:hAnsi="Times Armenian"/>
      <w:color w:val="993300"/>
      <w:sz w:val="22"/>
      <w:szCs w:val="24"/>
      <w:lang w:val="hy-AM" w:eastAsia="en-US" w:bidi="ar-SA"/>
    </w:rPr>
  </w:style>
  <w:style w:type="character" w:customStyle="1" w:styleId="CharChar90">
    <w:name w:val="Char Char9"/>
    <w:rsid w:val="001725C5"/>
    <w:rPr>
      <w:rFonts w:ascii="Times Armenian" w:hAnsi="Times Armenian"/>
      <w:b/>
      <w:i/>
      <w:sz w:val="24"/>
      <w:u w:val="single"/>
      <w:lang w:val="hy-AM" w:eastAsia="en-US" w:bidi="ar-SA"/>
    </w:rPr>
  </w:style>
  <w:style w:type="numbering" w:customStyle="1" w:styleId="NoList210">
    <w:name w:val="No List210"/>
    <w:next w:val="NoList"/>
    <w:semiHidden/>
    <w:rsid w:val="001725C5"/>
  </w:style>
  <w:style w:type="numbering" w:customStyle="1" w:styleId="NoList49">
    <w:name w:val="No List49"/>
    <w:next w:val="NoList"/>
    <w:uiPriority w:val="99"/>
    <w:semiHidden/>
    <w:unhideWhenUsed/>
    <w:rsid w:val="002C0A36"/>
  </w:style>
  <w:style w:type="table" w:customStyle="1" w:styleId="TableGrid25">
    <w:name w:val="Table Grid25"/>
    <w:basedOn w:val="TableNormal"/>
    <w:next w:val="TableGrid"/>
    <w:uiPriority w:val="39"/>
    <w:rsid w:val="002C0A36"/>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C0A36"/>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
    <w:name w:val="Table Grid26"/>
    <w:basedOn w:val="TableNormal"/>
    <w:next w:val="TableGrid"/>
    <w:uiPriority w:val="39"/>
    <w:rsid w:val="00BA6B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B36A46"/>
  </w:style>
  <w:style w:type="numbering" w:customStyle="1" w:styleId="NoList128">
    <w:name w:val="No List128"/>
    <w:next w:val="NoList"/>
    <w:uiPriority w:val="99"/>
    <w:semiHidden/>
    <w:unhideWhenUsed/>
    <w:rsid w:val="00B36A46"/>
  </w:style>
  <w:style w:type="table" w:customStyle="1" w:styleId="TableGrid27">
    <w:name w:val="Table Grid27"/>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semiHidden/>
    <w:unhideWhenUsed/>
    <w:rsid w:val="00B36A46"/>
  </w:style>
  <w:style w:type="numbering" w:customStyle="1" w:styleId="NoList11110">
    <w:name w:val="No List11110"/>
    <w:next w:val="NoList"/>
    <w:semiHidden/>
    <w:rsid w:val="00B36A46"/>
  </w:style>
  <w:style w:type="table" w:customStyle="1" w:styleId="TableGrid112">
    <w:name w:val="Table Grid11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semiHidden/>
    <w:rsid w:val="00B36A46"/>
  </w:style>
  <w:style w:type="numbering" w:customStyle="1" w:styleId="NoList214">
    <w:name w:val="No List214"/>
    <w:next w:val="NoList"/>
    <w:semiHidden/>
    <w:rsid w:val="00B36A46"/>
  </w:style>
  <w:style w:type="numbering" w:customStyle="1" w:styleId="NoList310">
    <w:name w:val="No List310"/>
    <w:next w:val="NoList"/>
    <w:semiHidden/>
    <w:unhideWhenUsed/>
    <w:rsid w:val="00B36A46"/>
  </w:style>
  <w:style w:type="table" w:customStyle="1" w:styleId="TableList77">
    <w:name w:val="Table List 77"/>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
    <w:name w:val="Table Web 37"/>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
    <w:name w:val="Table Elegant7"/>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
    <w:name w:val="Table Web 17"/>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
    <w:name w:val="Table Grid 87"/>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
    <w:name w:val="Table Contemporary7"/>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
    <w:name w:val="Light List - Accent 124"/>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
    <w:name w:val="Table Grid 77"/>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
    <w:name w:val="Colorful Grid - Accent 18"/>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
    <w:name w:val="Light List - Accent 59"/>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
    <w:name w:val="Table Simple 37"/>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
    <w:name w:val="Table Grid 57"/>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
    <w:name w:val="Table Grid 37"/>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0">
    <w:name w:val="Table Grid 17"/>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
    <w:name w:val="Table Columns 57"/>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
    <w:name w:val="Light List - Accent 1110"/>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0">
    <w:name w:val="Нет списка18"/>
    <w:next w:val="NoList"/>
    <w:semiHidden/>
    <w:unhideWhenUsed/>
    <w:rsid w:val="00B36A46"/>
  </w:style>
  <w:style w:type="table" w:customStyle="1" w:styleId="ColorfulGrid-Accent117">
    <w:name w:val="Colorful Grid - Accent 117"/>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
    <w:name w:val="Light List - Accent 517"/>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
    <w:name w:val="No List410"/>
    <w:next w:val="NoList"/>
    <w:semiHidden/>
    <w:rsid w:val="00B36A46"/>
  </w:style>
  <w:style w:type="table" w:customStyle="1" w:styleId="Table3Deffects37">
    <w:name w:val="Table 3D effects 37"/>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
    <w:name w:val="Нет списка117"/>
    <w:next w:val="NoList"/>
    <w:semiHidden/>
    <w:unhideWhenUsed/>
    <w:rsid w:val="00B36A46"/>
  </w:style>
  <w:style w:type="numbering" w:customStyle="1" w:styleId="NoList54">
    <w:name w:val="No List54"/>
    <w:next w:val="NoList"/>
    <w:uiPriority w:val="99"/>
    <w:semiHidden/>
    <w:unhideWhenUsed/>
    <w:rsid w:val="00B36A46"/>
  </w:style>
  <w:style w:type="numbering" w:customStyle="1" w:styleId="NoList129">
    <w:name w:val="No List129"/>
    <w:next w:val="NoList"/>
    <w:semiHidden/>
    <w:rsid w:val="00B36A46"/>
  </w:style>
  <w:style w:type="numbering" w:customStyle="1" w:styleId="NoList1124">
    <w:name w:val="No List1124"/>
    <w:next w:val="NoList"/>
    <w:semiHidden/>
    <w:rsid w:val="00B36A46"/>
  </w:style>
  <w:style w:type="numbering" w:customStyle="1" w:styleId="NoList111112">
    <w:name w:val="No List111112"/>
    <w:next w:val="NoList"/>
    <w:semiHidden/>
    <w:rsid w:val="00B36A46"/>
  </w:style>
  <w:style w:type="numbering" w:customStyle="1" w:styleId="NoList215">
    <w:name w:val="No List215"/>
    <w:next w:val="NoList"/>
    <w:semiHidden/>
    <w:rsid w:val="00B36A46"/>
  </w:style>
  <w:style w:type="table" w:customStyle="1" w:styleId="TableGrid28">
    <w:name w:val="Table Grid28"/>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B36A46"/>
  </w:style>
  <w:style w:type="numbering" w:customStyle="1" w:styleId="NoList62">
    <w:name w:val="No List62"/>
    <w:next w:val="NoList"/>
    <w:uiPriority w:val="99"/>
    <w:semiHidden/>
    <w:unhideWhenUsed/>
    <w:rsid w:val="00B36A46"/>
  </w:style>
  <w:style w:type="numbering" w:customStyle="1" w:styleId="NoList72">
    <w:name w:val="No List72"/>
    <w:next w:val="NoList"/>
    <w:uiPriority w:val="99"/>
    <w:semiHidden/>
    <w:unhideWhenUsed/>
    <w:rsid w:val="00B36A46"/>
  </w:style>
  <w:style w:type="table" w:customStyle="1" w:styleId="TableGrid320">
    <w:name w:val="Table Grid3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semiHidden/>
    <w:unhideWhenUsed/>
    <w:rsid w:val="00B36A46"/>
  </w:style>
  <w:style w:type="numbering" w:customStyle="1" w:styleId="NoList1132">
    <w:name w:val="No List1132"/>
    <w:next w:val="NoList"/>
    <w:semiHidden/>
    <w:rsid w:val="00B36A46"/>
  </w:style>
  <w:style w:type="table" w:customStyle="1" w:styleId="TableGrid113">
    <w:name w:val="Table Grid113"/>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semiHidden/>
    <w:rsid w:val="00B36A46"/>
  </w:style>
  <w:style w:type="numbering" w:customStyle="1" w:styleId="NoList222">
    <w:name w:val="No List222"/>
    <w:next w:val="NoList"/>
    <w:semiHidden/>
    <w:rsid w:val="00B36A46"/>
  </w:style>
  <w:style w:type="numbering" w:customStyle="1" w:styleId="NoList322">
    <w:name w:val="No List322"/>
    <w:next w:val="NoList"/>
    <w:semiHidden/>
    <w:unhideWhenUsed/>
    <w:rsid w:val="00B36A46"/>
  </w:style>
  <w:style w:type="table" w:customStyle="1" w:styleId="TableList712">
    <w:name w:val="Table List 71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
    <w:name w:val="Table Web 31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
    <w:name w:val="Light List - Accent 125"/>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
    <w:name w:val="Table Grid 71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
    <w:name w:val="Colorful Grid - Accent 122"/>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
    <w:name w:val="Light List - Accent 522"/>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
    <w:name w:val="Table Simple 31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
    <w:name w:val="Table Grid 51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
    <w:name w:val="Table Grid 31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0">
    <w:name w:val="Table Grid 11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
    <w:name w:val="Table Columns 51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
    <w:name w:val="Light List - Accent 111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
    <w:name w:val="Нет списка122"/>
    <w:next w:val="NoList"/>
    <w:uiPriority w:val="99"/>
    <w:semiHidden/>
    <w:unhideWhenUsed/>
    <w:rsid w:val="00B36A46"/>
  </w:style>
  <w:style w:type="table" w:customStyle="1" w:styleId="ColorfulGrid-Accent1112">
    <w:name w:val="Colorful Grid - Accent 111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
    <w:name w:val="Light List - Accent 511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
    <w:name w:val="No List412"/>
    <w:next w:val="NoList"/>
    <w:semiHidden/>
    <w:rsid w:val="00B36A46"/>
  </w:style>
  <w:style w:type="table" w:customStyle="1" w:styleId="Table3Deffects312">
    <w:name w:val="Table 3D effects 31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Нет списка1112"/>
    <w:next w:val="NoList"/>
    <w:semiHidden/>
    <w:unhideWhenUsed/>
    <w:rsid w:val="00B36A46"/>
  </w:style>
  <w:style w:type="numbering" w:customStyle="1" w:styleId="NoList512">
    <w:name w:val="No List512"/>
    <w:next w:val="NoList"/>
    <w:uiPriority w:val="99"/>
    <w:semiHidden/>
    <w:unhideWhenUsed/>
    <w:rsid w:val="00B36A46"/>
  </w:style>
  <w:style w:type="numbering" w:customStyle="1" w:styleId="NoList1212">
    <w:name w:val="No List1212"/>
    <w:next w:val="NoList"/>
    <w:semiHidden/>
    <w:rsid w:val="00B36A46"/>
  </w:style>
  <w:style w:type="numbering" w:customStyle="1" w:styleId="NoList11212">
    <w:name w:val="No List11212"/>
    <w:next w:val="NoList"/>
    <w:semiHidden/>
    <w:rsid w:val="00B36A46"/>
  </w:style>
  <w:style w:type="numbering" w:customStyle="1" w:styleId="NoList1111112">
    <w:name w:val="No List1111112"/>
    <w:next w:val="NoList"/>
    <w:semiHidden/>
    <w:rsid w:val="00B36A46"/>
  </w:style>
  <w:style w:type="numbering" w:customStyle="1" w:styleId="NoList2112">
    <w:name w:val="No List2112"/>
    <w:next w:val="NoList"/>
    <w:semiHidden/>
    <w:rsid w:val="00B36A46"/>
  </w:style>
  <w:style w:type="table" w:customStyle="1" w:styleId="TableGrid212">
    <w:name w:val="Table Grid21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B36A46"/>
  </w:style>
  <w:style w:type="numbering" w:customStyle="1" w:styleId="NoList82">
    <w:name w:val="No List82"/>
    <w:next w:val="NoList"/>
    <w:uiPriority w:val="99"/>
    <w:semiHidden/>
    <w:unhideWhenUsed/>
    <w:rsid w:val="00B36A46"/>
  </w:style>
  <w:style w:type="numbering" w:customStyle="1" w:styleId="NoList92">
    <w:name w:val="No List92"/>
    <w:next w:val="NoList"/>
    <w:uiPriority w:val="99"/>
    <w:semiHidden/>
    <w:unhideWhenUsed/>
    <w:rsid w:val="00B36A46"/>
  </w:style>
  <w:style w:type="table" w:customStyle="1" w:styleId="TableGrid42">
    <w:name w:val="Table Grid4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
    <w:name w:val="Table List 72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
    <w:name w:val="Table Web 32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
    <w:name w:val="Table Elegant2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
    <w:name w:val="Table Web 12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
    <w:name w:val="No List142"/>
    <w:next w:val="NoList"/>
    <w:semiHidden/>
    <w:unhideWhenUsed/>
    <w:rsid w:val="00B36A46"/>
  </w:style>
  <w:style w:type="numbering" w:customStyle="1" w:styleId="NoList232">
    <w:name w:val="No List232"/>
    <w:next w:val="NoList"/>
    <w:semiHidden/>
    <w:unhideWhenUsed/>
    <w:rsid w:val="00B36A46"/>
  </w:style>
  <w:style w:type="numbering" w:customStyle="1" w:styleId="NoList332">
    <w:name w:val="No List332"/>
    <w:next w:val="NoList"/>
    <w:semiHidden/>
    <w:unhideWhenUsed/>
    <w:rsid w:val="00B36A46"/>
  </w:style>
  <w:style w:type="table" w:customStyle="1" w:styleId="LightList-Accent132">
    <w:name w:val="Light List - Accent 13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
    <w:name w:val="Table Grid 72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
    <w:name w:val="Colorful Grid - Accent 13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
    <w:name w:val="Light List - Accent 53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
    <w:name w:val="Table Simple 32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
    <w:name w:val="Table Grid 52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
    <w:name w:val="Table Grid 32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
    <w:name w:val="Table Grid 12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
    <w:name w:val="Light List - Accent 112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
    <w:name w:val="Нет списка132"/>
    <w:next w:val="NoList"/>
    <w:semiHidden/>
    <w:unhideWhenUsed/>
    <w:rsid w:val="00B36A46"/>
  </w:style>
  <w:style w:type="table" w:customStyle="1" w:styleId="ColorfulGrid-Accent1122">
    <w:name w:val="Colorful Grid - Accent 112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
    <w:name w:val="Light List - Accent 512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
    <w:name w:val="No List422"/>
    <w:next w:val="NoList"/>
    <w:semiHidden/>
    <w:rsid w:val="00B36A46"/>
  </w:style>
  <w:style w:type="numbering" w:customStyle="1" w:styleId="NoList1142">
    <w:name w:val="No List1142"/>
    <w:next w:val="NoList"/>
    <w:semiHidden/>
    <w:unhideWhenUsed/>
    <w:rsid w:val="00B36A46"/>
  </w:style>
  <w:style w:type="table" w:customStyle="1" w:styleId="Table3Deffects322">
    <w:name w:val="Table 3D effects 32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
    <w:name w:val="Нет списка1122"/>
    <w:next w:val="NoList"/>
    <w:semiHidden/>
    <w:unhideWhenUsed/>
    <w:rsid w:val="00B36A46"/>
  </w:style>
  <w:style w:type="numbering" w:customStyle="1" w:styleId="NoList102">
    <w:name w:val="No List102"/>
    <w:next w:val="NoList"/>
    <w:uiPriority w:val="99"/>
    <w:semiHidden/>
    <w:unhideWhenUsed/>
    <w:rsid w:val="00B36A46"/>
  </w:style>
  <w:style w:type="table" w:customStyle="1" w:styleId="TableGrid520">
    <w:name w:val="Table Grid5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semiHidden/>
    <w:unhideWhenUsed/>
    <w:rsid w:val="00B36A46"/>
  </w:style>
  <w:style w:type="numbering" w:customStyle="1" w:styleId="NoList1152">
    <w:name w:val="No List1152"/>
    <w:next w:val="NoList"/>
    <w:semiHidden/>
    <w:rsid w:val="00B36A46"/>
  </w:style>
  <w:style w:type="table" w:customStyle="1" w:styleId="TableGrid1220">
    <w:name w:val="Table Grid12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semiHidden/>
    <w:rsid w:val="00B36A46"/>
  </w:style>
  <w:style w:type="numbering" w:customStyle="1" w:styleId="NoList242">
    <w:name w:val="No List242"/>
    <w:next w:val="NoList"/>
    <w:semiHidden/>
    <w:rsid w:val="00B36A46"/>
  </w:style>
  <w:style w:type="numbering" w:customStyle="1" w:styleId="NoList342">
    <w:name w:val="No List342"/>
    <w:next w:val="NoList"/>
    <w:semiHidden/>
    <w:unhideWhenUsed/>
    <w:rsid w:val="00B36A46"/>
  </w:style>
  <w:style w:type="table" w:customStyle="1" w:styleId="TableList732">
    <w:name w:val="Table List 73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
    <w:name w:val="Table Web 33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
    <w:name w:val="Table Elegant3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
    <w:name w:val="Table Web 13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
    <w:name w:val="Table Grid 83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
    <w:name w:val="Table Contemporary3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
    <w:name w:val="Light List - Accent 14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
    <w:name w:val="Table Grid 73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
    <w:name w:val="Colorful Grid - Accent 14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
    <w:name w:val="Light List - Accent 54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
    <w:name w:val="Table Simple 33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
    <w:name w:val="Table Grid 53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
    <w:name w:val="Table Grid 33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
    <w:name w:val="Table Grid 13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
    <w:name w:val="Table Columns 53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
    <w:name w:val="Light List - Accent 113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
    <w:name w:val="Нет списка142"/>
    <w:next w:val="NoList"/>
    <w:semiHidden/>
    <w:unhideWhenUsed/>
    <w:rsid w:val="00B36A46"/>
  </w:style>
  <w:style w:type="table" w:customStyle="1" w:styleId="ColorfulGrid-Accent1132">
    <w:name w:val="Colorful Grid - Accent 113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
    <w:name w:val="Light List - Accent 513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
    <w:name w:val="No List432"/>
    <w:next w:val="NoList"/>
    <w:semiHidden/>
    <w:rsid w:val="00B36A46"/>
  </w:style>
  <w:style w:type="table" w:customStyle="1" w:styleId="Table3Deffects332">
    <w:name w:val="Table 3D effects 33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
    <w:name w:val="Нет списка1132"/>
    <w:next w:val="NoList"/>
    <w:semiHidden/>
    <w:unhideWhenUsed/>
    <w:rsid w:val="00B36A46"/>
  </w:style>
  <w:style w:type="numbering" w:customStyle="1" w:styleId="NoList522">
    <w:name w:val="No List522"/>
    <w:next w:val="NoList"/>
    <w:uiPriority w:val="99"/>
    <w:semiHidden/>
    <w:unhideWhenUsed/>
    <w:rsid w:val="00B36A46"/>
  </w:style>
  <w:style w:type="numbering" w:customStyle="1" w:styleId="NoList1222">
    <w:name w:val="No List1222"/>
    <w:next w:val="NoList"/>
    <w:semiHidden/>
    <w:rsid w:val="00B36A46"/>
  </w:style>
  <w:style w:type="numbering" w:customStyle="1" w:styleId="NoList11222">
    <w:name w:val="No List11222"/>
    <w:next w:val="NoList"/>
    <w:semiHidden/>
    <w:rsid w:val="00B36A46"/>
  </w:style>
  <w:style w:type="numbering" w:customStyle="1" w:styleId="NoList111122">
    <w:name w:val="No List111122"/>
    <w:next w:val="NoList"/>
    <w:semiHidden/>
    <w:rsid w:val="00B36A46"/>
  </w:style>
  <w:style w:type="numbering" w:customStyle="1" w:styleId="NoList2122">
    <w:name w:val="No List2122"/>
    <w:next w:val="NoList"/>
    <w:semiHidden/>
    <w:rsid w:val="00B36A46"/>
  </w:style>
  <w:style w:type="table" w:customStyle="1" w:styleId="TableGrid222">
    <w:name w:val="Table Grid22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B36A46"/>
  </w:style>
  <w:style w:type="table" w:customStyle="1" w:styleId="LightShading-Accent113">
    <w:name w:val="Light Shading - Accent 113"/>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
    <w:name w:val="Medium Grid 2 - Accent 113"/>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
    <w:name w:val="Medium List 2 - Accent 513"/>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
    <w:name w:val="Light List - Accent 15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
    <w:name w:val="Medium Grid 3 - Accent 513"/>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
    <w:name w:val="Light Shading - Accent 513"/>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
    <w:name w:val="Medium Grid 2 - Accent 513"/>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
    <w:name w:val="Light Grid - Accent 113"/>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
    <w:name w:val="Table List 44"/>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
    <w:name w:val="Table List 413"/>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
    <w:name w:val="Table Theme2"/>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
    <w:name w:val="Table Professional2"/>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
    <w:name w:val="Table Grid 62"/>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
    <w:name w:val="Table List 42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
    <w:name w:val="Table List 411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
    <w:name w:val="Style116"/>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
    <w:name w:val="Style217"/>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
    <w:name w:val="Style2116"/>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
    <w:name w:val="No List162"/>
    <w:next w:val="NoList"/>
    <w:uiPriority w:val="99"/>
    <w:semiHidden/>
    <w:unhideWhenUsed/>
    <w:rsid w:val="00B36A46"/>
  </w:style>
  <w:style w:type="table" w:customStyle="1" w:styleId="TableGrid620">
    <w:name w:val="Table Grid6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B36A46"/>
  </w:style>
  <w:style w:type="numbering" w:customStyle="1" w:styleId="NoList1162">
    <w:name w:val="No List1162"/>
    <w:next w:val="NoList"/>
    <w:semiHidden/>
    <w:rsid w:val="00B36A46"/>
  </w:style>
  <w:style w:type="table" w:customStyle="1" w:styleId="TableGrid1320">
    <w:name w:val="Table Grid132"/>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
    <w:name w:val="Light List - Accent 16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
    <w:name w:val="Light Shading - Accent 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
    <w:name w:val="Medium Grid 2 - Accent 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
    <w:name w:val="Medium List 2 - Accent 5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
    <w:name w:val="Light List - Accent 17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
    <w:name w:val="Medium Grid 3 - Accent 5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
    <w:name w:val="Light Shading - Accent 5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
    <w:name w:val="Medium Grid 2 - Accent 5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
    <w:name w:val="Light Grid - Accent 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
    <w:name w:val="No List181"/>
    <w:next w:val="NoList"/>
    <w:uiPriority w:val="99"/>
    <w:semiHidden/>
    <w:unhideWhenUsed/>
    <w:rsid w:val="00B36A46"/>
  </w:style>
  <w:style w:type="table" w:customStyle="1" w:styleId="TableGrid710">
    <w:name w:val="Table Grid7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
    <w:name w:val="Table List 74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
    <w:name w:val="Table Web 34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
    <w:name w:val="Table Elegant4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
    <w:name w:val="Table Web 24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
    <w:name w:val="No List191"/>
    <w:next w:val="NoList"/>
    <w:semiHidden/>
    <w:unhideWhenUsed/>
    <w:rsid w:val="00B36A46"/>
  </w:style>
  <w:style w:type="numbering" w:customStyle="1" w:styleId="NoList251">
    <w:name w:val="No List251"/>
    <w:next w:val="NoList"/>
    <w:semiHidden/>
    <w:unhideWhenUsed/>
    <w:rsid w:val="00B36A46"/>
  </w:style>
  <w:style w:type="numbering" w:customStyle="1" w:styleId="NoList351">
    <w:name w:val="No List351"/>
    <w:next w:val="NoList"/>
    <w:semiHidden/>
    <w:unhideWhenUsed/>
    <w:rsid w:val="00B36A46"/>
  </w:style>
  <w:style w:type="table" w:customStyle="1" w:styleId="LightList-Accent181">
    <w:name w:val="Light List - Accent 18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
    <w:name w:val="Table Grid 74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
    <w:name w:val="Colorful Grid - Accent 15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
    <w:name w:val="Light List - Accent 55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
    <w:name w:val="Table Simple 34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
    <w:name w:val="Table Grid 54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
    <w:name w:val="Table Grid 34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
    <w:name w:val="Table Grid 14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
    <w:name w:val="Light List - Accent 114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
    <w:name w:val="Нет списка151"/>
    <w:next w:val="NoList"/>
    <w:semiHidden/>
    <w:unhideWhenUsed/>
    <w:rsid w:val="00B36A46"/>
  </w:style>
  <w:style w:type="table" w:customStyle="1" w:styleId="ColorfulGrid-Accent1141">
    <w:name w:val="Colorful Grid - Accent 114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
    <w:name w:val="Light List - Accent 514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
    <w:name w:val="No List441"/>
    <w:next w:val="NoList"/>
    <w:semiHidden/>
    <w:rsid w:val="00B36A46"/>
  </w:style>
  <w:style w:type="numbering" w:customStyle="1" w:styleId="NoList1171">
    <w:name w:val="No List1171"/>
    <w:next w:val="NoList"/>
    <w:semiHidden/>
    <w:unhideWhenUsed/>
    <w:rsid w:val="00B36A46"/>
  </w:style>
  <w:style w:type="table" w:customStyle="1" w:styleId="Table3Deffects341">
    <w:name w:val="Table 3D effects 34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
    <w:name w:val="Нет списка1141"/>
    <w:next w:val="NoList"/>
    <w:semiHidden/>
    <w:unhideWhenUsed/>
    <w:rsid w:val="00B36A46"/>
  </w:style>
  <w:style w:type="table" w:customStyle="1" w:styleId="Style1111">
    <w:name w:val="Style11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
    <w:name w:val="Style2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
    <w:name w:val="Style2111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
    <w:name w:val="Style112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
    <w:name w:val="Style2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
    <w:name w:val="Style21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
    <w:name w:val="No List201"/>
    <w:next w:val="NoList"/>
    <w:uiPriority w:val="99"/>
    <w:semiHidden/>
    <w:unhideWhenUsed/>
    <w:rsid w:val="00B36A46"/>
  </w:style>
  <w:style w:type="numbering" w:customStyle="1" w:styleId="NoList1101">
    <w:name w:val="No List1101"/>
    <w:next w:val="NoList"/>
    <w:uiPriority w:val="99"/>
    <w:semiHidden/>
    <w:unhideWhenUsed/>
    <w:rsid w:val="00B36A46"/>
  </w:style>
  <w:style w:type="table" w:customStyle="1" w:styleId="TableGrid810">
    <w:name w:val="Table Grid8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B36A46"/>
  </w:style>
  <w:style w:type="numbering" w:customStyle="1" w:styleId="NoList11141">
    <w:name w:val="No List11141"/>
    <w:next w:val="NoList"/>
    <w:semiHidden/>
    <w:rsid w:val="00B36A46"/>
  </w:style>
  <w:style w:type="table" w:customStyle="1" w:styleId="TableGrid1410">
    <w:name w:val="Table Grid14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semiHidden/>
    <w:rsid w:val="00B36A46"/>
  </w:style>
  <w:style w:type="numbering" w:customStyle="1" w:styleId="NoList261">
    <w:name w:val="No List261"/>
    <w:next w:val="NoList"/>
    <w:semiHidden/>
    <w:rsid w:val="00B36A46"/>
  </w:style>
  <w:style w:type="numbering" w:customStyle="1" w:styleId="NoList361">
    <w:name w:val="No List361"/>
    <w:next w:val="NoList"/>
    <w:semiHidden/>
    <w:unhideWhenUsed/>
    <w:rsid w:val="00B36A46"/>
  </w:style>
  <w:style w:type="table" w:customStyle="1" w:styleId="TableList751">
    <w:name w:val="Table List 75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
    <w:name w:val="Table Web 35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
    <w:name w:val="Table Elegant5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
    <w:name w:val="Table Web 25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
    <w:name w:val="Table Web 15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
    <w:name w:val="Table Grid 85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
    <w:name w:val="Table Contemporary5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
    <w:name w:val="Light List - Accent 19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
    <w:name w:val="Table Grid 75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
    <w:name w:val="Colorful Grid - Accent 16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
    <w:name w:val="Light List - Accent 56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
    <w:name w:val="Table Simple 35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
    <w:name w:val="Table Grid 55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
    <w:name w:val="Table Grid 35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
    <w:name w:val="Table Grid 15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
    <w:name w:val="Table Columns 55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
    <w:name w:val="Light List - Accent 115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
    <w:name w:val="Нет списка161"/>
    <w:next w:val="NoList"/>
    <w:semiHidden/>
    <w:unhideWhenUsed/>
    <w:rsid w:val="00B36A46"/>
  </w:style>
  <w:style w:type="table" w:customStyle="1" w:styleId="ColorfulGrid-Accent1151">
    <w:name w:val="Colorful Grid - Accent 115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
    <w:name w:val="Light List - Accent 515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
    <w:name w:val="No List451"/>
    <w:next w:val="NoList"/>
    <w:semiHidden/>
    <w:rsid w:val="00B36A46"/>
  </w:style>
  <w:style w:type="table" w:customStyle="1" w:styleId="Table3Deffects351">
    <w:name w:val="Table 3D effects 35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NoList"/>
    <w:semiHidden/>
    <w:unhideWhenUsed/>
    <w:rsid w:val="00B36A46"/>
  </w:style>
  <w:style w:type="numbering" w:customStyle="1" w:styleId="NoList531">
    <w:name w:val="No List531"/>
    <w:next w:val="NoList"/>
    <w:uiPriority w:val="99"/>
    <w:semiHidden/>
    <w:unhideWhenUsed/>
    <w:rsid w:val="00B36A46"/>
  </w:style>
  <w:style w:type="numbering" w:customStyle="1" w:styleId="NoList1231">
    <w:name w:val="No List1231"/>
    <w:next w:val="NoList"/>
    <w:semiHidden/>
    <w:rsid w:val="00B36A46"/>
  </w:style>
  <w:style w:type="numbering" w:customStyle="1" w:styleId="NoList11231">
    <w:name w:val="No List11231"/>
    <w:next w:val="NoList"/>
    <w:semiHidden/>
    <w:rsid w:val="00B36A46"/>
  </w:style>
  <w:style w:type="numbering" w:customStyle="1" w:styleId="NoList11111111">
    <w:name w:val="No List11111111"/>
    <w:next w:val="NoList"/>
    <w:semiHidden/>
    <w:rsid w:val="00B36A46"/>
  </w:style>
  <w:style w:type="numbering" w:customStyle="1" w:styleId="NoList2131">
    <w:name w:val="No List2131"/>
    <w:next w:val="NoList"/>
    <w:semiHidden/>
    <w:rsid w:val="00B36A46"/>
  </w:style>
  <w:style w:type="table" w:customStyle="1" w:styleId="TableGrid231">
    <w:name w:val="Table Grid23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
    <w:name w:val="No List3131"/>
    <w:next w:val="NoList"/>
    <w:uiPriority w:val="99"/>
    <w:semiHidden/>
    <w:unhideWhenUsed/>
    <w:rsid w:val="00B36A46"/>
  </w:style>
  <w:style w:type="numbering" w:customStyle="1" w:styleId="NoList611">
    <w:name w:val="No List611"/>
    <w:next w:val="NoList"/>
    <w:uiPriority w:val="99"/>
    <w:semiHidden/>
    <w:unhideWhenUsed/>
    <w:rsid w:val="00B36A46"/>
  </w:style>
  <w:style w:type="numbering" w:customStyle="1" w:styleId="NoList711">
    <w:name w:val="No List711"/>
    <w:next w:val="NoList"/>
    <w:uiPriority w:val="99"/>
    <w:semiHidden/>
    <w:unhideWhenUsed/>
    <w:rsid w:val="00B36A46"/>
  </w:style>
  <w:style w:type="table" w:customStyle="1" w:styleId="TableGrid3110">
    <w:name w:val="Table Grid3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semiHidden/>
    <w:unhideWhenUsed/>
    <w:rsid w:val="00B36A46"/>
  </w:style>
  <w:style w:type="numbering" w:customStyle="1" w:styleId="NoList11311">
    <w:name w:val="No List11311"/>
    <w:next w:val="NoList"/>
    <w:semiHidden/>
    <w:rsid w:val="00B36A46"/>
  </w:style>
  <w:style w:type="table" w:customStyle="1" w:styleId="TableGrid1111">
    <w:name w:val="Table Grid111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semiHidden/>
    <w:rsid w:val="00B36A46"/>
  </w:style>
  <w:style w:type="numbering" w:customStyle="1" w:styleId="NoList2211">
    <w:name w:val="No List2211"/>
    <w:next w:val="NoList"/>
    <w:semiHidden/>
    <w:rsid w:val="00B36A46"/>
  </w:style>
  <w:style w:type="numbering" w:customStyle="1" w:styleId="NoList3211">
    <w:name w:val="No List3211"/>
    <w:next w:val="NoList"/>
    <w:semiHidden/>
    <w:unhideWhenUsed/>
    <w:rsid w:val="00B36A46"/>
  </w:style>
  <w:style w:type="table" w:customStyle="1" w:styleId="TableList7111">
    <w:name w:val="Table List 71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
    <w:name w:val="Table Web 31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
    <w:name w:val="Table Elegant1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
    <w:name w:val="Light List - Accent 12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
    <w:name w:val="Table Grid 71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
    <w:name w:val="Colorful Grid - Accent 1211"/>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
    <w:name w:val="Light List - Accent 5211"/>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
    <w:name w:val="Table Simple 31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
    <w:name w:val="Table Grid 51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
    <w:name w:val="Table Grid 31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0">
    <w:name w:val="Table Grid 11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
    <w:name w:val="Table Columns 51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
    <w:name w:val="Light List - Accent 111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
    <w:name w:val="Нет списка1211"/>
    <w:next w:val="NoList"/>
    <w:uiPriority w:val="99"/>
    <w:semiHidden/>
    <w:unhideWhenUsed/>
    <w:rsid w:val="00B36A46"/>
  </w:style>
  <w:style w:type="table" w:customStyle="1" w:styleId="ColorfulGrid-Accent11111">
    <w:name w:val="Colorful Grid - Accent 111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
    <w:name w:val="Light List - Accent 511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
    <w:name w:val="No List4111"/>
    <w:next w:val="NoList"/>
    <w:semiHidden/>
    <w:rsid w:val="00B36A46"/>
  </w:style>
  <w:style w:type="table" w:customStyle="1" w:styleId="Table3Deffects3111">
    <w:name w:val="Table 3D effects 31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
    <w:name w:val="Нет списка11111"/>
    <w:next w:val="NoList"/>
    <w:semiHidden/>
    <w:unhideWhenUsed/>
    <w:rsid w:val="00B36A46"/>
  </w:style>
  <w:style w:type="numbering" w:customStyle="1" w:styleId="NoList5111">
    <w:name w:val="No List5111"/>
    <w:next w:val="NoList"/>
    <w:uiPriority w:val="99"/>
    <w:semiHidden/>
    <w:unhideWhenUsed/>
    <w:rsid w:val="00B36A46"/>
  </w:style>
  <w:style w:type="numbering" w:customStyle="1" w:styleId="NoList12111">
    <w:name w:val="No List12111"/>
    <w:next w:val="NoList"/>
    <w:semiHidden/>
    <w:rsid w:val="00B36A46"/>
  </w:style>
  <w:style w:type="numbering" w:customStyle="1" w:styleId="NoList112111">
    <w:name w:val="No List112111"/>
    <w:next w:val="NoList"/>
    <w:semiHidden/>
    <w:rsid w:val="00B36A46"/>
  </w:style>
  <w:style w:type="numbering" w:customStyle="1" w:styleId="NoList111111111">
    <w:name w:val="No List111111111"/>
    <w:next w:val="NoList"/>
    <w:semiHidden/>
    <w:rsid w:val="00B36A46"/>
  </w:style>
  <w:style w:type="numbering" w:customStyle="1" w:styleId="NoList21111">
    <w:name w:val="No List21111"/>
    <w:next w:val="NoList"/>
    <w:semiHidden/>
    <w:rsid w:val="00B36A46"/>
  </w:style>
  <w:style w:type="table" w:customStyle="1" w:styleId="TableGrid2111">
    <w:name w:val="Table Grid21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B36A46"/>
  </w:style>
  <w:style w:type="numbering" w:customStyle="1" w:styleId="NoList811">
    <w:name w:val="No List811"/>
    <w:next w:val="NoList"/>
    <w:uiPriority w:val="99"/>
    <w:semiHidden/>
    <w:unhideWhenUsed/>
    <w:rsid w:val="00B36A46"/>
  </w:style>
  <w:style w:type="numbering" w:customStyle="1" w:styleId="NoList911">
    <w:name w:val="No List911"/>
    <w:next w:val="NoList"/>
    <w:uiPriority w:val="99"/>
    <w:semiHidden/>
    <w:unhideWhenUsed/>
    <w:rsid w:val="00B36A46"/>
  </w:style>
  <w:style w:type="table" w:customStyle="1" w:styleId="TableGrid411">
    <w:name w:val="Table Grid4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
    <w:name w:val="Table List 72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
    <w:name w:val="Table Web 32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
    <w:name w:val="Table Elegant2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
    <w:name w:val="Table Web 12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
    <w:name w:val="No List1411"/>
    <w:next w:val="NoList"/>
    <w:semiHidden/>
    <w:unhideWhenUsed/>
    <w:rsid w:val="00B36A46"/>
  </w:style>
  <w:style w:type="numbering" w:customStyle="1" w:styleId="NoList2311">
    <w:name w:val="No List2311"/>
    <w:next w:val="NoList"/>
    <w:semiHidden/>
    <w:unhideWhenUsed/>
    <w:rsid w:val="00B36A46"/>
  </w:style>
  <w:style w:type="numbering" w:customStyle="1" w:styleId="NoList3311">
    <w:name w:val="No List3311"/>
    <w:next w:val="NoList"/>
    <w:semiHidden/>
    <w:unhideWhenUsed/>
    <w:rsid w:val="00B36A46"/>
  </w:style>
  <w:style w:type="table" w:customStyle="1" w:styleId="LightList-Accent1311">
    <w:name w:val="Light List - Accent 13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
    <w:name w:val="Table Grid 72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
    <w:name w:val="Colorful Grid - Accent 13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
    <w:name w:val="Light List - Accent 53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
    <w:name w:val="Table Simple 32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
    <w:name w:val="Table Grid 52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
    <w:name w:val="Table Grid 32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
    <w:name w:val="Table Grid 12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
    <w:name w:val="Light List - Accent 112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
    <w:name w:val="Нет списка1311"/>
    <w:next w:val="NoList"/>
    <w:semiHidden/>
    <w:unhideWhenUsed/>
    <w:rsid w:val="00B36A46"/>
  </w:style>
  <w:style w:type="table" w:customStyle="1" w:styleId="ColorfulGrid-Accent11211">
    <w:name w:val="Colorful Grid - Accent 112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
    <w:name w:val="Light List - Accent 512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
    <w:name w:val="No List4211"/>
    <w:next w:val="NoList"/>
    <w:semiHidden/>
    <w:rsid w:val="00B36A46"/>
  </w:style>
  <w:style w:type="numbering" w:customStyle="1" w:styleId="NoList11411">
    <w:name w:val="No List11411"/>
    <w:next w:val="NoList"/>
    <w:semiHidden/>
    <w:unhideWhenUsed/>
    <w:rsid w:val="00B36A46"/>
  </w:style>
  <w:style w:type="table" w:customStyle="1" w:styleId="Table3Deffects3211">
    <w:name w:val="Table 3D effects 32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
    <w:name w:val="Нет списка11211"/>
    <w:next w:val="NoList"/>
    <w:semiHidden/>
    <w:unhideWhenUsed/>
    <w:rsid w:val="00B36A46"/>
  </w:style>
  <w:style w:type="numbering" w:customStyle="1" w:styleId="NoList1011">
    <w:name w:val="No List1011"/>
    <w:next w:val="NoList"/>
    <w:uiPriority w:val="99"/>
    <w:semiHidden/>
    <w:unhideWhenUsed/>
    <w:rsid w:val="00B36A46"/>
  </w:style>
  <w:style w:type="table" w:customStyle="1" w:styleId="TableGrid5110">
    <w:name w:val="Table Grid5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semiHidden/>
    <w:unhideWhenUsed/>
    <w:rsid w:val="00B36A46"/>
  </w:style>
  <w:style w:type="numbering" w:customStyle="1" w:styleId="NoList11511">
    <w:name w:val="No List11511"/>
    <w:next w:val="NoList"/>
    <w:semiHidden/>
    <w:rsid w:val="00B36A46"/>
  </w:style>
  <w:style w:type="table" w:customStyle="1" w:styleId="TableGrid12110">
    <w:name w:val="Table Grid12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NoList"/>
    <w:semiHidden/>
    <w:rsid w:val="00B36A46"/>
  </w:style>
  <w:style w:type="numbering" w:customStyle="1" w:styleId="NoList2411">
    <w:name w:val="No List2411"/>
    <w:next w:val="NoList"/>
    <w:semiHidden/>
    <w:rsid w:val="00B36A46"/>
  </w:style>
  <w:style w:type="numbering" w:customStyle="1" w:styleId="NoList3411">
    <w:name w:val="No List3411"/>
    <w:next w:val="NoList"/>
    <w:semiHidden/>
    <w:unhideWhenUsed/>
    <w:rsid w:val="00B36A46"/>
  </w:style>
  <w:style w:type="table" w:customStyle="1" w:styleId="TableList7311">
    <w:name w:val="Table List 73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
    <w:name w:val="Table Web 33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
    <w:name w:val="Table Elegant3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
    <w:name w:val="Table Web 23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
    <w:name w:val="Table Web 13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
    <w:name w:val="Table Grid 83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
    <w:name w:val="Table Contemporary3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
    <w:name w:val="Light List - Accent 14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
    <w:name w:val="Table Grid 73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
    <w:name w:val="Colorful Grid - Accent 14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
    <w:name w:val="Light List - Accent 54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
    <w:name w:val="Table Simple 33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
    <w:name w:val="Table Grid 53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
    <w:name w:val="Table Grid 33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
    <w:name w:val="Table Grid 13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
    <w:name w:val="Table Columns 53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
    <w:name w:val="Light List - Accent 113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
    <w:name w:val="Нет списка1411"/>
    <w:next w:val="NoList"/>
    <w:semiHidden/>
    <w:unhideWhenUsed/>
    <w:rsid w:val="00B36A46"/>
  </w:style>
  <w:style w:type="table" w:customStyle="1" w:styleId="ColorfulGrid-Accent11311">
    <w:name w:val="Colorful Grid - Accent 113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
    <w:name w:val="Light List - Accent 513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
    <w:name w:val="No List4311"/>
    <w:next w:val="NoList"/>
    <w:semiHidden/>
    <w:rsid w:val="00B36A46"/>
  </w:style>
  <w:style w:type="table" w:customStyle="1" w:styleId="Table3Deffects3311">
    <w:name w:val="Table 3D effects 33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
    <w:name w:val="Нет списка11311"/>
    <w:next w:val="NoList"/>
    <w:semiHidden/>
    <w:unhideWhenUsed/>
    <w:rsid w:val="00B36A46"/>
  </w:style>
  <w:style w:type="numbering" w:customStyle="1" w:styleId="NoList5211">
    <w:name w:val="No List5211"/>
    <w:next w:val="NoList"/>
    <w:uiPriority w:val="99"/>
    <w:semiHidden/>
    <w:unhideWhenUsed/>
    <w:rsid w:val="00B36A46"/>
  </w:style>
  <w:style w:type="numbering" w:customStyle="1" w:styleId="NoList12211">
    <w:name w:val="No List12211"/>
    <w:next w:val="NoList"/>
    <w:semiHidden/>
    <w:rsid w:val="00B36A46"/>
  </w:style>
  <w:style w:type="numbering" w:customStyle="1" w:styleId="NoList112211">
    <w:name w:val="No List112211"/>
    <w:next w:val="NoList"/>
    <w:semiHidden/>
    <w:rsid w:val="00B36A46"/>
  </w:style>
  <w:style w:type="numbering" w:customStyle="1" w:styleId="NoList1111211">
    <w:name w:val="No List1111211"/>
    <w:next w:val="NoList"/>
    <w:semiHidden/>
    <w:rsid w:val="00B36A46"/>
  </w:style>
  <w:style w:type="numbering" w:customStyle="1" w:styleId="NoList21211">
    <w:name w:val="No List21211"/>
    <w:next w:val="NoList"/>
    <w:semiHidden/>
    <w:rsid w:val="00B36A46"/>
  </w:style>
  <w:style w:type="table" w:customStyle="1" w:styleId="TableGrid2211">
    <w:name w:val="Table Grid22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
    <w:name w:val="No List31211"/>
    <w:next w:val="NoList"/>
    <w:uiPriority w:val="99"/>
    <w:semiHidden/>
    <w:unhideWhenUsed/>
    <w:rsid w:val="00B36A46"/>
  </w:style>
  <w:style w:type="table" w:customStyle="1" w:styleId="LightShading-Accent1111">
    <w:name w:val="Light Shading - Accent 111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
    <w:name w:val="Medium Grid 2 - Accent 111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
    <w:name w:val="Medium List 2 - Accent 511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
    <w:name w:val="Light List - Accent 15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
    <w:name w:val="Medium Grid 3 - Accent 511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
    <w:name w:val="Light Shading - Accent 511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
    <w:name w:val="Medium Grid 2 - Accent 511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
    <w:name w:val="Light Grid - Accent 111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
    <w:name w:val="Table List 43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
    <w:name w:val="Table List 412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
    <w:name w:val="Table Theme11"/>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
    <w:name w:val="Table Professional11"/>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
    <w:name w:val="Table Grid 611"/>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
    <w:name w:val="Table List 42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
    <w:name w:val="Table List 411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
    <w:name w:val="Style113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
    <w:name w:val="Style2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
    <w:name w:val="Style21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
    <w:name w:val="No List1611"/>
    <w:next w:val="NoList"/>
    <w:uiPriority w:val="99"/>
    <w:semiHidden/>
    <w:unhideWhenUsed/>
    <w:rsid w:val="00B36A46"/>
  </w:style>
  <w:style w:type="table" w:customStyle="1" w:styleId="TableGrid6110">
    <w:name w:val="Table Grid6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B36A46"/>
  </w:style>
  <w:style w:type="numbering" w:customStyle="1" w:styleId="NoList11611">
    <w:name w:val="No List11611"/>
    <w:next w:val="NoList"/>
    <w:semiHidden/>
    <w:rsid w:val="00B36A46"/>
  </w:style>
  <w:style w:type="table" w:customStyle="1" w:styleId="TableGrid13110">
    <w:name w:val="Table Grid131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
    <w:name w:val="Light List - Accent 16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
    <w:name w:val="Light Shading - Accent 131"/>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
    <w:name w:val="Medium Grid 2 - Accent 131"/>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
    <w:name w:val="Medium List 2 - Accent 531"/>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
    <w:name w:val="Medium Grid 3 - Accent 531"/>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
    <w:name w:val="Light Shading - Accent 531"/>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
    <w:name w:val="Medium Grid 2 - Accent 531"/>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
    <w:name w:val="Light Grid - Accent 131"/>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
    <w:name w:val="Light Shading - Accent 14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
    <w:name w:val="Medium Grid 2 - Accent 14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
    <w:name w:val="Medium List 2 - Accent 54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
    <w:name w:val="Light List - Accent 11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
    <w:name w:val="Medium Grid 3 - Accent 54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
    <w:name w:val="Light Shading - Accent 54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
    <w:name w:val="Medium Grid 2 - Accent 54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
    <w:name w:val="Light Grid - Accent 14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
    <w:name w:val="Light Shading - Accent 15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
    <w:name w:val="Medium Grid 2 - Accent 15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
    <w:name w:val="Medium List 2 - Accent 55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
    <w:name w:val="Light List - Accent 116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
    <w:name w:val="Medium Grid 3 - Accent 55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
    <w:name w:val="Light Shading - Accent 55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
    <w:name w:val="Medium Grid 2 - Accent 55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
    <w:name w:val="Light Grid - Accent 15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
    <w:name w:val="No List271"/>
    <w:next w:val="NoList"/>
    <w:uiPriority w:val="99"/>
    <w:semiHidden/>
    <w:unhideWhenUsed/>
    <w:rsid w:val="00B36A46"/>
  </w:style>
  <w:style w:type="table" w:customStyle="1" w:styleId="TableGrid91">
    <w:name w:val="Table Grid9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
    <w:name w:val="Table List 76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
    <w:name w:val="Table Web 36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
    <w:name w:val="Table Elegant6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
    <w:name w:val="Table Web 26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
    <w:name w:val="Table Web 16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
    <w:name w:val="Table Grid 86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
    <w:name w:val="Table Contemporary6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
    <w:name w:val="No List1191"/>
    <w:next w:val="NoList"/>
    <w:semiHidden/>
    <w:unhideWhenUsed/>
    <w:rsid w:val="00B36A46"/>
  </w:style>
  <w:style w:type="numbering" w:customStyle="1" w:styleId="NoList281">
    <w:name w:val="No List281"/>
    <w:next w:val="NoList"/>
    <w:semiHidden/>
    <w:unhideWhenUsed/>
    <w:rsid w:val="00B36A46"/>
  </w:style>
  <w:style w:type="numbering" w:customStyle="1" w:styleId="NoList371">
    <w:name w:val="No List371"/>
    <w:next w:val="NoList"/>
    <w:semiHidden/>
    <w:unhideWhenUsed/>
    <w:rsid w:val="00B36A46"/>
  </w:style>
  <w:style w:type="table" w:customStyle="1" w:styleId="LightList-Accent1171">
    <w:name w:val="Light List - Accent 117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
    <w:name w:val="Table Grid 76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
    <w:name w:val="Colorful Grid - Accent 17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
    <w:name w:val="Light List - Accent 57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
    <w:name w:val="Table Simple 36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
    <w:name w:val="Table Grid 56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
    <w:name w:val="Table Grid 36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
    <w:name w:val="Table Grid 16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
    <w:name w:val="Table Columns 56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
    <w:name w:val="Light List - Accent 118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
    <w:name w:val="Нет списка171"/>
    <w:next w:val="NoList"/>
    <w:semiHidden/>
    <w:unhideWhenUsed/>
    <w:rsid w:val="00B36A46"/>
  </w:style>
  <w:style w:type="table" w:customStyle="1" w:styleId="ColorfulGrid-Accent1161">
    <w:name w:val="Colorful Grid - Accent 116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
    <w:name w:val="Light List - Accent 516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
    <w:name w:val="No List461"/>
    <w:next w:val="NoList"/>
    <w:semiHidden/>
    <w:rsid w:val="00B36A46"/>
  </w:style>
  <w:style w:type="numbering" w:customStyle="1" w:styleId="NoList11101">
    <w:name w:val="No List11101"/>
    <w:next w:val="NoList"/>
    <w:semiHidden/>
    <w:unhideWhenUsed/>
    <w:rsid w:val="00B36A46"/>
  </w:style>
  <w:style w:type="table" w:customStyle="1" w:styleId="Table3Deffects361">
    <w:name w:val="Table 3D effects 36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
    <w:name w:val="Нет списка1161"/>
    <w:next w:val="NoList"/>
    <w:semiHidden/>
    <w:unhideWhenUsed/>
    <w:rsid w:val="00B36A46"/>
  </w:style>
  <w:style w:type="table" w:customStyle="1" w:styleId="LightShading-Accent161">
    <w:name w:val="Light Shading - Accent 16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
    <w:name w:val="Medium Grid 2 - Accent 16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
    <w:name w:val="Medium List 2 - Accent 56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
    <w:name w:val="Light List - Accent 15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
    <w:name w:val="Medium Grid 3 - Accent 56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
    <w:name w:val="Light Shading - Accent 56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
    <w:name w:val="Medium Grid 2 - Accent 56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
    <w:name w:val="Light Grid - Accent 16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
    <w:name w:val="Style114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
    <w:name w:val="Style2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
    <w:name w:val="Style21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
    <w:name w:val="Light Shading - Accent 1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
    <w:name w:val="Medium Grid 2 - Accent 1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
    <w:name w:val="Medium List 2 - Accent 51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
    <w:name w:val="Light List - Accent 16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
    <w:name w:val="Medium Grid 3 - Accent 51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
    <w:name w:val="Light Shading - Accent 51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
    <w:name w:val="Medium Grid 2 - Accent 51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
    <w:name w:val="Light Grid - Accent 1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
    <w:name w:val="No List291"/>
    <w:next w:val="NoList"/>
    <w:uiPriority w:val="99"/>
    <w:semiHidden/>
    <w:unhideWhenUsed/>
    <w:rsid w:val="00B36A46"/>
  </w:style>
  <w:style w:type="table" w:customStyle="1" w:styleId="TableGrid101">
    <w:name w:val="Table Grid10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B36A46"/>
  </w:style>
  <w:style w:type="numbering" w:customStyle="1" w:styleId="NoList11151">
    <w:name w:val="No List11151"/>
    <w:next w:val="NoList"/>
    <w:semiHidden/>
    <w:rsid w:val="00B36A46"/>
  </w:style>
  <w:style w:type="table" w:customStyle="1" w:styleId="TableGrid1510">
    <w:name w:val="Table Grid15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B36A46"/>
  </w:style>
  <w:style w:type="table" w:customStyle="1" w:styleId="LightShading-Accent171">
    <w:name w:val="Light Shading - Accent 17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
    <w:name w:val="Medium Grid 2 - Accent 17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
    <w:name w:val="Medium List 2 - Accent 57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
    <w:name w:val="Light List - Accent 119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
    <w:name w:val="Medium Grid 3 - Accent 57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
    <w:name w:val="Light Shading - Accent 57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
    <w:name w:val="Medium Grid 2 - Accent 57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
    <w:name w:val="Light Grid - Accent 17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
    <w:name w:val="No List381"/>
    <w:next w:val="NoList"/>
    <w:uiPriority w:val="99"/>
    <w:semiHidden/>
    <w:unhideWhenUsed/>
    <w:rsid w:val="00B36A46"/>
  </w:style>
  <w:style w:type="table" w:customStyle="1" w:styleId="TableGrid1610">
    <w:name w:val="Table Grid16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B36A46"/>
  </w:style>
  <w:style w:type="numbering" w:customStyle="1" w:styleId="NoList11161">
    <w:name w:val="No List11161"/>
    <w:next w:val="NoList"/>
    <w:semiHidden/>
    <w:rsid w:val="00B36A46"/>
  </w:style>
  <w:style w:type="table" w:customStyle="1" w:styleId="TableGrid171">
    <w:name w:val="Table Grid17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
    <w:name w:val="Light Shading - Accent 18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
    <w:name w:val="Medium Grid 2 - Accent 18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
    <w:name w:val="Medium List 2 - Accent 58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
    <w:name w:val="Light List - Accent 12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
    <w:name w:val="Medium Grid 3 - Accent 58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
    <w:name w:val="Light Shading - Accent 58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
    <w:name w:val="Medium Grid 2 - Accent 58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
    <w:name w:val="Light Grid - Accent 18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
    <w:name w:val="Light Shading - Accent 19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
    <w:name w:val="Medium Grid 2 - Accent 19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
    <w:name w:val="Medium List 2 - Accent 59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
    <w:name w:val="Light List - Accent 12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
    <w:name w:val="Medium Grid 3 - Accent 59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
    <w:name w:val="Light Shading - Accent 59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
    <w:name w:val="Medium Grid 2 - Accent 59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
    <w:name w:val="Light Grid - Accent 19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
    <w:name w:val="Style1152"/>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
    <w:name w:val="Style21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
    <w:name w:val="No List391"/>
    <w:next w:val="NoList"/>
    <w:uiPriority w:val="99"/>
    <w:semiHidden/>
    <w:unhideWhenUsed/>
    <w:rsid w:val="00B36A46"/>
  </w:style>
  <w:style w:type="table" w:customStyle="1" w:styleId="TableGrid181">
    <w:name w:val="Table Grid18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B36A46"/>
  </w:style>
  <w:style w:type="numbering" w:customStyle="1" w:styleId="NoList11171">
    <w:name w:val="No List11171"/>
    <w:next w:val="NoList"/>
    <w:semiHidden/>
    <w:rsid w:val="00B36A46"/>
  </w:style>
  <w:style w:type="table" w:customStyle="1" w:styleId="TableGrid191">
    <w:name w:val="Table Grid19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
    <w:name w:val="Style115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
    <w:name w:val="Style216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
    <w:name w:val="No List401"/>
    <w:next w:val="NoList"/>
    <w:uiPriority w:val="99"/>
    <w:semiHidden/>
    <w:unhideWhenUsed/>
    <w:rsid w:val="00B36A46"/>
  </w:style>
  <w:style w:type="table" w:customStyle="1" w:styleId="TableGrid201">
    <w:name w:val="Table Grid201"/>
    <w:basedOn w:val="TableNormal"/>
    <w:next w:val="TableGrid"/>
    <w:uiPriority w:val="59"/>
    <w:rsid w:val="00B36A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
    <w:name w:val="Light Shading - Accent 110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
    <w:name w:val="Light List - Accent 581"/>
    <w:basedOn w:val="TableNormal"/>
    <w:next w:val="LightList-Accent5"/>
    <w:uiPriority w:val="61"/>
    <w:rsid w:val="00B36A46"/>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
    <w:name w:val="Medium List 2 - Accent 11"/>
    <w:basedOn w:val="TableNormal"/>
    <w:next w:val="MediumList2-Accent1"/>
    <w:uiPriority w:val="66"/>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
    <w:name w:val="Medium Grid 2 - Accent 110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
    <w:name w:val="Medium Grid 3 - Accent 61"/>
    <w:basedOn w:val="TableNormal"/>
    <w:next w:val="MediumGrid3-Accent6"/>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
    <w:name w:val="Medium List 2 - Accent 510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
    <w:name w:val="Medium List 1 - Accent 51"/>
    <w:basedOn w:val="TableNormal"/>
    <w:next w:val="MediumList1-Accent5"/>
    <w:uiPriority w:val="65"/>
    <w:rsid w:val="00B36A46"/>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
    <w:name w:val="Medium Grid 3 - Accent 510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
    <w:name w:val="Light Shading - Accent 510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
    <w:name w:val="Medium Grid 2 - Accent 510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
    <w:name w:val="Light List - Accent 31"/>
    <w:basedOn w:val="TableNormal"/>
    <w:next w:val="LightList-Accent3"/>
    <w:uiPriority w:val="61"/>
    <w:rsid w:val="00B36A46"/>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
    <w:name w:val="Medium List 2 - Accent 31"/>
    <w:basedOn w:val="TableNormal"/>
    <w:next w:val="MediumList2-Accent3"/>
    <w:uiPriority w:val="66"/>
    <w:rsid w:val="00B36A46"/>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B36A46"/>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
    <w:name w:val="Light Grid - Accent 110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
    <w:name w:val="No List471"/>
    <w:next w:val="NoList"/>
    <w:uiPriority w:val="99"/>
    <w:semiHidden/>
    <w:unhideWhenUsed/>
    <w:rsid w:val="00B36A46"/>
  </w:style>
  <w:style w:type="table" w:customStyle="1" w:styleId="TableGrid241">
    <w:name w:val="Table Grid24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B36A46"/>
  </w:style>
  <w:style w:type="numbering" w:customStyle="1" w:styleId="NoList11181">
    <w:name w:val="No List11181"/>
    <w:next w:val="NoList"/>
    <w:semiHidden/>
    <w:rsid w:val="00B36A46"/>
  </w:style>
  <w:style w:type="table" w:customStyle="1" w:styleId="TableGrid1101">
    <w:name w:val="Table Grid110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
    <w:name w:val="Medium Grid 2 - Accent 114"/>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
    <w:name w:val="Medium List 2 - Accent 514"/>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
    <w:name w:val="Medium Grid 3 - Accent 514"/>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
    <w:name w:val="Light Shading - Accent 514"/>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
    <w:name w:val="Medium Grid 2 - Accent 514"/>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
    <w:name w:val="Light Grid - Accent 114"/>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
    <w:name w:val="Medium List 2 - Accent 12"/>
    <w:basedOn w:val="TableNormal"/>
    <w:next w:val="MediumList2-Accent1"/>
    <w:uiPriority w:val="66"/>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
    <w:name w:val="Medium Grid 3 - Accent 62"/>
    <w:basedOn w:val="TableNormal"/>
    <w:next w:val="MediumGrid3-Accent6"/>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
    <w:name w:val="Medium List 1 - Accent 52"/>
    <w:basedOn w:val="TableNormal"/>
    <w:next w:val="MediumList1-Accent5"/>
    <w:uiPriority w:val="65"/>
    <w:semiHidden/>
    <w:unhideWhenUsed/>
    <w:rsid w:val="00B36A46"/>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
    <w:name w:val="Light List - Accent 32"/>
    <w:basedOn w:val="TableNormal"/>
    <w:next w:val="LightList-Accent3"/>
    <w:uiPriority w:val="61"/>
    <w:semiHidden/>
    <w:unhideWhenUsed/>
    <w:rsid w:val="00B36A46"/>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
    <w:name w:val="Medium List 2 - Accent 32"/>
    <w:basedOn w:val="TableNormal"/>
    <w:next w:val="MediumList2-Accent3"/>
    <w:uiPriority w:val="66"/>
    <w:semiHidden/>
    <w:unhideWhenUsed/>
    <w:rsid w:val="00B36A46"/>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B36A46"/>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
    <w:name w:val="No List55"/>
    <w:next w:val="NoList"/>
    <w:uiPriority w:val="99"/>
    <w:semiHidden/>
    <w:unhideWhenUsed/>
    <w:rsid w:val="005150E5"/>
  </w:style>
  <w:style w:type="table" w:customStyle="1" w:styleId="TableGrid29">
    <w:name w:val="Table Grid29"/>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5150E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Side1">
    <w:name w:val="Side1"/>
    <w:basedOn w:val="Normal"/>
    <w:next w:val="Normal"/>
    <w:unhideWhenUsed/>
    <w:qFormat/>
    <w:rsid w:val="005150E5"/>
    <w:pPr>
      <w:spacing w:before="200" w:line="312" w:lineRule="auto"/>
      <w:contextualSpacing w:val="0"/>
      <w:outlineLvl w:val="4"/>
    </w:pPr>
    <w:rPr>
      <w:rFonts w:ascii="Cambria" w:hAnsi="Cambria"/>
      <w:bCs/>
      <w:color w:val="7F7F7F"/>
      <w:szCs w:val="22"/>
      <w:lang w:val="en-US" w:eastAsia="en-US"/>
    </w:rPr>
  </w:style>
  <w:style w:type="paragraph" w:customStyle="1" w:styleId="Heading61">
    <w:name w:val="Heading 61"/>
    <w:basedOn w:val="Normal"/>
    <w:next w:val="Normal"/>
    <w:unhideWhenUsed/>
    <w:qFormat/>
    <w:rsid w:val="005150E5"/>
    <w:pPr>
      <w:spacing w:before="40" w:line="271" w:lineRule="auto"/>
      <w:contextualSpacing w:val="0"/>
      <w:outlineLvl w:val="5"/>
    </w:pPr>
    <w:rPr>
      <w:rFonts w:ascii="Cambria" w:hAnsi="Cambria"/>
      <w:bCs/>
      <w:i/>
      <w:iCs/>
      <w:color w:val="7F7F7F"/>
      <w:szCs w:val="22"/>
      <w:lang w:val="en-US" w:eastAsia="en-US"/>
    </w:rPr>
  </w:style>
  <w:style w:type="paragraph" w:customStyle="1" w:styleId="Heading71">
    <w:name w:val="Heading 71"/>
    <w:basedOn w:val="Normal"/>
    <w:next w:val="Normal"/>
    <w:unhideWhenUsed/>
    <w:qFormat/>
    <w:rsid w:val="005150E5"/>
    <w:pPr>
      <w:spacing w:before="40" w:line="312" w:lineRule="auto"/>
      <w:contextualSpacing w:val="0"/>
      <w:outlineLvl w:val="6"/>
    </w:pPr>
    <w:rPr>
      <w:rFonts w:ascii="Cambria" w:hAnsi="Cambria"/>
      <w:b w:val="0"/>
      <w:i/>
      <w:iCs/>
      <w:szCs w:val="22"/>
      <w:lang w:val="en-US" w:eastAsia="en-US"/>
    </w:rPr>
  </w:style>
  <w:style w:type="paragraph" w:customStyle="1" w:styleId="Heading81">
    <w:name w:val="Heading 81"/>
    <w:basedOn w:val="Normal"/>
    <w:next w:val="Normal"/>
    <w:unhideWhenUsed/>
    <w:qFormat/>
    <w:rsid w:val="005150E5"/>
    <w:pPr>
      <w:spacing w:before="40" w:line="312" w:lineRule="auto"/>
      <w:contextualSpacing w:val="0"/>
      <w:outlineLvl w:val="7"/>
    </w:pPr>
    <w:rPr>
      <w:rFonts w:ascii="Cambria" w:hAnsi="Cambria"/>
      <w:b w:val="0"/>
      <w:sz w:val="20"/>
      <w:szCs w:val="20"/>
      <w:lang w:val="en-US" w:eastAsia="en-US"/>
    </w:rPr>
  </w:style>
  <w:style w:type="paragraph" w:customStyle="1" w:styleId="Heading91">
    <w:name w:val="Heading 91"/>
    <w:basedOn w:val="Normal"/>
    <w:next w:val="Normal"/>
    <w:unhideWhenUsed/>
    <w:qFormat/>
    <w:rsid w:val="005150E5"/>
    <w:pPr>
      <w:spacing w:before="40" w:line="312" w:lineRule="auto"/>
      <w:contextualSpacing w:val="0"/>
      <w:outlineLvl w:val="8"/>
    </w:pPr>
    <w:rPr>
      <w:rFonts w:ascii="Cambria" w:hAnsi="Cambria"/>
      <w:b w:val="0"/>
      <w:i/>
      <w:iCs/>
      <w:spacing w:val="5"/>
      <w:sz w:val="20"/>
      <w:szCs w:val="20"/>
      <w:lang w:val="en-US" w:eastAsia="en-US"/>
    </w:rPr>
  </w:style>
  <w:style w:type="numbering" w:customStyle="1" w:styleId="NoList130">
    <w:name w:val="No List130"/>
    <w:next w:val="NoList"/>
    <w:uiPriority w:val="99"/>
    <w:semiHidden/>
    <w:unhideWhenUsed/>
    <w:rsid w:val="005150E5"/>
  </w:style>
  <w:style w:type="paragraph" w:customStyle="1" w:styleId="BodyTextMaintext1">
    <w:name w:val="Body Text (Main text)1"/>
    <w:basedOn w:val="Normal"/>
    <w:next w:val="BodyText"/>
    <w:rsid w:val="005150E5"/>
    <w:pPr>
      <w:spacing w:before="40" w:after="120" w:line="312" w:lineRule="auto"/>
      <w:contextualSpacing w:val="0"/>
    </w:pPr>
    <w:rPr>
      <w:rFonts w:eastAsia="Calibri"/>
      <w:b w:val="0"/>
      <w:szCs w:val="22"/>
      <w:lang w:val="en-US" w:eastAsia="en-US"/>
    </w:rPr>
  </w:style>
  <w:style w:type="paragraph" w:customStyle="1" w:styleId="BodyTextIndent31">
    <w:name w:val="Body Text Indent 31"/>
    <w:basedOn w:val="Normal"/>
    <w:next w:val="BodyTextIndent3"/>
    <w:rsid w:val="005150E5"/>
    <w:pPr>
      <w:spacing w:before="40" w:after="60" w:line="312" w:lineRule="auto"/>
      <w:contextualSpacing w:val="0"/>
    </w:pPr>
    <w:rPr>
      <w:rFonts w:ascii="Arial Armenian" w:eastAsia="Calibri" w:hAnsi="Arial Armenian"/>
      <w:b w:val="0"/>
      <w:noProof/>
      <w:sz w:val="20"/>
      <w:szCs w:val="20"/>
      <w:lang w:val="en-US" w:eastAsia="en-US"/>
    </w:rPr>
  </w:style>
  <w:style w:type="paragraph" w:customStyle="1" w:styleId="BodyTextIndent21">
    <w:name w:val="Body Text Indent 21"/>
    <w:basedOn w:val="Normal"/>
    <w:next w:val="BodyTextIndent2"/>
    <w:link w:val="BodyTextIndent2Char1"/>
    <w:rsid w:val="005150E5"/>
    <w:pPr>
      <w:widowControl w:val="0"/>
      <w:spacing w:before="40" w:after="120" w:line="312" w:lineRule="auto"/>
      <w:ind w:left="720" w:firstLine="720"/>
      <w:contextualSpacing w:val="0"/>
    </w:pPr>
    <w:rPr>
      <w:rFonts w:ascii="Arial Armenian" w:hAnsi="Arial Armenian"/>
      <w:b w:val="0"/>
      <w:sz w:val="20"/>
      <w:szCs w:val="20"/>
      <w:lang w:val="en-GB" w:eastAsia="en-US"/>
    </w:rPr>
  </w:style>
  <w:style w:type="paragraph" w:customStyle="1" w:styleId="1Text1">
    <w:name w:val="1Text1"/>
    <w:basedOn w:val="Normal"/>
    <w:next w:val="BodyText2"/>
    <w:link w:val="BodyText2Char1"/>
    <w:qFormat/>
    <w:rsid w:val="005150E5"/>
    <w:pPr>
      <w:spacing w:before="40" w:after="120" w:line="480" w:lineRule="auto"/>
      <w:contextualSpacing w:val="0"/>
    </w:pPr>
    <w:rPr>
      <w:rFonts w:ascii="Times New Roman" w:hAnsi="Times New Roman"/>
      <w:b w:val="0"/>
      <w:sz w:val="20"/>
      <w:szCs w:val="20"/>
      <w:lang w:val="en-US" w:eastAsia="en-US"/>
    </w:rPr>
  </w:style>
  <w:style w:type="paragraph" w:customStyle="1" w:styleId="BodyText31">
    <w:name w:val="Body Text 31"/>
    <w:basedOn w:val="Normal"/>
    <w:next w:val="BodyText3"/>
    <w:link w:val="BodyText3Char1"/>
    <w:rsid w:val="005150E5"/>
    <w:pPr>
      <w:spacing w:before="40" w:after="120" w:line="312" w:lineRule="auto"/>
      <w:contextualSpacing w:val="0"/>
    </w:pPr>
    <w:rPr>
      <w:rFonts w:ascii="Times New Roman" w:hAnsi="Times New Roman"/>
      <w:b w:val="0"/>
      <w:sz w:val="16"/>
      <w:szCs w:val="16"/>
    </w:rPr>
  </w:style>
  <w:style w:type="paragraph" w:customStyle="1" w:styleId="ListBullet1">
    <w:name w:val="List Bullet1"/>
    <w:basedOn w:val="Normal"/>
    <w:next w:val="ListBullet"/>
    <w:autoRedefine/>
    <w:qFormat/>
    <w:rsid w:val="005150E5"/>
    <w:pPr>
      <w:tabs>
        <w:tab w:val="num" w:pos="360"/>
      </w:tabs>
      <w:overflowPunct w:val="0"/>
      <w:autoSpaceDE w:val="0"/>
      <w:autoSpaceDN w:val="0"/>
      <w:adjustRightInd w:val="0"/>
      <w:spacing w:before="130" w:after="60" w:line="312" w:lineRule="auto"/>
      <w:ind w:left="360" w:hanging="360"/>
      <w:contextualSpacing w:val="0"/>
      <w:textAlignment w:val="baseline"/>
    </w:pPr>
    <w:rPr>
      <w:b w:val="0"/>
      <w:szCs w:val="22"/>
      <w:lang w:val="en-GB" w:eastAsia="en-US"/>
    </w:rPr>
  </w:style>
  <w:style w:type="paragraph" w:customStyle="1" w:styleId="EndnoteText1">
    <w:name w:val="Endnote Text1"/>
    <w:basedOn w:val="Normal"/>
    <w:next w:val="EndnoteText"/>
    <w:rsid w:val="005150E5"/>
    <w:pPr>
      <w:spacing w:before="40" w:after="60" w:line="312" w:lineRule="auto"/>
      <w:contextualSpacing w:val="0"/>
    </w:pPr>
    <w:rPr>
      <w:rFonts w:eastAsia="Calibri"/>
      <w:b w:val="0"/>
      <w:sz w:val="20"/>
      <w:szCs w:val="20"/>
      <w:lang w:val="en-GB" w:eastAsia="en-US"/>
    </w:rPr>
  </w:style>
  <w:style w:type="table" w:customStyle="1" w:styleId="TableGrid114">
    <w:name w:val="Table Grid114"/>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1">
    <w:name w:val="Block Text1"/>
    <w:basedOn w:val="Normal"/>
    <w:next w:val="BlockText"/>
    <w:rsid w:val="005150E5"/>
    <w:pPr>
      <w:spacing w:before="40" w:after="60"/>
      <w:ind w:left="-709" w:right="-483"/>
      <w:contextualSpacing w:val="0"/>
    </w:pPr>
    <w:rPr>
      <w:rFonts w:ascii="Times Armenian" w:hAnsi="Times Armenian"/>
      <w:b w:val="0"/>
      <w:szCs w:val="20"/>
      <w:lang w:val="en-US" w:eastAsia="en-US"/>
    </w:rPr>
  </w:style>
  <w:style w:type="paragraph" w:customStyle="1" w:styleId="TOC41">
    <w:name w:val="TOC 41"/>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1">
    <w:name w:val="TOC 51"/>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itle10">
    <w:name w:val="Title1"/>
    <w:basedOn w:val="Normal"/>
    <w:next w:val="Normal"/>
    <w:qFormat/>
    <w:rsid w:val="005150E5"/>
    <w:pPr>
      <w:pBdr>
        <w:bottom w:val="single" w:sz="4" w:space="1" w:color="auto"/>
      </w:pBdr>
      <w:spacing w:before="40" w:after="60" w:line="240" w:lineRule="auto"/>
    </w:pPr>
    <w:rPr>
      <w:rFonts w:ascii="Cambria" w:hAnsi="Cambria"/>
      <w:b w:val="0"/>
      <w:spacing w:val="5"/>
      <w:sz w:val="52"/>
      <w:szCs w:val="52"/>
      <w:lang w:val="en-US" w:eastAsia="en-US"/>
    </w:rPr>
  </w:style>
  <w:style w:type="paragraph" w:customStyle="1" w:styleId="PlainText1">
    <w:name w:val="Plain Text1"/>
    <w:basedOn w:val="Normal"/>
    <w:next w:val="PlainText"/>
    <w:rsid w:val="005150E5"/>
    <w:pPr>
      <w:spacing w:after="60" w:line="312" w:lineRule="auto"/>
      <w:contextualSpacing w:val="0"/>
    </w:pPr>
    <w:rPr>
      <w:rFonts w:ascii="Courier New" w:eastAsia="Calibri" w:hAnsi="Courier New"/>
      <w:b w:val="0"/>
      <w:sz w:val="20"/>
      <w:szCs w:val="20"/>
      <w:lang w:val="en-US" w:eastAsia="en-US"/>
    </w:rPr>
  </w:style>
  <w:style w:type="paragraph" w:customStyle="1" w:styleId="TOC61">
    <w:name w:val="TOC 61"/>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1">
    <w:name w:val="TOC 71"/>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1">
    <w:name w:val="TOC 81"/>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1">
    <w:name w:val="TOC 91"/>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13">
    <w:name w:val="Table List 71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
    <w:name w:val="Table Web 31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
    <w:name w:val="Table Elegant1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1">
    <w:name w:val="Table of Figures1"/>
    <w:basedOn w:val="Normal"/>
    <w:next w:val="Normal"/>
    <w:rsid w:val="005150E5"/>
    <w:pPr>
      <w:spacing w:before="40" w:after="60" w:line="312" w:lineRule="auto"/>
      <w:ind w:left="480" w:hanging="480"/>
      <w:contextualSpacing w:val="0"/>
    </w:pPr>
    <w:rPr>
      <w:b w:val="0"/>
      <w:sz w:val="20"/>
      <w:szCs w:val="22"/>
      <w:lang w:val="en-US" w:eastAsia="en-US"/>
    </w:rPr>
  </w:style>
  <w:style w:type="paragraph" w:customStyle="1" w:styleId="Subtitle1">
    <w:name w:val="Subtitle1"/>
    <w:basedOn w:val="Normal"/>
    <w:next w:val="Normal"/>
    <w:qFormat/>
    <w:rsid w:val="005150E5"/>
    <w:pPr>
      <w:spacing w:before="40" w:after="600" w:line="312" w:lineRule="auto"/>
      <w:contextualSpacing w:val="0"/>
    </w:pPr>
    <w:rPr>
      <w:rFonts w:ascii="Cambria" w:hAnsi="Cambria"/>
      <w:b w:val="0"/>
      <w:i/>
      <w:iCs/>
      <w:spacing w:val="13"/>
      <w:sz w:val="24"/>
      <w:lang w:val="en-US" w:eastAsia="en-US"/>
    </w:rPr>
  </w:style>
  <w:style w:type="paragraph" w:customStyle="1" w:styleId="Index11">
    <w:name w:val="Index 11"/>
    <w:basedOn w:val="Normal"/>
    <w:next w:val="Normal"/>
    <w:autoRedefine/>
    <w:rsid w:val="005150E5"/>
    <w:pPr>
      <w:spacing w:before="40" w:after="60" w:line="312" w:lineRule="auto"/>
      <w:ind w:left="240" w:hanging="240"/>
      <w:contextualSpacing w:val="0"/>
    </w:pPr>
    <w:rPr>
      <w:b w:val="0"/>
      <w:szCs w:val="22"/>
      <w:lang w:val="en-US" w:eastAsia="en-US"/>
    </w:rPr>
  </w:style>
  <w:style w:type="paragraph" w:customStyle="1" w:styleId="Index21">
    <w:name w:val="Index 21"/>
    <w:basedOn w:val="Normal"/>
    <w:next w:val="Normal"/>
    <w:autoRedefine/>
    <w:rsid w:val="005150E5"/>
    <w:pPr>
      <w:spacing w:before="40" w:after="60" w:line="312" w:lineRule="auto"/>
      <w:ind w:left="480" w:hanging="240"/>
      <w:contextualSpacing w:val="0"/>
    </w:pPr>
    <w:rPr>
      <w:b w:val="0"/>
      <w:szCs w:val="22"/>
      <w:lang w:val="en-US" w:eastAsia="en-US"/>
    </w:rPr>
  </w:style>
  <w:style w:type="paragraph" w:customStyle="1" w:styleId="Index31">
    <w:name w:val="Index 31"/>
    <w:basedOn w:val="Normal"/>
    <w:next w:val="Normal"/>
    <w:autoRedefine/>
    <w:rsid w:val="005150E5"/>
    <w:pPr>
      <w:spacing w:before="40" w:after="60" w:line="312" w:lineRule="auto"/>
      <w:ind w:left="720" w:hanging="240"/>
      <w:contextualSpacing w:val="0"/>
    </w:pPr>
    <w:rPr>
      <w:b w:val="0"/>
      <w:szCs w:val="22"/>
      <w:lang w:val="en-US" w:eastAsia="en-US"/>
    </w:rPr>
  </w:style>
  <w:style w:type="paragraph" w:customStyle="1" w:styleId="Index41">
    <w:name w:val="Index 41"/>
    <w:basedOn w:val="Normal"/>
    <w:next w:val="Normal"/>
    <w:autoRedefine/>
    <w:rsid w:val="005150E5"/>
    <w:pPr>
      <w:spacing w:before="40" w:after="60" w:line="312" w:lineRule="auto"/>
      <w:ind w:left="960" w:hanging="240"/>
      <w:contextualSpacing w:val="0"/>
    </w:pPr>
    <w:rPr>
      <w:b w:val="0"/>
      <w:szCs w:val="22"/>
      <w:lang w:val="en-US" w:eastAsia="en-US"/>
    </w:rPr>
  </w:style>
  <w:style w:type="paragraph" w:customStyle="1" w:styleId="Index51">
    <w:name w:val="Index 51"/>
    <w:basedOn w:val="Normal"/>
    <w:next w:val="Normal"/>
    <w:autoRedefine/>
    <w:rsid w:val="005150E5"/>
    <w:pPr>
      <w:spacing w:before="40" w:after="60" w:line="312" w:lineRule="auto"/>
      <w:ind w:left="1200" w:hanging="240"/>
      <w:contextualSpacing w:val="0"/>
    </w:pPr>
    <w:rPr>
      <w:b w:val="0"/>
      <w:szCs w:val="22"/>
      <w:lang w:val="en-US" w:eastAsia="en-US"/>
    </w:rPr>
  </w:style>
  <w:style w:type="paragraph" w:customStyle="1" w:styleId="Index61">
    <w:name w:val="Index 61"/>
    <w:basedOn w:val="Normal"/>
    <w:next w:val="Normal"/>
    <w:autoRedefine/>
    <w:rsid w:val="005150E5"/>
    <w:pPr>
      <w:spacing w:before="40" w:after="60" w:line="312" w:lineRule="auto"/>
      <w:ind w:left="1440" w:hanging="240"/>
      <w:contextualSpacing w:val="0"/>
    </w:pPr>
    <w:rPr>
      <w:b w:val="0"/>
      <w:szCs w:val="22"/>
      <w:lang w:val="en-US" w:eastAsia="en-US"/>
    </w:rPr>
  </w:style>
  <w:style w:type="paragraph" w:customStyle="1" w:styleId="Index71">
    <w:name w:val="Index 71"/>
    <w:basedOn w:val="Normal"/>
    <w:next w:val="Normal"/>
    <w:autoRedefine/>
    <w:rsid w:val="005150E5"/>
    <w:pPr>
      <w:spacing w:before="40" w:after="60" w:line="312" w:lineRule="auto"/>
      <w:ind w:left="1680" w:hanging="240"/>
      <w:contextualSpacing w:val="0"/>
    </w:pPr>
    <w:rPr>
      <w:b w:val="0"/>
      <w:szCs w:val="22"/>
      <w:lang w:val="en-US" w:eastAsia="en-US"/>
    </w:rPr>
  </w:style>
  <w:style w:type="paragraph" w:customStyle="1" w:styleId="Index81">
    <w:name w:val="Index 81"/>
    <w:basedOn w:val="Normal"/>
    <w:next w:val="Normal"/>
    <w:autoRedefine/>
    <w:rsid w:val="005150E5"/>
    <w:pPr>
      <w:spacing w:before="40" w:after="60" w:line="312" w:lineRule="auto"/>
      <w:ind w:left="1920" w:hanging="240"/>
      <w:contextualSpacing w:val="0"/>
    </w:pPr>
    <w:rPr>
      <w:b w:val="0"/>
      <w:szCs w:val="22"/>
      <w:lang w:val="en-US" w:eastAsia="en-US"/>
    </w:rPr>
  </w:style>
  <w:style w:type="paragraph" w:customStyle="1" w:styleId="Index91">
    <w:name w:val="Index 91"/>
    <w:basedOn w:val="Normal"/>
    <w:next w:val="Normal"/>
    <w:autoRedefine/>
    <w:rsid w:val="005150E5"/>
    <w:pPr>
      <w:spacing w:before="40" w:after="60" w:line="312" w:lineRule="auto"/>
      <w:ind w:left="2160" w:hanging="240"/>
      <w:contextualSpacing w:val="0"/>
    </w:pPr>
    <w:rPr>
      <w:b w:val="0"/>
      <w:szCs w:val="22"/>
      <w:lang w:val="en-US" w:eastAsia="en-US"/>
    </w:rPr>
  </w:style>
  <w:style w:type="paragraph" w:customStyle="1" w:styleId="IndexHeading1">
    <w:name w:val="Index Heading1"/>
    <w:basedOn w:val="Normal"/>
    <w:next w:val="Index1"/>
    <w:rsid w:val="005150E5"/>
    <w:pPr>
      <w:spacing w:before="40" w:after="60" w:line="312" w:lineRule="auto"/>
      <w:contextualSpacing w:val="0"/>
    </w:pPr>
    <w:rPr>
      <w:b w:val="0"/>
      <w:szCs w:val="22"/>
      <w:lang w:val="en-US" w:eastAsia="en-US"/>
    </w:rPr>
  </w:style>
  <w:style w:type="paragraph" w:customStyle="1" w:styleId="NormalIndent1">
    <w:name w:val="Normal Indent1"/>
    <w:basedOn w:val="Normal"/>
    <w:next w:val="NormalIndent"/>
    <w:rsid w:val="005150E5"/>
    <w:pPr>
      <w:tabs>
        <w:tab w:val="left" w:pos="1134"/>
        <w:tab w:val="left" w:pos="1701"/>
        <w:tab w:val="left" w:pos="2835"/>
        <w:tab w:val="left" w:pos="5103"/>
        <w:tab w:val="left" w:pos="7371"/>
        <w:tab w:val="right" w:pos="9639"/>
      </w:tabs>
      <w:spacing w:before="40" w:after="60" w:line="312" w:lineRule="auto"/>
      <w:ind w:left="1134"/>
      <w:contextualSpacing w:val="0"/>
    </w:pPr>
    <w:rPr>
      <w:b w:val="0"/>
      <w:szCs w:val="22"/>
      <w:lang w:val="en-GB" w:eastAsia="en-US"/>
    </w:rPr>
  </w:style>
  <w:style w:type="paragraph" w:customStyle="1" w:styleId="webb1">
    <w:name w:val="webb1"/>
    <w:basedOn w:val="Normal"/>
    <w:next w:val="NormalWeb"/>
    <w:uiPriority w:val="99"/>
    <w:qFormat/>
    <w:rsid w:val="005150E5"/>
    <w:pPr>
      <w:spacing w:before="100" w:after="100" w:line="312" w:lineRule="auto"/>
      <w:contextualSpacing w:val="0"/>
    </w:pPr>
    <w:rPr>
      <w:b w:val="0"/>
      <w:szCs w:val="20"/>
      <w:lang w:val="en-US" w:eastAsia="en-US"/>
    </w:rPr>
  </w:style>
  <w:style w:type="table" w:customStyle="1" w:styleId="TableWeb213">
    <w:name w:val="Table Web 21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
    <w:name w:val="Table Web 11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Bullet21">
    <w:name w:val="List Bullet 21"/>
    <w:basedOn w:val="Normal"/>
    <w:next w:val="ListBullet2"/>
    <w:autoRedefine/>
    <w:rsid w:val="005150E5"/>
    <w:pPr>
      <w:spacing w:before="40" w:after="60" w:line="312" w:lineRule="auto"/>
      <w:ind w:left="720" w:hanging="360"/>
      <w:contextualSpacing w:val="0"/>
    </w:pPr>
    <w:rPr>
      <w:b w:val="0"/>
      <w:szCs w:val="22"/>
      <w:lang w:val="en-US" w:eastAsia="en-US"/>
    </w:rPr>
  </w:style>
  <w:style w:type="paragraph" w:customStyle="1" w:styleId="BodyTextFirstIndent1">
    <w:name w:val="Body Text First Indent1"/>
    <w:basedOn w:val="BodyText"/>
    <w:next w:val="BodyTextFirstIndent"/>
    <w:rsid w:val="005150E5"/>
    <w:pPr>
      <w:spacing w:before="40" w:after="120" w:line="312" w:lineRule="auto"/>
      <w:ind w:firstLine="210"/>
      <w:contextualSpacing w:val="0"/>
      <w:jc w:val="both"/>
    </w:pPr>
    <w:rPr>
      <w:rFonts w:ascii="GHEA Grapalat" w:eastAsia="Calibri" w:hAnsi="GHEA Grapalat"/>
      <w:b w:val="0"/>
      <w:sz w:val="22"/>
      <w:szCs w:val="22"/>
    </w:rPr>
  </w:style>
  <w:style w:type="table" w:customStyle="1" w:styleId="TableGrid813">
    <w:name w:val="Table Grid 81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
    <w:name w:val="Table Contemporary1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60">
    <w:name w:val="Знак Знак6"/>
    <w:basedOn w:val="Normal"/>
    <w:link w:val="Char31"/>
    <w:rsid w:val="005150E5"/>
    <w:pPr>
      <w:spacing w:before="40" w:after="60" w:line="240" w:lineRule="exact"/>
      <w:contextualSpacing w:val="0"/>
    </w:pPr>
    <w:rPr>
      <w:rFonts w:ascii="Arial" w:hAnsi="Arial" w:cs="Arial"/>
      <w:b w:val="0"/>
      <w:sz w:val="20"/>
      <w:szCs w:val="20"/>
      <w:lang w:val="en-GB" w:eastAsia="en-US"/>
    </w:rPr>
  </w:style>
  <w:style w:type="character" w:customStyle="1" w:styleId="Char31">
    <w:name w:val="Знак Знак Char3"/>
    <w:link w:val="60"/>
    <w:rsid w:val="005150E5"/>
    <w:rPr>
      <w:rFonts w:ascii="Arial" w:hAnsi="Arial" w:cs="Arial"/>
      <w:lang w:val="en-GB"/>
    </w:rPr>
  </w:style>
  <w:style w:type="paragraph" w:customStyle="1" w:styleId="DocumentMap1">
    <w:name w:val="Document Map1"/>
    <w:basedOn w:val="Normal"/>
    <w:next w:val="DocumentMap"/>
    <w:link w:val="DocumentMapChar1"/>
    <w:uiPriority w:val="99"/>
    <w:rsid w:val="005150E5"/>
    <w:pPr>
      <w:shd w:val="clear" w:color="auto" w:fill="000080"/>
      <w:overflowPunct w:val="0"/>
      <w:autoSpaceDE w:val="0"/>
      <w:autoSpaceDN w:val="0"/>
      <w:adjustRightInd w:val="0"/>
      <w:spacing w:before="40" w:after="60" w:line="312" w:lineRule="auto"/>
      <w:contextualSpacing w:val="0"/>
      <w:textAlignment w:val="baseline"/>
    </w:pPr>
    <w:rPr>
      <w:rFonts w:ascii="Tahoma" w:hAnsi="Tahoma"/>
      <w:b w:val="0"/>
      <w:sz w:val="24"/>
      <w:szCs w:val="20"/>
      <w:lang w:val="en-GB"/>
    </w:rPr>
  </w:style>
  <w:style w:type="paragraph" w:customStyle="1" w:styleId="CharChar39">
    <w:name w:val="Char Char39"/>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0">
    <w:name w:val="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Znak3">
    <w:name w:val="Znak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CharCharCharCharCharChar3">
    <w:name w:val="Char Char Char 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32">
    <w:name w:val="Знак Знак Знак Знак Знак Знак Знак Знак Знак Знак Знак Знак Знак Знак Знак Знак Знак Знак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31">
    <w:name w:val="Char Char Char Знак3"/>
    <w:basedOn w:val="Normal"/>
    <w:next w:val="Normal"/>
    <w:rsid w:val="005150E5"/>
    <w:pPr>
      <w:spacing w:before="40" w:after="60" w:line="240" w:lineRule="exact"/>
      <w:contextualSpacing w:val="0"/>
    </w:pPr>
    <w:rPr>
      <w:rFonts w:ascii="Tahoma" w:hAnsi="Tahoma"/>
      <w:b w:val="0"/>
      <w:szCs w:val="20"/>
      <w:lang w:val="en-US" w:eastAsia="en-US"/>
    </w:rPr>
  </w:style>
  <w:style w:type="paragraph" w:customStyle="1" w:styleId="ListContinue21">
    <w:name w:val="List Continue 21"/>
    <w:basedOn w:val="Normal"/>
    <w:next w:val="ListContinue2"/>
    <w:rsid w:val="005150E5"/>
    <w:pPr>
      <w:spacing w:before="40" w:after="120" w:line="312" w:lineRule="auto"/>
      <w:ind w:left="720"/>
      <w:contextualSpacing w:val="0"/>
    </w:pPr>
    <w:rPr>
      <w:b w:val="0"/>
      <w:szCs w:val="22"/>
      <w:lang w:val="en-US" w:eastAsia="en-US"/>
    </w:rPr>
  </w:style>
  <w:style w:type="paragraph" w:customStyle="1" w:styleId="CharCharCharCharCharCharCharChar3">
    <w:name w:val="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CharCharCharCharChar6">
    <w:name w:val="Char Char Char Char Знак Char Знак Char Char Char Char Char Char Char Char Char Char6"/>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3">
    <w:name w:val="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2">
    <w:name w:val="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3">
    <w:name w:val="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CharChar3">
    <w:name w:val="Знак Знак1 Char Char Знак Знак3"/>
    <w:basedOn w:val="Normal"/>
    <w:rsid w:val="005150E5"/>
    <w:pPr>
      <w:tabs>
        <w:tab w:val="num" w:pos="840"/>
      </w:tabs>
      <w:spacing w:before="40" w:after="60" w:line="240" w:lineRule="exact"/>
      <w:ind w:left="840" w:hanging="360"/>
      <w:contextualSpacing w:val="0"/>
    </w:pPr>
    <w:rPr>
      <w:rFonts w:ascii="Verdana" w:hAnsi="Verdana"/>
      <w:b w:val="0"/>
      <w:sz w:val="20"/>
      <w:szCs w:val="20"/>
      <w:lang w:eastAsia="en-US"/>
    </w:rPr>
  </w:style>
  <w:style w:type="paragraph" w:customStyle="1" w:styleId="CharCharCharChar3">
    <w:name w:val="Знак Знак Char Char Знак Знак Char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1Char3">
    <w:name w:val="Char Char Char1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33">
    <w:name w:val="Знак Знак13"/>
    <w:basedOn w:val="Normal"/>
    <w:rsid w:val="005150E5"/>
    <w:pPr>
      <w:spacing w:before="40" w:after="60" w:line="240" w:lineRule="exact"/>
      <w:contextualSpacing w:val="0"/>
    </w:pPr>
    <w:rPr>
      <w:rFonts w:ascii="Arial" w:eastAsia="MS Mincho" w:hAnsi="Arial" w:cs="Arial"/>
      <w:b w:val="0"/>
      <w:sz w:val="20"/>
      <w:szCs w:val="20"/>
      <w:lang w:val="en-US" w:eastAsia="en-US"/>
    </w:rPr>
  </w:style>
  <w:style w:type="paragraph" w:customStyle="1" w:styleId="CharCharCharCharChar30">
    <w:name w:val="Char Char 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1CharCharChar1Char3">
    <w:name w:val="Char Char1 Char Char Char1 Char3"/>
    <w:basedOn w:val="Normal"/>
    <w:autoRedefine/>
    <w:rsid w:val="005150E5"/>
    <w:pPr>
      <w:spacing w:before="40" w:after="60" w:line="312" w:lineRule="auto"/>
      <w:contextualSpacing w:val="0"/>
    </w:pPr>
    <w:rPr>
      <w:rFonts w:eastAsia="SimSun"/>
      <w:b w:val="0"/>
      <w:sz w:val="20"/>
      <w:szCs w:val="20"/>
      <w:lang w:val="en-US"/>
    </w:rPr>
  </w:style>
  <w:style w:type="paragraph" w:customStyle="1" w:styleId="430">
    <w:name w:val="Знак Знак4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33">
    <w:name w:val="Знак Char Знак3"/>
    <w:basedOn w:val="Normal"/>
    <w:rsid w:val="005150E5"/>
    <w:pPr>
      <w:spacing w:before="40" w:after="60" w:line="240" w:lineRule="exact"/>
      <w:contextualSpacing w:val="0"/>
    </w:pPr>
    <w:rPr>
      <w:rFonts w:ascii="Arial" w:eastAsia="Batang" w:hAnsi="Arial" w:cs="Arial"/>
      <w:b w:val="0"/>
      <w:sz w:val="20"/>
      <w:szCs w:val="20"/>
      <w:lang w:val="en-US" w:eastAsia="en-US"/>
    </w:rPr>
  </w:style>
  <w:style w:type="paragraph" w:customStyle="1" w:styleId="CharCharCharCharCharChar3">
    <w:name w:val="Знак Знак Char Char Знак Знак Char Char Знак Знак Char Char3"/>
    <w:basedOn w:val="Normal"/>
    <w:autoRedefine/>
    <w:rsid w:val="005150E5"/>
    <w:pPr>
      <w:spacing w:before="40" w:after="60" w:line="240" w:lineRule="exact"/>
      <w:contextualSpacing w:val="0"/>
    </w:pPr>
    <w:rPr>
      <w:b w:val="0"/>
      <w:sz w:val="28"/>
      <w:szCs w:val="20"/>
      <w:lang w:val="en-US" w:eastAsia="en-US"/>
    </w:rPr>
  </w:style>
  <w:style w:type="paragraph" w:customStyle="1" w:styleId="230">
    <w:name w:val="Знак Знак2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31">
    <w:name w:val="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numbering" w:customStyle="1" w:styleId="NoList1120">
    <w:name w:val="No List1120"/>
    <w:next w:val="NoList"/>
    <w:semiHidden/>
    <w:unhideWhenUsed/>
    <w:rsid w:val="005150E5"/>
  </w:style>
  <w:style w:type="numbering" w:customStyle="1" w:styleId="NoList216">
    <w:name w:val="No List216"/>
    <w:next w:val="NoList"/>
    <w:semiHidden/>
    <w:unhideWhenUsed/>
    <w:rsid w:val="005150E5"/>
  </w:style>
  <w:style w:type="numbering" w:customStyle="1" w:styleId="NoList315">
    <w:name w:val="No List315"/>
    <w:next w:val="NoList"/>
    <w:semiHidden/>
    <w:unhideWhenUsed/>
    <w:rsid w:val="005150E5"/>
  </w:style>
  <w:style w:type="paragraph" w:customStyle="1" w:styleId="ListNumber1">
    <w:name w:val="List Number1"/>
    <w:basedOn w:val="Normal"/>
    <w:next w:val="ListNumber"/>
    <w:rsid w:val="005150E5"/>
    <w:pPr>
      <w:spacing w:before="40" w:after="60" w:line="312" w:lineRule="auto"/>
      <w:ind w:left="720" w:hanging="360"/>
      <w:contextualSpacing w:val="0"/>
    </w:pPr>
    <w:rPr>
      <w:b w:val="0"/>
      <w:szCs w:val="22"/>
      <w:lang w:val="en-US" w:eastAsia="en-US"/>
    </w:rPr>
  </w:style>
  <w:style w:type="paragraph" w:customStyle="1" w:styleId="CharChar113">
    <w:name w:val="Char Char113"/>
    <w:basedOn w:val="Normal"/>
    <w:rsid w:val="005150E5"/>
    <w:pPr>
      <w:spacing w:before="40" w:after="60" w:line="240" w:lineRule="exact"/>
      <w:contextualSpacing w:val="0"/>
    </w:pPr>
    <w:rPr>
      <w:rFonts w:ascii="Arial" w:hAnsi="Arial" w:cs="Arial"/>
      <w:b w:val="0"/>
      <w:sz w:val="20"/>
      <w:szCs w:val="20"/>
      <w:lang w:val="en-US" w:eastAsia="en-US"/>
    </w:rPr>
  </w:style>
  <w:style w:type="character" w:customStyle="1" w:styleId="CharChar163">
    <w:name w:val="Char Char163"/>
    <w:uiPriority w:val="99"/>
    <w:rsid w:val="005150E5"/>
    <w:rPr>
      <w:rFonts w:ascii="Times New Roman" w:hAnsi="Times New Roman"/>
      <w:b/>
      <w:sz w:val="20"/>
      <w:lang w:val="en-GB"/>
    </w:rPr>
  </w:style>
  <w:style w:type="character" w:customStyle="1" w:styleId="CharChar53">
    <w:name w:val="Char Char53"/>
    <w:uiPriority w:val="99"/>
    <w:rsid w:val="005150E5"/>
    <w:rPr>
      <w:rFonts w:ascii="Times New Roman" w:hAnsi="Times New Roman"/>
      <w:sz w:val="20"/>
      <w:lang w:val="en-GB"/>
    </w:rPr>
  </w:style>
  <w:style w:type="paragraph" w:customStyle="1" w:styleId="CharCharCharCharCharChar2">
    <w:name w:val="Char Char Char Char Char Char2"/>
    <w:basedOn w:val="Normal"/>
    <w:rsid w:val="005150E5"/>
    <w:pPr>
      <w:spacing w:before="40" w:after="60" w:line="240" w:lineRule="exact"/>
      <w:contextualSpacing w:val="0"/>
    </w:pPr>
    <w:rPr>
      <w:rFonts w:ascii="Arial" w:eastAsia="Calibri" w:hAnsi="Arial" w:cs="Arial"/>
      <w:b w:val="0"/>
      <w:sz w:val="20"/>
      <w:szCs w:val="20"/>
      <w:lang w:val="en-US" w:eastAsia="en-US"/>
    </w:rPr>
  </w:style>
  <w:style w:type="paragraph" w:customStyle="1" w:styleId="3b">
    <w:name w:val="Знак3"/>
    <w:basedOn w:val="Normal"/>
    <w:rsid w:val="005150E5"/>
    <w:pPr>
      <w:spacing w:before="40" w:after="60" w:line="240" w:lineRule="exact"/>
      <w:contextualSpacing w:val="0"/>
    </w:pPr>
    <w:rPr>
      <w:rFonts w:ascii="Arial" w:eastAsia="Calibri" w:hAnsi="Arial" w:cs="Arial"/>
      <w:b w:val="0"/>
      <w:sz w:val="20"/>
      <w:szCs w:val="20"/>
      <w:lang w:val="en-GB" w:eastAsia="en-US"/>
    </w:rPr>
  </w:style>
  <w:style w:type="paragraph" w:customStyle="1" w:styleId="BodyText11">
    <w:name w:val="Body Text11"/>
    <w:basedOn w:val="Normal"/>
    <w:rsid w:val="005150E5"/>
    <w:pPr>
      <w:tabs>
        <w:tab w:val="num" w:pos="0"/>
      </w:tabs>
      <w:spacing w:before="40" w:after="240" w:line="312" w:lineRule="auto"/>
      <w:contextualSpacing w:val="0"/>
    </w:pPr>
    <w:rPr>
      <w:rFonts w:ascii="Times Armenian" w:hAnsi="Times Armenian"/>
      <w:b w:val="0"/>
      <w:szCs w:val="22"/>
      <w:lang w:val="en-US"/>
    </w:rPr>
  </w:style>
  <w:style w:type="table" w:customStyle="1" w:styleId="LightList-Accent1113">
    <w:name w:val="Light List - Accent 111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
    <w:name w:val="Table Grid 71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
    <w:name w:val="Colorful Grid - Accent 118"/>
    <w:basedOn w:val="TableNormal"/>
    <w:next w:val="ColorfulGrid-Accent1"/>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
    <w:name w:val="Light List - Accent 518"/>
    <w:basedOn w:val="TableNormal"/>
    <w:next w:val="LightList-Accent5"/>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
    <w:name w:val="Table Simple 31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
    <w:name w:val="Table Grid 51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
    <w:name w:val="Table Grid 31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0">
    <w:name w:val="Table Grid 11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
    <w:name w:val="Table Columns 51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0">
    <w:name w:val="Нет списка19"/>
    <w:next w:val="NoList"/>
    <w:semiHidden/>
    <w:unhideWhenUsed/>
    <w:rsid w:val="005150E5"/>
  </w:style>
  <w:style w:type="paragraph" w:customStyle="1" w:styleId="List1">
    <w:name w:val="List1"/>
    <w:basedOn w:val="BodyText"/>
    <w:next w:val="List"/>
    <w:rsid w:val="005150E5"/>
    <w:pPr>
      <w:suppressAutoHyphens/>
      <w:spacing w:before="40" w:after="120" w:line="288" w:lineRule="auto"/>
      <w:contextualSpacing w:val="0"/>
      <w:jc w:val="both"/>
    </w:pPr>
    <w:rPr>
      <w:rFonts w:ascii="GHEA Grapalat" w:hAnsi="GHEA Grapalat" w:cs="GHEA Grapalat"/>
      <w:b w:val="0"/>
      <w:kern w:val="1"/>
      <w:sz w:val="22"/>
      <w:szCs w:val="22"/>
      <w:lang w:val="en-US" w:eastAsia="en-US"/>
    </w:rPr>
  </w:style>
  <w:style w:type="character" w:customStyle="1" w:styleId="CharChar123">
    <w:name w:val="Char Char123"/>
    <w:rsid w:val="005150E5"/>
    <w:rPr>
      <w:sz w:val="22"/>
      <w:lang w:val="en-GB" w:eastAsia="en-US" w:bidi="ar-SA"/>
    </w:rPr>
  </w:style>
  <w:style w:type="paragraph" w:customStyle="1" w:styleId="IntenseQuote1">
    <w:name w:val="Intense Quote1"/>
    <w:basedOn w:val="Normal"/>
    <w:next w:val="Normal"/>
    <w:qFormat/>
    <w:rsid w:val="005150E5"/>
    <w:pPr>
      <w:pBdr>
        <w:bottom w:val="single" w:sz="4" w:space="1" w:color="auto"/>
      </w:pBdr>
      <w:spacing w:before="200" w:after="280" w:line="312" w:lineRule="auto"/>
      <w:ind w:left="1008" w:right="1152"/>
      <w:contextualSpacing w:val="0"/>
    </w:pPr>
    <w:rPr>
      <w:bCs/>
      <w:i/>
      <w:iCs/>
      <w:szCs w:val="22"/>
      <w:lang w:val="en-US" w:eastAsia="en-US"/>
    </w:rPr>
  </w:style>
  <w:style w:type="character" w:customStyle="1" w:styleId="CharChar213">
    <w:name w:val="Char Char213"/>
    <w:locked/>
    <w:rsid w:val="005150E5"/>
    <w:rPr>
      <w:sz w:val="22"/>
      <w:lang w:val="en-GB" w:eastAsia="en-US"/>
    </w:rPr>
  </w:style>
  <w:style w:type="character" w:customStyle="1" w:styleId="CharChar222">
    <w:name w:val="Char Char222"/>
    <w:rsid w:val="005150E5"/>
    <w:rPr>
      <w:rFonts w:cs="Times New Roman"/>
      <w:lang w:val="ru-RU" w:eastAsia="ru-RU" w:bidi="ar-SA"/>
    </w:rPr>
  </w:style>
  <w:style w:type="numbering" w:customStyle="1" w:styleId="NoList413">
    <w:name w:val="No List413"/>
    <w:next w:val="NoList"/>
    <w:semiHidden/>
    <w:rsid w:val="005150E5"/>
  </w:style>
  <w:style w:type="character" w:customStyle="1" w:styleId="CharChar182">
    <w:name w:val="Char Char182"/>
    <w:rsid w:val="005150E5"/>
    <w:rPr>
      <w:rFonts w:ascii="Arial Armenian" w:eastAsia="Times New Roman" w:hAnsi="Arial Armenian"/>
      <w:i/>
      <w:sz w:val="22"/>
      <w:u w:val="single"/>
      <w:lang w:val="en-GB"/>
    </w:rPr>
  </w:style>
  <w:style w:type="character" w:customStyle="1" w:styleId="CharChar192">
    <w:name w:val="Char Char192"/>
    <w:rsid w:val="005150E5"/>
    <w:rPr>
      <w:b/>
      <w:sz w:val="32"/>
      <w:lang w:val="en-GB" w:eastAsia="en-US" w:bidi="ar-SA"/>
    </w:rPr>
  </w:style>
  <w:style w:type="character" w:customStyle="1" w:styleId="CharChar202">
    <w:name w:val="Char Char202"/>
    <w:rsid w:val="005150E5"/>
    <w:rPr>
      <w:rFonts w:ascii="Garamond" w:hAnsi="Garamond"/>
      <w:i/>
      <w:spacing w:val="-5"/>
      <w:sz w:val="28"/>
      <w:lang w:val="en-GB" w:eastAsia="en-US" w:bidi="ar-SA"/>
    </w:rPr>
  </w:style>
  <w:style w:type="numbering" w:customStyle="1" w:styleId="NoList11115">
    <w:name w:val="No List11115"/>
    <w:next w:val="NoList"/>
    <w:semiHidden/>
    <w:unhideWhenUsed/>
    <w:rsid w:val="005150E5"/>
  </w:style>
  <w:style w:type="character" w:customStyle="1" w:styleId="CharChar172">
    <w:name w:val="Char Char172"/>
    <w:rsid w:val="005150E5"/>
    <w:rPr>
      <w:rFonts w:ascii="Arial Armenian" w:hAnsi="Arial Armenian"/>
      <w:i/>
      <w:sz w:val="22"/>
      <w:u w:val="single"/>
      <w:lang w:val="en-GB" w:eastAsia="en-US" w:bidi="ar-SA"/>
    </w:rPr>
  </w:style>
  <w:style w:type="character" w:customStyle="1" w:styleId="CharChar282">
    <w:name w:val="Char Char282"/>
    <w:rsid w:val="005150E5"/>
    <w:rPr>
      <w:rFonts w:ascii="Arial Armenian" w:hAnsi="Arial Armenian"/>
      <w:i/>
      <w:sz w:val="22"/>
      <w:u w:val="single"/>
      <w:lang w:val="en-GB"/>
    </w:rPr>
  </w:style>
  <w:style w:type="character" w:customStyle="1" w:styleId="CharChar272">
    <w:name w:val="Char Char272"/>
    <w:rsid w:val="005150E5"/>
    <w:rPr>
      <w:rFonts w:ascii="Garamond" w:hAnsi="Garamond"/>
      <w:i/>
      <w:spacing w:val="-5"/>
      <w:sz w:val="28"/>
      <w:shd w:val="pct5" w:color="auto" w:fill="auto"/>
      <w:lang w:val="en-GB"/>
    </w:rPr>
  </w:style>
  <w:style w:type="character" w:customStyle="1" w:styleId="CharChar262">
    <w:name w:val="Char Char262"/>
    <w:rsid w:val="005150E5"/>
    <w:rPr>
      <w:rFonts w:ascii="Arial Black" w:hAnsi="Arial Black"/>
      <w:caps/>
      <w:spacing w:val="60"/>
      <w:position w:val="4"/>
      <w:sz w:val="14"/>
      <w:lang w:val="en-GB"/>
    </w:rPr>
  </w:style>
  <w:style w:type="character" w:customStyle="1" w:styleId="CharChar252">
    <w:name w:val="Char Char252"/>
    <w:rsid w:val="005150E5"/>
    <w:rPr>
      <w:rFonts w:ascii="Garamond" w:hAnsi="Garamond"/>
      <w:b/>
      <w:i/>
      <w:kern w:val="28"/>
      <w:lang w:val="en-GB"/>
    </w:rPr>
  </w:style>
  <w:style w:type="character" w:customStyle="1" w:styleId="CharChar242">
    <w:name w:val="Char Char242"/>
    <w:rsid w:val="005150E5"/>
    <w:rPr>
      <w:rFonts w:ascii="Arial Armenian" w:hAnsi="Arial Armenian"/>
      <w:noProof/>
      <w:lang w:val="en-US" w:eastAsia="en-US" w:bidi="ar-SA"/>
    </w:rPr>
  </w:style>
  <w:style w:type="character" w:customStyle="1" w:styleId="CharChar232">
    <w:name w:val="Char Char232"/>
    <w:rsid w:val="005150E5"/>
    <w:rPr>
      <w:rFonts w:ascii="Arial Armenian" w:hAnsi="Arial Armenian"/>
      <w:lang w:val="en-GB" w:eastAsia="en-US" w:bidi="ar-SA"/>
    </w:rPr>
  </w:style>
  <w:style w:type="character" w:customStyle="1" w:styleId="CharChar312">
    <w:name w:val="Char Char312"/>
    <w:rsid w:val="005150E5"/>
    <w:rPr>
      <w:rFonts w:ascii="Arial Armenian" w:hAnsi="Arial Armenian"/>
      <w:noProof/>
      <w:lang w:val="en-US" w:eastAsia="en-US" w:bidi="ar-SA"/>
    </w:rPr>
  </w:style>
  <w:style w:type="table" w:customStyle="1" w:styleId="Table3Deffects313">
    <w:name w:val="Table 3D effects 31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TopofForm1">
    <w:name w:val="z-Top of Form1"/>
    <w:basedOn w:val="Normal"/>
    <w:next w:val="Normal"/>
    <w:hidden/>
    <w:uiPriority w:val="99"/>
    <w:unhideWhenUsed/>
    <w:rsid w:val="005150E5"/>
    <w:pPr>
      <w:pBdr>
        <w:bottom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z-BottomofForm1">
    <w:name w:val="z-Bottom of Form1"/>
    <w:basedOn w:val="Normal"/>
    <w:next w:val="Normal"/>
    <w:hidden/>
    <w:uiPriority w:val="99"/>
    <w:unhideWhenUsed/>
    <w:rsid w:val="005150E5"/>
    <w:pPr>
      <w:pBdr>
        <w:top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HTMLPreformatted1">
    <w:name w:val="HTML Preformatted1"/>
    <w:basedOn w:val="Normal"/>
    <w:next w:val="HTMLPreformatted"/>
    <w:uiPriority w:val="99"/>
    <w:unhideWhenUsed/>
    <w:rsid w:val="00515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60" w:line="312" w:lineRule="auto"/>
      <w:contextualSpacing w:val="0"/>
    </w:pPr>
    <w:rPr>
      <w:rFonts w:ascii="Arial Unicode" w:eastAsia="Calibri" w:hAnsi="Arial Unicode"/>
      <w:b w:val="0"/>
      <w:sz w:val="20"/>
      <w:szCs w:val="20"/>
      <w:lang w:val="en-US" w:eastAsia="en-US"/>
    </w:rPr>
  </w:style>
  <w:style w:type="numbering" w:customStyle="1" w:styleId="118">
    <w:name w:val="Нет списка118"/>
    <w:next w:val="NoList"/>
    <w:semiHidden/>
    <w:unhideWhenUsed/>
    <w:rsid w:val="005150E5"/>
  </w:style>
  <w:style w:type="character" w:customStyle="1" w:styleId="CharChar352">
    <w:name w:val="Char Char352"/>
    <w:rsid w:val="005150E5"/>
    <w:rPr>
      <w:rFonts w:ascii="Arial Armenian" w:hAnsi="Arial Armenian"/>
      <w:i/>
      <w:sz w:val="22"/>
      <w:u w:val="single"/>
      <w:lang w:val="en-GB"/>
    </w:rPr>
  </w:style>
  <w:style w:type="character" w:customStyle="1" w:styleId="CharChar342">
    <w:name w:val="Char Char342"/>
    <w:rsid w:val="005150E5"/>
    <w:rPr>
      <w:rFonts w:ascii="Garamond" w:hAnsi="Garamond"/>
      <w:i/>
      <w:spacing w:val="-5"/>
      <w:sz w:val="28"/>
      <w:shd w:val="pct5" w:color="auto" w:fill="auto"/>
      <w:lang w:val="en-GB"/>
    </w:rPr>
  </w:style>
  <w:style w:type="character" w:customStyle="1" w:styleId="CharChar332">
    <w:name w:val="Char Char332"/>
    <w:rsid w:val="005150E5"/>
    <w:rPr>
      <w:rFonts w:ascii="Arial Black" w:hAnsi="Arial Black"/>
      <w:caps/>
      <w:spacing w:val="60"/>
      <w:position w:val="4"/>
      <w:sz w:val="14"/>
      <w:lang w:val="en-GB"/>
    </w:rPr>
  </w:style>
  <w:style w:type="character" w:customStyle="1" w:styleId="CharChar322">
    <w:name w:val="Char Char322"/>
    <w:rsid w:val="005150E5"/>
    <w:rPr>
      <w:rFonts w:ascii="Garamond" w:hAnsi="Garamond"/>
      <w:b/>
      <w:i/>
      <w:kern w:val="28"/>
      <w:lang w:val="en-GB"/>
    </w:rPr>
  </w:style>
  <w:style w:type="character" w:customStyle="1" w:styleId="CharChar302">
    <w:name w:val="Char Char302"/>
    <w:rsid w:val="005150E5"/>
    <w:rPr>
      <w:rFonts w:ascii="Arial Armenian" w:hAnsi="Arial Armenian"/>
      <w:lang w:val="en-GB" w:eastAsia="en-US" w:bidi="ar-SA"/>
    </w:rPr>
  </w:style>
  <w:style w:type="character" w:customStyle="1" w:styleId="CharChar292">
    <w:name w:val="Char Char292"/>
    <w:rsid w:val="005150E5"/>
    <w:rPr>
      <w:rFonts w:ascii="Arial Armenian" w:hAnsi="Arial Armenian"/>
      <w:lang w:val="ru-RU" w:eastAsia="ru-RU" w:bidi="ar-SA"/>
    </w:rPr>
  </w:style>
  <w:style w:type="paragraph" w:customStyle="1" w:styleId="textbox">
    <w:name w:val="textbox"/>
    <w:basedOn w:val="Normal"/>
    <w:rsid w:val="005150E5"/>
    <w:pPr>
      <w:spacing w:before="40" w:after="60" w:line="160" w:lineRule="exact"/>
      <w:contextualSpacing w:val="0"/>
    </w:pPr>
    <w:rPr>
      <w:b w:val="0"/>
      <w:smallCaps/>
      <w:sz w:val="16"/>
      <w:szCs w:val="20"/>
      <w:lang w:val="hy-AM" w:eastAsia="en-US"/>
    </w:rPr>
  </w:style>
  <w:style w:type="character" w:customStyle="1" w:styleId="t121">
    <w:name w:val="t121"/>
    <w:rsid w:val="005150E5"/>
    <w:rPr>
      <w:b/>
      <w:bCs/>
      <w:color w:val="191970"/>
    </w:rPr>
  </w:style>
  <w:style w:type="character" w:customStyle="1" w:styleId="t61">
    <w:name w:val="t61"/>
    <w:rsid w:val="005150E5"/>
    <w:rPr>
      <w:b/>
      <w:bCs/>
      <w:color w:val="191970"/>
    </w:rPr>
  </w:style>
  <w:style w:type="table" w:customStyle="1" w:styleId="TableGrid115">
    <w:name w:val="Table Grid115"/>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4">
    <w:name w:val="Char Char Char Char Знак Char Знак Char Char Char Char Char Char Char Char Char Char4"/>
    <w:basedOn w:val="Normal"/>
    <w:rsid w:val="005150E5"/>
    <w:pPr>
      <w:tabs>
        <w:tab w:val="left" w:pos="709"/>
      </w:tabs>
      <w:spacing w:before="40" w:after="60" w:line="312" w:lineRule="auto"/>
      <w:contextualSpacing w:val="0"/>
    </w:pPr>
    <w:rPr>
      <w:rFonts w:ascii="Tahoma" w:hAnsi="Tahoma" w:cs="Tahoma"/>
      <w:b w:val="0"/>
      <w:szCs w:val="22"/>
      <w:lang w:val="pl-PL" w:eastAsia="pl-PL"/>
    </w:rPr>
  </w:style>
  <w:style w:type="character" w:customStyle="1" w:styleId="CharChar62">
    <w:name w:val="Char Char62"/>
    <w:locked/>
    <w:rsid w:val="005150E5"/>
    <w:rPr>
      <w:rFonts w:ascii="Times LatArm" w:eastAsia="Calibri" w:hAnsi="Times LatArm" w:cs="Times LatArm"/>
      <w:sz w:val="22"/>
      <w:szCs w:val="22"/>
      <w:lang w:val="en-GB" w:eastAsia="en-US" w:bidi="ar-SA"/>
    </w:rPr>
  </w:style>
  <w:style w:type="character" w:customStyle="1" w:styleId="CentredCharChar">
    <w:name w:val="Centred Char Char"/>
    <w:locked/>
    <w:rsid w:val="005150E5"/>
    <w:rPr>
      <w:rFonts w:eastAsia="Calibri"/>
      <w:b/>
      <w:bCs/>
      <w:i/>
      <w:iCs/>
      <w:sz w:val="24"/>
      <w:szCs w:val="24"/>
      <w:lang w:val="en-GB" w:eastAsia="en-US" w:bidi="ar-SA"/>
    </w:rPr>
  </w:style>
  <w:style w:type="character" w:customStyle="1" w:styleId="SideCharChar">
    <w:name w:val="Side Char Char"/>
    <w:locked/>
    <w:rsid w:val="005150E5"/>
    <w:rPr>
      <w:rFonts w:eastAsia="Calibri"/>
      <w:sz w:val="22"/>
      <w:szCs w:val="22"/>
      <w:lang w:val="en-GB" w:eastAsia="en-US" w:bidi="ar-SA"/>
    </w:rPr>
  </w:style>
  <w:style w:type="character" w:customStyle="1" w:styleId="CharChar80">
    <w:name w:val="Char Char8"/>
    <w:locked/>
    <w:rsid w:val="005150E5"/>
    <w:rPr>
      <w:rFonts w:ascii="Times Armenian" w:eastAsia="Calibri" w:hAnsi="Times Armenian" w:cs="Times Armenian"/>
      <w:color w:val="993300"/>
      <w:sz w:val="22"/>
      <w:szCs w:val="22"/>
      <w:lang w:val="hy-AM" w:eastAsia="en-US" w:bidi="ar-SA"/>
    </w:rPr>
  </w:style>
  <w:style w:type="character" w:customStyle="1" w:styleId="CharChar42">
    <w:name w:val="Char Char42"/>
    <w:locked/>
    <w:rsid w:val="005150E5"/>
    <w:rPr>
      <w:rFonts w:eastAsia="Calibri"/>
      <w:sz w:val="22"/>
      <w:szCs w:val="22"/>
      <w:lang w:val="en-GB" w:eastAsia="en-US" w:bidi="ar-SA"/>
    </w:rPr>
  </w:style>
  <w:style w:type="character" w:customStyle="1" w:styleId="CharChar38">
    <w:name w:val="Char Char38"/>
    <w:uiPriority w:val="99"/>
    <w:locked/>
    <w:rsid w:val="005150E5"/>
    <w:rPr>
      <w:rFonts w:eastAsia="Calibri"/>
      <w:sz w:val="22"/>
      <w:szCs w:val="22"/>
      <w:lang w:val="en-GB" w:eastAsia="en-US" w:bidi="ar-SA"/>
    </w:rPr>
  </w:style>
  <w:style w:type="character" w:customStyle="1" w:styleId="CharChar212">
    <w:name w:val="Char Char212"/>
    <w:locked/>
    <w:rsid w:val="005150E5"/>
    <w:rPr>
      <w:rFonts w:ascii="Times Armenian" w:eastAsia="Calibri" w:hAnsi="Times Armenian" w:cs="Times Armenian"/>
      <w:b/>
      <w:bCs/>
      <w:sz w:val="22"/>
      <w:szCs w:val="22"/>
      <w:lang w:val="en-US" w:eastAsia="en-US" w:bidi="ar-SA"/>
    </w:rPr>
  </w:style>
  <w:style w:type="numbering" w:customStyle="1" w:styleId="NoList56">
    <w:name w:val="No List56"/>
    <w:next w:val="NoList"/>
    <w:uiPriority w:val="99"/>
    <w:semiHidden/>
    <w:rsid w:val="005150E5"/>
  </w:style>
  <w:style w:type="numbering" w:customStyle="1" w:styleId="NoList63">
    <w:name w:val="No List63"/>
    <w:next w:val="NoList"/>
    <w:uiPriority w:val="99"/>
    <w:semiHidden/>
    <w:unhideWhenUsed/>
    <w:rsid w:val="005150E5"/>
  </w:style>
  <w:style w:type="table" w:customStyle="1" w:styleId="TableGrid210">
    <w:name w:val="Table Grid210"/>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5150E5"/>
    <w:rPr>
      <w:rFonts w:ascii="GHEA Grapalat" w:hAnsi="GHEA Grapalat"/>
      <w:spacing w:val="-4"/>
      <w:sz w:val="24"/>
      <w:szCs w:val="24"/>
    </w:rPr>
  </w:style>
  <w:style w:type="paragraph" w:customStyle="1" w:styleId="namak0">
    <w:name w:val="namak"/>
    <w:basedOn w:val="Normal"/>
    <w:link w:val="namak"/>
    <w:rsid w:val="005150E5"/>
    <w:pPr>
      <w:spacing w:before="40" w:after="60" w:line="400" w:lineRule="exact"/>
      <w:ind w:firstLine="397"/>
      <w:contextualSpacing w:val="0"/>
    </w:pPr>
    <w:rPr>
      <w:b w:val="0"/>
      <w:spacing w:val="-4"/>
      <w:sz w:val="24"/>
      <w:lang w:val="en-US" w:eastAsia="en-US"/>
    </w:rPr>
  </w:style>
  <w:style w:type="numbering" w:customStyle="1" w:styleId="NoList73">
    <w:name w:val="No List73"/>
    <w:next w:val="NoList"/>
    <w:uiPriority w:val="99"/>
    <w:semiHidden/>
    <w:unhideWhenUsed/>
    <w:rsid w:val="005150E5"/>
  </w:style>
  <w:style w:type="numbering" w:customStyle="1" w:styleId="NoList1210">
    <w:name w:val="No List1210"/>
    <w:next w:val="NoList"/>
    <w:uiPriority w:val="99"/>
    <w:semiHidden/>
    <w:unhideWhenUsed/>
    <w:rsid w:val="005150E5"/>
  </w:style>
  <w:style w:type="table" w:customStyle="1" w:styleId="TableGrid330">
    <w:name w:val="Table Grid33"/>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
    <w:name w:val="Colorful Grid - Accent 12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
    <w:name w:val="Light List - Accent 52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Char5CharCharCharCharCharChar2">
    <w:name w:val="Char Char5 Char Char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CharChar2">
    <w:name w:val="Char Char5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2">
    <w:name w:val="Char Char5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numbering" w:customStyle="1" w:styleId="NoList83">
    <w:name w:val="No List83"/>
    <w:next w:val="NoList"/>
    <w:uiPriority w:val="99"/>
    <w:semiHidden/>
    <w:unhideWhenUsed/>
    <w:rsid w:val="005150E5"/>
  </w:style>
  <w:style w:type="numbering" w:customStyle="1" w:styleId="123">
    <w:name w:val="Нет списка123"/>
    <w:next w:val="NoList"/>
    <w:semiHidden/>
    <w:unhideWhenUsed/>
    <w:rsid w:val="005150E5"/>
  </w:style>
  <w:style w:type="numbering" w:customStyle="1" w:styleId="NoList133">
    <w:name w:val="No List133"/>
    <w:next w:val="NoList"/>
    <w:semiHidden/>
    <w:unhideWhenUsed/>
    <w:rsid w:val="005150E5"/>
  </w:style>
  <w:style w:type="numbering" w:customStyle="1" w:styleId="NoList217">
    <w:name w:val="No List217"/>
    <w:next w:val="NoList"/>
    <w:semiHidden/>
    <w:unhideWhenUsed/>
    <w:rsid w:val="005150E5"/>
  </w:style>
  <w:style w:type="numbering" w:customStyle="1" w:styleId="NoList316">
    <w:name w:val="No List316"/>
    <w:next w:val="NoList"/>
    <w:semiHidden/>
    <w:unhideWhenUsed/>
    <w:rsid w:val="005150E5"/>
  </w:style>
  <w:style w:type="numbering" w:customStyle="1" w:styleId="1113">
    <w:name w:val="Нет списка1113"/>
    <w:next w:val="NoList"/>
    <w:semiHidden/>
    <w:unhideWhenUsed/>
    <w:rsid w:val="005150E5"/>
  </w:style>
  <w:style w:type="numbering" w:customStyle="1" w:styleId="NoList414">
    <w:name w:val="No List414"/>
    <w:next w:val="NoList"/>
    <w:semiHidden/>
    <w:rsid w:val="005150E5"/>
  </w:style>
  <w:style w:type="numbering" w:customStyle="1" w:styleId="NoList11116">
    <w:name w:val="No List11116"/>
    <w:next w:val="NoList"/>
    <w:semiHidden/>
    <w:unhideWhenUsed/>
    <w:rsid w:val="005150E5"/>
  </w:style>
  <w:style w:type="numbering" w:customStyle="1" w:styleId="11112">
    <w:name w:val="Нет списка11112"/>
    <w:next w:val="NoList"/>
    <w:semiHidden/>
    <w:unhideWhenUsed/>
    <w:rsid w:val="005150E5"/>
  </w:style>
  <w:style w:type="numbering" w:customStyle="1" w:styleId="NoList93">
    <w:name w:val="No List93"/>
    <w:next w:val="NoList"/>
    <w:uiPriority w:val="99"/>
    <w:semiHidden/>
    <w:unhideWhenUsed/>
    <w:rsid w:val="005150E5"/>
  </w:style>
  <w:style w:type="character" w:customStyle="1" w:styleId="newstext">
    <w:name w:val="news_text"/>
    <w:rsid w:val="005150E5"/>
  </w:style>
  <w:style w:type="table" w:customStyle="1" w:styleId="TableGrid43">
    <w:name w:val="Table Grid43"/>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5150E5"/>
    <w:rPr>
      <w:rFonts w:ascii="Sylfaen" w:hAnsi="Sylfaen" w:cs="Sylfaen"/>
      <w:color w:val="000000"/>
      <w:sz w:val="24"/>
      <w:szCs w:val="24"/>
    </w:rPr>
  </w:style>
  <w:style w:type="table" w:customStyle="1" w:styleId="GridTable1Light-Accent51">
    <w:name w:val="Grid Table 1 Light - Accent 51"/>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
    <w:name w:val="Grid Table 4 - Accent 111"/>
    <w:basedOn w:val="TableNormal"/>
    <w:uiPriority w:val="49"/>
    <w:rsid w:val="005150E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5150E5"/>
  </w:style>
  <w:style w:type="numbering" w:customStyle="1" w:styleId="NoList103">
    <w:name w:val="No List103"/>
    <w:next w:val="NoList"/>
    <w:uiPriority w:val="99"/>
    <w:semiHidden/>
    <w:unhideWhenUsed/>
    <w:rsid w:val="005150E5"/>
  </w:style>
  <w:style w:type="table" w:customStyle="1" w:styleId="TableGrid530">
    <w:name w:val="Table Grid53"/>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
    <w:name w:val="Table List 7112"/>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
    <w:name w:val="Table Web 3112"/>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
    <w:name w:val="Table Elegant112"/>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
    <w:name w:val="Table Web 123"/>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
    <w:name w:val="No List143"/>
    <w:next w:val="NoList"/>
    <w:semiHidden/>
    <w:unhideWhenUsed/>
    <w:rsid w:val="005150E5"/>
  </w:style>
  <w:style w:type="numbering" w:customStyle="1" w:styleId="NoList223">
    <w:name w:val="No List223"/>
    <w:next w:val="NoList"/>
    <w:semiHidden/>
    <w:unhideWhenUsed/>
    <w:rsid w:val="005150E5"/>
  </w:style>
  <w:style w:type="numbering" w:customStyle="1" w:styleId="NoList323">
    <w:name w:val="No List323"/>
    <w:next w:val="NoList"/>
    <w:semiHidden/>
    <w:unhideWhenUsed/>
    <w:rsid w:val="005150E5"/>
  </w:style>
  <w:style w:type="table" w:customStyle="1" w:styleId="LightList-Accent126">
    <w:name w:val="Light List - Accent 126"/>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
    <w:name w:val="Table Grid 7112"/>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
    <w:name w:val="Colorful Grid - Accent 133"/>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
    <w:name w:val="Light List - Accent 533"/>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
    <w:name w:val="Table Simple 3112"/>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
    <w:name w:val="Table Grid 5112"/>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
    <w:name w:val="Table Grid 3112"/>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
    <w:name w:val="Table Grid 1112"/>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
    <w:name w:val="Table Columns 5112"/>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
    <w:name w:val="Light List - Accent 1114"/>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0">
    <w:name w:val="Нет списка133"/>
    <w:next w:val="NoList"/>
    <w:semiHidden/>
    <w:unhideWhenUsed/>
    <w:rsid w:val="005150E5"/>
  </w:style>
  <w:style w:type="table" w:customStyle="1" w:styleId="ColorfulGrid-Accent1113">
    <w:name w:val="Colorful Grid - Accent 1113"/>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
    <w:name w:val="Light List - Accent 5113"/>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
    <w:name w:val="No List423"/>
    <w:next w:val="NoList"/>
    <w:semiHidden/>
    <w:rsid w:val="005150E5"/>
  </w:style>
  <w:style w:type="numbering" w:customStyle="1" w:styleId="NoList1125">
    <w:name w:val="No List1125"/>
    <w:next w:val="NoList"/>
    <w:semiHidden/>
    <w:unhideWhenUsed/>
    <w:rsid w:val="005150E5"/>
  </w:style>
  <w:style w:type="table" w:customStyle="1" w:styleId="Table3Deffects3112">
    <w:name w:val="Table 3D effects 3112"/>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
    <w:name w:val="Нет списка1123"/>
    <w:next w:val="NoList"/>
    <w:semiHidden/>
    <w:unhideWhenUsed/>
    <w:rsid w:val="005150E5"/>
  </w:style>
  <w:style w:type="table" w:customStyle="1" w:styleId="TableGrid11120">
    <w:name w:val="Table Grid1112"/>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
    <w:name w:val="No List513"/>
    <w:next w:val="NoList"/>
    <w:uiPriority w:val="99"/>
    <w:semiHidden/>
    <w:rsid w:val="005150E5"/>
  </w:style>
  <w:style w:type="numbering" w:customStyle="1" w:styleId="NoList612">
    <w:name w:val="No List612"/>
    <w:next w:val="NoList"/>
    <w:uiPriority w:val="99"/>
    <w:semiHidden/>
    <w:unhideWhenUsed/>
    <w:rsid w:val="005150E5"/>
  </w:style>
  <w:style w:type="table" w:customStyle="1" w:styleId="TableGrid213">
    <w:name w:val="Table Grid213"/>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
    <w:name w:val="No List712"/>
    <w:next w:val="NoList"/>
    <w:uiPriority w:val="99"/>
    <w:semiHidden/>
    <w:unhideWhenUsed/>
    <w:rsid w:val="005150E5"/>
  </w:style>
  <w:style w:type="numbering" w:customStyle="1" w:styleId="NoList1213">
    <w:name w:val="No List1213"/>
    <w:next w:val="NoList"/>
    <w:uiPriority w:val="99"/>
    <w:semiHidden/>
    <w:unhideWhenUsed/>
    <w:rsid w:val="005150E5"/>
  </w:style>
  <w:style w:type="table" w:customStyle="1" w:styleId="TableGrid3120">
    <w:name w:val="Table Grid312"/>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
    <w:name w:val="Table Web 21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
    <w:name w:val="Table Web 11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
    <w:name w:val="Table Grid 81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
    <w:name w:val="Table Contemporary1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
    <w:name w:val="Colorful Grid - Accent 12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
    <w:name w:val="Light List - Accent 52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
    <w:name w:val="No List812"/>
    <w:next w:val="NoList"/>
    <w:uiPriority w:val="99"/>
    <w:semiHidden/>
    <w:unhideWhenUsed/>
    <w:rsid w:val="005150E5"/>
  </w:style>
  <w:style w:type="numbering" w:customStyle="1" w:styleId="1212">
    <w:name w:val="Нет списка1212"/>
    <w:next w:val="NoList"/>
    <w:semiHidden/>
    <w:unhideWhenUsed/>
    <w:rsid w:val="005150E5"/>
  </w:style>
  <w:style w:type="numbering" w:customStyle="1" w:styleId="NoList1312">
    <w:name w:val="No List1312"/>
    <w:next w:val="NoList"/>
    <w:semiHidden/>
    <w:unhideWhenUsed/>
    <w:rsid w:val="005150E5"/>
  </w:style>
  <w:style w:type="numbering" w:customStyle="1" w:styleId="NoList2113">
    <w:name w:val="No List2113"/>
    <w:next w:val="NoList"/>
    <w:semiHidden/>
    <w:unhideWhenUsed/>
    <w:rsid w:val="005150E5"/>
  </w:style>
  <w:style w:type="numbering" w:customStyle="1" w:styleId="NoList3113">
    <w:name w:val="No List3113"/>
    <w:next w:val="NoList"/>
    <w:semiHidden/>
    <w:unhideWhenUsed/>
    <w:rsid w:val="005150E5"/>
  </w:style>
  <w:style w:type="numbering" w:customStyle="1" w:styleId="11121">
    <w:name w:val="Нет списка11121"/>
    <w:next w:val="NoList"/>
    <w:semiHidden/>
    <w:unhideWhenUsed/>
    <w:rsid w:val="005150E5"/>
  </w:style>
  <w:style w:type="numbering" w:customStyle="1" w:styleId="NoList4112">
    <w:name w:val="No List4112"/>
    <w:next w:val="NoList"/>
    <w:semiHidden/>
    <w:rsid w:val="005150E5"/>
  </w:style>
  <w:style w:type="numbering" w:customStyle="1" w:styleId="NoList111113">
    <w:name w:val="No List111113"/>
    <w:next w:val="NoList"/>
    <w:semiHidden/>
    <w:unhideWhenUsed/>
    <w:rsid w:val="005150E5"/>
  </w:style>
  <w:style w:type="numbering" w:customStyle="1" w:styleId="111111">
    <w:name w:val="Нет списка111111"/>
    <w:next w:val="NoList"/>
    <w:semiHidden/>
    <w:unhideWhenUsed/>
    <w:rsid w:val="005150E5"/>
  </w:style>
  <w:style w:type="paragraph" w:customStyle="1" w:styleId="CharChar37">
    <w:name w:val="Char Char37"/>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BodyText23">
    <w:name w:val="Body Text2"/>
    <w:basedOn w:val="Normal"/>
    <w:rsid w:val="005150E5"/>
    <w:pPr>
      <w:tabs>
        <w:tab w:val="num" w:pos="0"/>
      </w:tabs>
      <w:spacing w:before="0" w:after="240" w:line="240" w:lineRule="auto"/>
      <w:ind w:firstLine="0"/>
      <w:contextualSpacing w:val="0"/>
    </w:pPr>
    <w:rPr>
      <w:rFonts w:ascii="Times Armenian" w:hAnsi="Times Armenian"/>
      <w:b w:val="0"/>
      <w:sz w:val="24"/>
      <w:lang w:val="en-US"/>
    </w:rPr>
  </w:style>
  <w:style w:type="paragraph" w:customStyle="1" w:styleId="Znak2">
    <w:name w:val="Znak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Char2">
    <w:name w:val="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CharChar5">
    <w:name w:val="Char Char Char Char Знак Char Знак Char Char Char Char Char Char Char Char Char Char5"/>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2">
    <w:name w:val="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2">
    <w:name w:val="Знак Знак Char2"/>
    <w:link w:val="5"/>
    <w:rsid w:val="005150E5"/>
    <w:rPr>
      <w:rFonts w:ascii="Arial" w:hAnsi="Arial" w:cs="Arial"/>
      <w:b/>
    </w:rPr>
  </w:style>
  <w:style w:type="paragraph" w:customStyle="1" w:styleId="CharCharCharCharCharCharCharCharCharChar2">
    <w:name w:val="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2">
    <w:name w:val="Char Char Char 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CharChar2">
    <w:name w:val="Знак Знак1 Char Char Знак Знак2"/>
    <w:basedOn w:val="Normal"/>
    <w:rsid w:val="005150E5"/>
    <w:pPr>
      <w:tabs>
        <w:tab w:val="num" w:pos="840"/>
      </w:tabs>
      <w:spacing w:before="0" w:after="160" w:line="240" w:lineRule="exact"/>
      <w:ind w:left="840" w:hanging="360"/>
      <w:contextualSpacing w:val="0"/>
    </w:pPr>
    <w:rPr>
      <w:rFonts w:ascii="Verdana" w:hAnsi="Verdana"/>
      <w:b w:val="0"/>
      <w:sz w:val="20"/>
      <w:szCs w:val="20"/>
      <w:lang w:eastAsia="en-US"/>
    </w:rPr>
  </w:style>
  <w:style w:type="paragraph" w:customStyle="1" w:styleId="CharCharCharChar2">
    <w:name w:val="Знак Знак Char Char Знак Знак Char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21">
    <w:name w:val="Знак Знак Знак Знак Знак Знак Знак Знак Знак Знак Знак Знак Знак Знак Знак Знак Знак Знак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CharChar21">
    <w:name w:val="Char Char Char Знак2"/>
    <w:basedOn w:val="Normal"/>
    <w:next w:val="Normal"/>
    <w:rsid w:val="005150E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CharChar1Char2">
    <w:name w:val="Char Char Char1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24">
    <w:name w:val="Знак Знак12"/>
    <w:basedOn w:val="Normal"/>
    <w:rsid w:val="005150E5"/>
    <w:pPr>
      <w:spacing w:before="0" w:after="160" w:line="240" w:lineRule="exact"/>
      <w:ind w:firstLine="0"/>
      <w:contextualSpacing w:val="0"/>
      <w:jc w:val="left"/>
    </w:pPr>
    <w:rPr>
      <w:rFonts w:ascii="Arial" w:eastAsia="MS Mincho" w:hAnsi="Arial" w:cs="Arial"/>
      <w:b w:val="0"/>
      <w:sz w:val="20"/>
      <w:szCs w:val="20"/>
      <w:lang w:val="en-US" w:eastAsia="en-US"/>
    </w:rPr>
  </w:style>
  <w:style w:type="paragraph" w:customStyle="1" w:styleId="CharChar1CharCharChar1Char2">
    <w:name w:val="Char Char1 Char Char Char1 Char2"/>
    <w:basedOn w:val="Normal"/>
    <w:autoRedefine/>
    <w:rsid w:val="005150E5"/>
    <w:pPr>
      <w:spacing w:before="0" w:line="240" w:lineRule="auto"/>
      <w:ind w:firstLine="0"/>
      <w:contextualSpacing w:val="0"/>
      <w:jc w:val="left"/>
    </w:pPr>
    <w:rPr>
      <w:rFonts w:ascii="Times New Roman" w:eastAsia="SimSun" w:hAnsi="Times New Roman"/>
      <w:b w:val="0"/>
      <w:sz w:val="20"/>
      <w:szCs w:val="20"/>
      <w:lang w:val="en-US"/>
    </w:rPr>
  </w:style>
  <w:style w:type="paragraph" w:customStyle="1" w:styleId="420">
    <w:name w:val="Знак Знак4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22">
    <w:name w:val="Знак Char Знак2"/>
    <w:basedOn w:val="Normal"/>
    <w:rsid w:val="005150E5"/>
    <w:pPr>
      <w:spacing w:before="0" w:after="160" w:line="240" w:lineRule="exact"/>
      <w:ind w:firstLine="0"/>
      <w:contextualSpacing w:val="0"/>
      <w:jc w:val="left"/>
    </w:pPr>
    <w:rPr>
      <w:rFonts w:ascii="Arial" w:eastAsia="Batang" w:hAnsi="Arial" w:cs="Arial"/>
      <w:b w:val="0"/>
      <w:sz w:val="20"/>
      <w:szCs w:val="20"/>
      <w:lang w:val="en-US" w:eastAsia="en-US"/>
    </w:rPr>
  </w:style>
  <w:style w:type="paragraph" w:customStyle="1" w:styleId="CharCharCharCharCharChar20">
    <w:name w:val="Знак Знак Char Char Знак Знак Char Char Знак Знак Char Char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220">
    <w:name w:val="Знак Знак2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20">
    <w:name w:val="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Char52">
    <w:name w:val="Char Char52"/>
    <w:rsid w:val="005150E5"/>
    <w:rPr>
      <w:rFonts w:ascii="Arial Armenian" w:hAnsi="Arial Armenian" w:cs="Sylfaen"/>
      <w:sz w:val="24"/>
      <w:szCs w:val="24"/>
      <w:lang w:val="ru-RU" w:eastAsia="ru-RU"/>
    </w:rPr>
  </w:style>
  <w:style w:type="paragraph" w:customStyle="1" w:styleId="CharCharCharCharCharChar10">
    <w:name w:val="Char Char Char Char Char Char1"/>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1100">
    <w:name w:val="Char Char110"/>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2d">
    <w:name w:val="Знак2"/>
    <w:basedOn w:val="Normal"/>
    <w:rsid w:val="005150E5"/>
    <w:pPr>
      <w:spacing w:before="0" w:after="160" w:line="240" w:lineRule="exact"/>
      <w:ind w:firstLine="0"/>
      <w:contextualSpacing w:val="0"/>
      <w:jc w:val="left"/>
    </w:pPr>
    <w:rPr>
      <w:rFonts w:ascii="Arial" w:hAnsi="Arial" w:cs="Arial"/>
      <w:b w:val="0"/>
      <w:sz w:val="20"/>
      <w:szCs w:val="20"/>
      <w:lang w:val="en-GB" w:eastAsia="en-US"/>
    </w:rPr>
  </w:style>
  <w:style w:type="character" w:customStyle="1" w:styleId="CharChar281">
    <w:name w:val="Char Char281"/>
    <w:rsid w:val="005150E5"/>
    <w:rPr>
      <w:rFonts w:ascii="Arial Armenian" w:hAnsi="Arial Armenian"/>
      <w:i/>
      <w:sz w:val="22"/>
      <w:u w:val="single"/>
      <w:lang w:val="en-GB"/>
    </w:rPr>
  </w:style>
  <w:style w:type="character" w:customStyle="1" w:styleId="CharChar271">
    <w:name w:val="Char Char271"/>
    <w:rsid w:val="005150E5"/>
    <w:rPr>
      <w:rFonts w:ascii="Garamond" w:hAnsi="Garamond"/>
      <w:i/>
      <w:spacing w:val="-5"/>
      <w:sz w:val="28"/>
      <w:shd w:val="pct5" w:color="auto" w:fill="auto"/>
      <w:lang w:val="en-GB"/>
    </w:rPr>
  </w:style>
  <w:style w:type="character" w:customStyle="1" w:styleId="CharChar261">
    <w:name w:val="Char Char261"/>
    <w:rsid w:val="005150E5"/>
    <w:rPr>
      <w:rFonts w:ascii="Arial Black" w:hAnsi="Arial Black"/>
      <w:caps/>
      <w:spacing w:val="60"/>
      <w:position w:val="4"/>
      <w:sz w:val="14"/>
      <w:lang w:val="en-GB"/>
    </w:rPr>
  </w:style>
  <w:style w:type="character" w:customStyle="1" w:styleId="CharChar251">
    <w:name w:val="Char Char251"/>
    <w:rsid w:val="005150E5"/>
    <w:rPr>
      <w:rFonts w:ascii="Garamond" w:hAnsi="Garamond"/>
      <w:b/>
      <w:i/>
      <w:kern w:val="28"/>
      <w:lang w:val="en-GB"/>
    </w:rPr>
  </w:style>
  <w:style w:type="character" w:customStyle="1" w:styleId="CharChar351">
    <w:name w:val="Char Char351"/>
    <w:rsid w:val="005150E5"/>
    <w:rPr>
      <w:rFonts w:ascii="Arial Armenian" w:hAnsi="Arial Armenian"/>
      <w:i/>
      <w:sz w:val="22"/>
      <w:u w:val="single"/>
      <w:lang w:val="en-GB"/>
    </w:rPr>
  </w:style>
  <w:style w:type="character" w:customStyle="1" w:styleId="CharChar341">
    <w:name w:val="Char Char341"/>
    <w:rsid w:val="005150E5"/>
    <w:rPr>
      <w:rFonts w:ascii="Garamond" w:hAnsi="Garamond"/>
      <w:i/>
      <w:spacing w:val="-5"/>
      <w:sz w:val="28"/>
      <w:shd w:val="pct5" w:color="auto" w:fill="auto"/>
      <w:lang w:val="en-GB"/>
    </w:rPr>
  </w:style>
  <w:style w:type="character" w:customStyle="1" w:styleId="CharChar331">
    <w:name w:val="Char Char331"/>
    <w:rsid w:val="005150E5"/>
    <w:rPr>
      <w:rFonts w:ascii="Arial Black" w:hAnsi="Arial Black"/>
      <w:caps/>
      <w:spacing w:val="60"/>
      <w:position w:val="4"/>
      <w:sz w:val="14"/>
      <w:lang w:val="en-GB"/>
    </w:rPr>
  </w:style>
  <w:style w:type="character" w:customStyle="1" w:styleId="CharChar321">
    <w:name w:val="Char Char321"/>
    <w:rsid w:val="005150E5"/>
    <w:rPr>
      <w:rFonts w:ascii="Garamond" w:hAnsi="Garamond"/>
      <w:b/>
      <w:i/>
      <w:kern w:val="28"/>
      <w:lang w:val="en-GB"/>
    </w:rPr>
  </w:style>
  <w:style w:type="character" w:customStyle="1" w:styleId="CharChar311">
    <w:name w:val="Char Char311"/>
    <w:rsid w:val="005150E5"/>
    <w:rPr>
      <w:rFonts w:ascii="Arial Armenian" w:hAnsi="Arial Armenian"/>
      <w:noProof/>
      <w:lang w:val="en-US" w:eastAsia="en-US" w:bidi="ar-SA"/>
    </w:rPr>
  </w:style>
  <w:style w:type="character" w:customStyle="1" w:styleId="CharChar301">
    <w:name w:val="Char Char301"/>
    <w:rsid w:val="005150E5"/>
    <w:rPr>
      <w:rFonts w:ascii="Arial Armenian" w:hAnsi="Arial Armenian"/>
      <w:lang w:val="en-GB" w:eastAsia="en-US" w:bidi="ar-SA"/>
    </w:rPr>
  </w:style>
  <w:style w:type="character" w:customStyle="1" w:styleId="CharChar291">
    <w:name w:val="Char Char291"/>
    <w:rsid w:val="005150E5"/>
    <w:rPr>
      <w:rFonts w:ascii="Arial Armenian" w:hAnsi="Arial Armenian"/>
      <w:lang w:val="ru-RU" w:eastAsia="ru-RU" w:bidi="ar-SA"/>
    </w:rPr>
  </w:style>
  <w:style w:type="paragraph" w:customStyle="1" w:styleId="CharChar5CharCharCharCharCharChar1">
    <w:name w:val="Char Char5 Char Char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CharChar1">
    <w:name w:val="Char Char5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1">
    <w:name w:val="Char Char5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61">
    <w:name w:val="Char Char61"/>
    <w:locked/>
    <w:rsid w:val="005150E5"/>
    <w:rPr>
      <w:rFonts w:ascii="Times LatArm" w:eastAsia="Calibri" w:hAnsi="Times LatArm" w:cs="Times LatArm"/>
      <w:sz w:val="22"/>
      <w:szCs w:val="22"/>
      <w:lang w:val="en-GB" w:eastAsia="en-US" w:bidi="ar-SA"/>
    </w:rPr>
  </w:style>
  <w:style w:type="character" w:customStyle="1" w:styleId="CharChar81">
    <w:name w:val="Char Char81"/>
    <w:locked/>
    <w:rsid w:val="005150E5"/>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5150E5"/>
    <w:rPr>
      <w:rFonts w:ascii="Courier New" w:eastAsia="Calibri" w:hAnsi="Courier New" w:cs="Courier New"/>
      <w:lang w:val="en-US" w:eastAsia="en-US" w:bidi="ar-SA"/>
    </w:rPr>
  </w:style>
  <w:style w:type="character" w:customStyle="1" w:styleId="CharChar41">
    <w:name w:val="Char Char41"/>
    <w:locked/>
    <w:rsid w:val="005150E5"/>
    <w:rPr>
      <w:rFonts w:eastAsia="Calibri"/>
      <w:sz w:val="22"/>
      <w:szCs w:val="22"/>
      <w:lang w:val="en-GB" w:eastAsia="en-US" w:bidi="ar-SA"/>
    </w:rPr>
  </w:style>
  <w:style w:type="character" w:customStyle="1" w:styleId="CharChar36">
    <w:name w:val="Char Char36"/>
    <w:locked/>
    <w:rsid w:val="005150E5"/>
    <w:rPr>
      <w:rFonts w:eastAsia="Calibri"/>
      <w:sz w:val="22"/>
      <w:szCs w:val="22"/>
      <w:lang w:val="en-GB" w:eastAsia="en-US" w:bidi="ar-SA"/>
    </w:rPr>
  </w:style>
  <w:style w:type="character" w:customStyle="1" w:styleId="CharChar210">
    <w:name w:val="Char Char210"/>
    <w:locked/>
    <w:rsid w:val="005150E5"/>
    <w:rPr>
      <w:rFonts w:ascii="Times Armenian" w:eastAsia="Calibri" w:hAnsi="Times Armenian" w:cs="Times Armenian"/>
      <w:b/>
      <w:bCs/>
      <w:sz w:val="22"/>
      <w:szCs w:val="22"/>
      <w:lang w:val="en-US" w:eastAsia="en-US" w:bidi="ar-SA"/>
    </w:rPr>
  </w:style>
  <w:style w:type="table" w:customStyle="1" w:styleId="TableGrid63">
    <w:name w:val="Table Grid63"/>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
    <w:name w:val="Table Grid22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0E5"/>
    <w:rPr>
      <w:color w:val="605E5C"/>
      <w:shd w:val="clear" w:color="auto" w:fill="E1DFDD"/>
    </w:rPr>
  </w:style>
  <w:style w:type="table" w:customStyle="1" w:styleId="GridTable1Light-Accent11">
    <w:name w:val="Grid Table 1 Light - Accent 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eading5Char2">
    <w:name w:val="Heading 5 Char2"/>
    <w:basedOn w:val="DefaultParagraphFont"/>
    <w:uiPriority w:val="9"/>
    <w:semiHidden/>
    <w:rsid w:val="005150E5"/>
    <w:rPr>
      <w:rFonts w:ascii="Calibri Light" w:eastAsia="Times New Roman" w:hAnsi="Calibri Light" w:cs="Times New Roman"/>
      <w:color w:val="2E74B5"/>
      <w:sz w:val="24"/>
      <w:szCs w:val="24"/>
    </w:rPr>
  </w:style>
  <w:style w:type="character" w:customStyle="1" w:styleId="Heading6Char2">
    <w:name w:val="Heading 6 Char2"/>
    <w:basedOn w:val="DefaultParagraphFont"/>
    <w:uiPriority w:val="9"/>
    <w:semiHidden/>
    <w:rsid w:val="005150E5"/>
    <w:rPr>
      <w:rFonts w:ascii="Calibri Light" w:eastAsia="Times New Roman" w:hAnsi="Calibri Light" w:cs="Times New Roman"/>
      <w:color w:val="1F4D78"/>
      <w:sz w:val="24"/>
      <w:szCs w:val="24"/>
    </w:rPr>
  </w:style>
  <w:style w:type="character" w:customStyle="1" w:styleId="Heading7Char2">
    <w:name w:val="Heading 7 Char2"/>
    <w:basedOn w:val="DefaultParagraphFont"/>
    <w:uiPriority w:val="9"/>
    <w:semiHidden/>
    <w:rsid w:val="005150E5"/>
    <w:rPr>
      <w:rFonts w:ascii="Calibri Light" w:eastAsia="Times New Roman" w:hAnsi="Calibri Light" w:cs="Times New Roman"/>
      <w:i/>
      <w:iCs/>
      <w:color w:val="1F4D78"/>
      <w:sz w:val="24"/>
      <w:szCs w:val="24"/>
    </w:rPr>
  </w:style>
  <w:style w:type="character" w:customStyle="1" w:styleId="Heading8Char2">
    <w:name w:val="Heading 8 Char2"/>
    <w:basedOn w:val="DefaultParagraphFont"/>
    <w:uiPriority w:val="9"/>
    <w:semiHidden/>
    <w:rsid w:val="005150E5"/>
    <w:rPr>
      <w:rFonts w:ascii="Calibri Light" w:eastAsia="Times New Roman" w:hAnsi="Calibri Light" w:cs="Times New Roman"/>
      <w:color w:val="272727"/>
      <w:sz w:val="21"/>
      <w:szCs w:val="21"/>
    </w:rPr>
  </w:style>
  <w:style w:type="character" w:customStyle="1" w:styleId="Heading9Char2">
    <w:name w:val="Heading 9 Char2"/>
    <w:basedOn w:val="DefaultParagraphFont"/>
    <w:uiPriority w:val="9"/>
    <w:semiHidden/>
    <w:rsid w:val="005150E5"/>
    <w:rPr>
      <w:rFonts w:ascii="Calibri Light" w:eastAsia="Times New Roman" w:hAnsi="Calibri Light" w:cs="Times New Roman"/>
      <w:i/>
      <w:iCs/>
      <w:color w:val="272727"/>
      <w:sz w:val="21"/>
      <w:szCs w:val="21"/>
    </w:rPr>
  </w:style>
  <w:style w:type="character" w:customStyle="1" w:styleId="BodyTextIndent3Char2">
    <w:name w:val="Body Text Indent 3 Char2"/>
    <w:basedOn w:val="DefaultParagraphFont"/>
    <w:uiPriority w:val="99"/>
    <w:rsid w:val="005150E5"/>
    <w:rPr>
      <w:rFonts w:ascii="Times New Roman" w:eastAsia="Times New Roman" w:hAnsi="Times New Roman" w:cs="Times New Roman"/>
      <w:sz w:val="16"/>
      <w:szCs w:val="16"/>
    </w:rPr>
  </w:style>
  <w:style w:type="character" w:customStyle="1" w:styleId="BodyTextIndent2Char2">
    <w:name w:val="Body Text Indent 2 Char2"/>
    <w:basedOn w:val="DefaultParagraphFont"/>
    <w:uiPriority w:val="99"/>
    <w:rsid w:val="005150E5"/>
    <w:rPr>
      <w:rFonts w:ascii="Times New Roman" w:eastAsia="Times New Roman" w:hAnsi="Times New Roman" w:cs="Times New Roman"/>
      <w:sz w:val="24"/>
      <w:szCs w:val="24"/>
    </w:rPr>
  </w:style>
  <w:style w:type="character" w:customStyle="1" w:styleId="BodyText3Char2">
    <w:name w:val="Body Text 3 Char2"/>
    <w:basedOn w:val="DefaultParagraphFont"/>
    <w:uiPriority w:val="99"/>
    <w:rsid w:val="005150E5"/>
    <w:rPr>
      <w:rFonts w:ascii="Times New Roman" w:eastAsia="Times New Roman" w:hAnsi="Times New Roman" w:cs="Times New Roman"/>
      <w:sz w:val="16"/>
      <w:szCs w:val="16"/>
    </w:rPr>
  </w:style>
  <w:style w:type="character" w:customStyle="1" w:styleId="EndnoteTextChar2">
    <w:name w:val="Endnote Text Char2"/>
    <w:basedOn w:val="DefaultParagraphFont"/>
    <w:uiPriority w:val="99"/>
    <w:rsid w:val="005150E5"/>
    <w:rPr>
      <w:rFonts w:ascii="Times New Roman" w:eastAsia="Times New Roman" w:hAnsi="Times New Roman" w:cs="Times New Roman"/>
      <w:sz w:val="20"/>
      <w:szCs w:val="20"/>
    </w:rPr>
  </w:style>
  <w:style w:type="character" w:customStyle="1" w:styleId="TitleChar2">
    <w:name w:val="Title Char2"/>
    <w:basedOn w:val="DefaultParagraphFont"/>
    <w:uiPriority w:val="10"/>
    <w:rsid w:val="005150E5"/>
    <w:rPr>
      <w:rFonts w:ascii="Calibri Light" w:eastAsia="Times New Roman" w:hAnsi="Calibri Light" w:cs="Times New Roman"/>
      <w:spacing w:val="-10"/>
      <w:kern w:val="28"/>
      <w:sz w:val="56"/>
      <w:szCs w:val="56"/>
    </w:rPr>
  </w:style>
  <w:style w:type="character" w:customStyle="1" w:styleId="PlainTextChar2">
    <w:name w:val="Plain Text Char2"/>
    <w:basedOn w:val="DefaultParagraphFont"/>
    <w:uiPriority w:val="99"/>
    <w:rsid w:val="005150E5"/>
    <w:rPr>
      <w:rFonts w:ascii="Consolas" w:eastAsia="Times New Roman" w:hAnsi="Consolas" w:cs="Times New Roman"/>
      <w:sz w:val="21"/>
      <w:szCs w:val="21"/>
    </w:rPr>
  </w:style>
  <w:style w:type="table" w:customStyle="1" w:styleId="TableList78">
    <w:name w:val="Table List 78"/>
    <w:basedOn w:val="TableNormal"/>
    <w:next w:val="TableList7"/>
    <w:uiPriority w:val="99"/>
    <w:semiHidden/>
    <w:unhideWhenUsed/>
    <w:rsid w:val="005150E5"/>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
    <w:name w:val="Table Web 38"/>
    <w:basedOn w:val="TableNormal"/>
    <w:next w:val="TableWeb3"/>
    <w:uiPriority w:val="99"/>
    <w:semiHidden/>
    <w:unhideWhenUsed/>
    <w:rsid w:val="005150E5"/>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
    <w:name w:val="Table Elegant8"/>
    <w:basedOn w:val="TableNormal"/>
    <w:next w:val="TableElegant"/>
    <w:uiPriority w:val="99"/>
    <w:semiHidden/>
    <w:unhideWhenUsed/>
    <w:rsid w:val="005150E5"/>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ubtitleChar3">
    <w:name w:val="Subtitle Char3"/>
    <w:basedOn w:val="DefaultParagraphFont"/>
    <w:uiPriority w:val="11"/>
    <w:rsid w:val="005150E5"/>
    <w:rPr>
      <w:rFonts w:eastAsia="Times New Roman"/>
      <w:color w:val="5A5A5A"/>
      <w:spacing w:val="15"/>
    </w:rPr>
  </w:style>
  <w:style w:type="table" w:customStyle="1" w:styleId="TableWeb28">
    <w:name w:val="Table Web 28"/>
    <w:basedOn w:val="TableNormal"/>
    <w:next w:val="TableWeb2"/>
    <w:uiPriority w:val="99"/>
    <w:semiHidden/>
    <w:unhideWhenUsed/>
    <w:rsid w:val="005150E5"/>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
    <w:name w:val="Table Web 18"/>
    <w:basedOn w:val="TableNormal"/>
    <w:next w:val="TableWeb1"/>
    <w:uiPriority w:val="99"/>
    <w:semiHidden/>
    <w:unhideWhenUsed/>
    <w:rsid w:val="005150E5"/>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dyTextFirstIndentChar3">
    <w:name w:val="Body Text First Indent Char3"/>
    <w:basedOn w:val="BodyTextChar1"/>
    <w:uiPriority w:val="99"/>
    <w:rsid w:val="005150E5"/>
    <w:rPr>
      <w:rFonts w:ascii="Times New Roman" w:eastAsia="Times New Roman" w:hAnsi="Times New Roman" w:cs="Times New Roman"/>
      <w:sz w:val="24"/>
      <w:szCs w:val="24"/>
    </w:rPr>
  </w:style>
  <w:style w:type="table" w:customStyle="1" w:styleId="TableGrid88">
    <w:name w:val="Table Grid 88"/>
    <w:basedOn w:val="TableNormal"/>
    <w:next w:val="TableGrid8"/>
    <w:uiPriority w:val="99"/>
    <w:semiHidden/>
    <w:unhideWhenUsed/>
    <w:rsid w:val="005150E5"/>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
    <w:name w:val="Table Contemporary8"/>
    <w:basedOn w:val="TableNormal"/>
    <w:next w:val="TableContemporary"/>
    <w:uiPriority w:val="99"/>
    <w:semiHidden/>
    <w:unhideWhenUsed/>
    <w:rsid w:val="005150E5"/>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DocumentMapChar2">
    <w:name w:val="Document Map Char2"/>
    <w:basedOn w:val="DefaultParagraphFont"/>
    <w:uiPriority w:val="99"/>
    <w:rsid w:val="005150E5"/>
    <w:rPr>
      <w:rFonts w:ascii="Segoe UI" w:eastAsia="Times New Roman" w:hAnsi="Segoe UI" w:cs="Segoe UI"/>
      <w:sz w:val="16"/>
      <w:szCs w:val="16"/>
    </w:rPr>
  </w:style>
  <w:style w:type="character" w:customStyle="1" w:styleId="QuoteChar1">
    <w:name w:val="Quote Char1"/>
    <w:basedOn w:val="DefaultParagraphFont"/>
    <w:uiPriority w:val="29"/>
    <w:rsid w:val="005150E5"/>
    <w:rPr>
      <w:rFonts w:ascii="Times New Roman" w:eastAsia="Times New Roman" w:hAnsi="Times New Roman" w:cs="Times New Roman"/>
      <w:i/>
      <w:iCs/>
      <w:color w:val="404040"/>
      <w:sz w:val="24"/>
      <w:szCs w:val="24"/>
    </w:rPr>
  </w:style>
  <w:style w:type="table" w:customStyle="1" w:styleId="LightList-Accent127">
    <w:name w:val="Light List - Accent 127"/>
    <w:basedOn w:val="TableNormal"/>
    <w:next w:val="LightList-Accent1"/>
    <w:uiPriority w:val="61"/>
    <w:semiHidden/>
    <w:unhideWhenUsed/>
    <w:rsid w:val="005150E5"/>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
    <w:name w:val="Table Grid 78"/>
    <w:basedOn w:val="TableNormal"/>
    <w:next w:val="TableGrid7"/>
    <w:uiPriority w:val="99"/>
    <w:semiHidden/>
    <w:unhideWhenUsed/>
    <w:rsid w:val="005150E5"/>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
    <w:name w:val="Colorful Grid - Accent 19"/>
    <w:basedOn w:val="TableNormal"/>
    <w:next w:val="ColorfulGrid-Accent1"/>
    <w:uiPriority w:val="73"/>
    <w:semiHidden/>
    <w:unhideWhenUsed/>
    <w:rsid w:val="005150E5"/>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
    <w:name w:val="Light List - Accent 510"/>
    <w:basedOn w:val="TableNormal"/>
    <w:next w:val="LightList-Accent5"/>
    <w:uiPriority w:val="61"/>
    <w:semiHidden/>
    <w:unhideWhenUsed/>
    <w:rsid w:val="005150E5"/>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
    <w:name w:val="Table Simple 38"/>
    <w:basedOn w:val="TableNormal"/>
    <w:next w:val="TableSimple3"/>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
    <w:name w:val="Table Grid 58"/>
    <w:basedOn w:val="TableNormal"/>
    <w:next w:val="TableGrid5"/>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
    <w:name w:val="Table Grid 38"/>
    <w:basedOn w:val="TableNormal"/>
    <w:next w:val="TableGrid3"/>
    <w:uiPriority w:val="99"/>
    <w:semiHidden/>
    <w:unhideWhenUsed/>
    <w:rsid w:val="005150E5"/>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0">
    <w:name w:val="Table Grid 18"/>
    <w:basedOn w:val="TableNormal"/>
    <w:next w:val="TableGrid10"/>
    <w:uiPriority w:val="99"/>
    <w:semiHidden/>
    <w:unhideWhenUsed/>
    <w:rsid w:val="005150E5"/>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
    <w:name w:val="Table Columns 58"/>
    <w:basedOn w:val="TableNormal"/>
    <w:next w:val="TableColumns5"/>
    <w:uiPriority w:val="99"/>
    <w:semiHidden/>
    <w:unhideWhenUsed/>
    <w:rsid w:val="005150E5"/>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IntenseQuoteChar1">
    <w:name w:val="Intense Quote Char1"/>
    <w:basedOn w:val="DefaultParagraphFont"/>
    <w:uiPriority w:val="30"/>
    <w:rsid w:val="005150E5"/>
    <w:rPr>
      <w:rFonts w:ascii="Times New Roman" w:eastAsia="Times New Roman" w:hAnsi="Times New Roman" w:cs="Times New Roman"/>
      <w:i/>
      <w:iCs/>
      <w:color w:val="5B9BD5"/>
      <w:sz w:val="24"/>
      <w:szCs w:val="24"/>
    </w:rPr>
  </w:style>
  <w:style w:type="table" w:customStyle="1" w:styleId="Table3Deffects38">
    <w:name w:val="Table 3D effects 38"/>
    <w:basedOn w:val="TableNormal"/>
    <w:next w:val="Table3Deffects3"/>
    <w:uiPriority w:val="99"/>
    <w:semiHidden/>
    <w:unhideWhenUsed/>
    <w:rsid w:val="005150E5"/>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z-TopofFormChar1">
    <w:name w:val="z-Top of Form Char1"/>
    <w:basedOn w:val="DefaultParagraphFont"/>
    <w:uiPriority w:val="99"/>
    <w:semiHidden/>
    <w:rsid w:val="005150E5"/>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5150E5"/>
    <w:rPr>
      <w:rFonts w:ascii="Arial" w:eastAsia="Times New Roman" w:hAnsi="Arial" w:cs="Arial"/>
      <w:vanish/>
      <w:sz w:val="16"/>
      <w:szCs w:val="16"/>
    </w:rPr>
  </w:style>
  <w:style w:type="character" w:customStyle="1" w:styleId="HTMLPreformattedChar1">
    <w:name w:val="HTML Preformatted Char1"/>
    <w:basedOn w:val="DefaultParagraphFont"/>
    <w:uiPriority w:val="99"/>
    <w:rsid w:val="005150E5"/>
    <w:rPr>
      <w:rFonts w:ascii="Consolas" w:eastAsia="Times New Roman" w:hAnsi="Consolas" w:cs="Times New Roman"/>
      <w:sz w:val="20"/>
      <w:szCs w:val="20"/>
    </w:rPr>
  </w:style>
  <w:style w:type="numbering" w:customStyle="1" w:styleId="NoList153">
    <w:name w:val="No List153"/>
    <w:next w:val="NoList"/>
    <w:uiPriority w:val="99"/>
    <w:semiHidden/>
    <w:unhideWhenUsed/>
    <w:rsid w:val="005150E5"/>
  </w:style>
  <w:style w:type="table" w:customStyle="1" w:styleId="TableGrid123">
    <w:name w:val="Table Grid123"/>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2">
    <w:name w:val="TOC 42"/>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2">
    <w:name w:val="TOC 52"/>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OC62">
    <w:name w:val="TOC 62"/>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2">
    <w:name w:val="TOC 72"/>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2">
    <w:name w:val="TOC 82"/>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2">
    <w:name w:val="TOC 92"/>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23">
    <w:name w:val="Table List 72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3">
    <w:name w:val="Table Web 32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3">
    <w:name w:val="Table Elegant2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3">
    <w:name w:val="Table Web 23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3">
    <w:name w:val="Table Web 13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3">
    <w:name w:val="Table Grid 83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3">
    <w:name w:val="Table Contemporary3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3">
    <w:name w:val="No List163"/>
    <w:next w:val="NoList"/>
    <w:semiHidden/>
    <w:unhideWhenUsed/>
    <w:rsid w:val="005150E5"/>
  </w:style>
  <w:style w:type="numbering" w:customStyle="1" w:styleId="NoList233">
    <w:name w:val="No List233"/>
    <w:next w:val="NoList"/>
    <w:semiHidden/>
    <w:unhideWhenUsed/>
    <w:rsid w:val="005150E5"/>
  </w:style>
  <w:style w:type="numbering" w:customStyle="1" w:styleId="NoList333">
    <w:name w:val="No List333"/>
    <w:next w:val="NoList"/>
    <w:semiHidden/>
    <w:unhideWhenUsed/>
    <w:rsid w:val="005150E5"/>
  </w:style>
  <w:style w:type="table" w:customStyle="1" w:styleId="LightList-Accent133">
    <w:name w:val="Light List - Accent 13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3">
    <w:name w:val="Table Grid 72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3">
    <w:name w:val="Colorful Grid - Accent 14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3">
    <w:name w:val="Light List - Accent 54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3">
    <w:name w:val="Table Simple 32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3">
    <w:name w:val="Table Grid 52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3">
    <w:name w:val="Table Grid 32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30">
    <w:name w:val="Table Grid 12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3">
    <w:name w:val="Light List - Accent 1123"/>
    <w:basedOn w:val="TableNormal"/>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3">
    <w:name w:val="Нет списка143"/>
    <w:next w:val="NoList"/>
    <w:semiHidden/>
    <w:unhideWhenUsed/>
    <w:rsid w:val="005150E5"/>
  </w:style>
  <w:style w:type="table" w:customStyle="1" w:styleId="ColorfulGrid-Accent1123">
    <w:name w:val="Colorful Grid - Accent 1123"/>
    <w:basedOn w:val="TableNormal"/>
    <w:rsid w:val="005150E5"/>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3">
    <w:name w:val="Light List - Accent 5123"/>
    <w:basedOn w:val="TableNormal"/>
    <w:rsid w:val="005150E5"/>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3">
    <w:name w:val="No List433"/>
    <w:next w:val="NoList"/>
    <w:semiHidden/>
    <w:rsid w:val="005150E5"/>
  </w:style>
  <w:style w:type="numbering" w:customStyle="1" w:styleId="NoList1133">
    <w:name w:val="No List1133"/>
    <w:next w:val="NoList"/>
    <w:semiHidden/>
    <w:unhideWhenUsed/>
    <w:rsid w:val="005150E5"/>
  </w:style>
  <w:style w:type="table" w:customStyle="1" w:styleId="Table3Deffects323">
    <w:name w:val="Table 3D effects 32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NoList"/>
    <w:semiHidden/>
    <w:unhideWhenUsed/>
    <w:rsid w:val="005150E5"/>
  </w:style>
  <w:style w:type="table" w:customStyle="1" w:styleId="TableGrid133">
    <w:name w:val="Table Grid133"/>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
    <w:name w:val="No List523"/>
    <w:next w:val="NoList"/>
    <w:uiPriority w:val="99"/>
    <w:semiHidden/>
    <w:rsid w:val="005150E5"/>
  </w:style>
  <w:style w:type="numbering" w:customStyle="1" w:styleId="NoList621">
    <w:name w:val="No List621"/>
    <w:next w:val="NoList"/>
    <w:uiPriority w:val="99"/>
    <w:semiHidden/>
    <w:unhideWhenUsed/>
    <w:rsid w:val="005150E5"/>
  </w:style>
  <w:style w:type="table" w:customStyle="1" w:styleId="TableGrid232">
    <w:name w:val="Table Grid232"/>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1">
    <w:name w:val="No List721"/>
    <w:next w:val="NoList"/>
    <w:uiPriority w:val="99"/>
    <w:semiHidden/>
    <w:unhideWhenUsed/>
    <w:rsid w:val="005150E5"/>
  </w:style>
  <w:style w:type="numbering" w:customStyle="1" w:styleId="NoList1223">
    <w:name w:val="No List1223"/>
    <w:next w:val="NoList"/>
    <w:uiPriority w:val="99"/>
    <w:semiHidden/>
    <w:unhideWhenUsed/>
    <w:rsid w:val="005150E5"/>
  </w:style>
  <w:style w:type="table" w:customStyle="1" w:styleId="TableGrid3210">
    <w:name w:val="Table Grid32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
    <w:name w:val="Table Web 2121"/>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
    <w:name w:val="Table Web 1121"/>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
    <w:name w:val="Table Contemporary121"/>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
    <w:name w:val="Colorful Grid - Accent 1221"/>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
    <w:name w:val="Light List - Accent 5221"/>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
    <w:name w:val="No List821"/>
    <w:next w:val="NoList"/>
    <w:uiPriority w:val="99"/>
    <w:semiHidden/>
    <w:unhideWhenUsed/>
    <w:rsid w:val="005150E5"/>
  </w:style>
  <w:style w:type="numbering" w:customStyle="1" w:styleId="1221">
    <w:name w:val="Нет списка1221"/>
    <w:next w:val="NoList"/>
    <w:semiHidden/>
    <w:unhideWhenUsed/>
    <w:rsid w:val="005150E5"/>
  </w:style>
  <w:style w:type="numbering" w:customStyle="1" w:styleId="NoList1321">
    <w:name w:val="No List1321"/>
    <w:next w:val="NoList"/>
    <w:semiHidden/>
    <w:unhideWhenUsed/>
    <w:rsid w:val="005150E5"/>
  </w:style>
  <w:style w:type="numbering" w:customStyle="1" w:styleId="NoList2123">
    <w:name w:val="No List2123"/>
    <w:next w:val="NoList"/>
    <w:semiHidden/>
    <w:unhideWhenUsed/>
    <w:rsid w:val="005150E5"/>
  </w:style>
  <w:style w:type="numbering" w:customStyle="1" w:styleId="NoList3123">
    <w:name w:val="No List3123"/>
    <w:next w:val="NoList"/>
    <w:semiHidden/>
    <w:unhideWhenUsed/>
    <w:rsid w:val="005150E5"/>
  </w:style>
  <w:style w:type="numbering" w:customStyle="1" w:styleId="11131">
    <w:name w:val="Нет списка11131"/>
    <w:next w:val="NoList"/>
    <w:semiHidden/>
    <w:unhideWhenUsed/>
    <w:rsid w:val="005150E5"/>
  </w:style>
  <w:style w:type="numbering" w:customStyle="1" w:styleId="NoList4121">
    <w:name w:val="No List4121"/>
    <w:next w:val="NoList"/>
    <w:semiHidden/>
    <w:rsid w:val="005150E5"/>
  </w:style>
  <w:style w:type="numbering" w:customStyle="1" w:styleId="NoList11123">
    <w:name w:val="No List11123"/>
    <w:next w:val="NoList"/>
    <w:semiHidden/>
    <w:unhideWhenUsed/>
    <w:rsid w:val="005150E5"/>
  </w:style>
  <w:style w:type="numbering" w:customStyle="1" w:styleId="111121">
    <w:name w:val="Нет списка111121"/>
    <w:next w:val="NoList"/>
    <w:semiHidden/>
    <w:unhideWhenUsed/>
    <w:rsid w:val="005150E5"/>
  </w:style>
  <w:style w:type="numbering" w:customStyle="1" w:styleId="NoList912">
    <w:name w:val="No List912"/>
    <w:next w:val="NoList"/>
    <w:uiPriority w:val="99"/>
    <w:semiHidden/>
    <w:unhideWhenUsed/>
    <w:rsid w:val="005150E5"/>
  </w:style>
  <w:style w:type="table" w:customStyle="1" w:styleId="TableGrid421">
    <w:name w:val="Table Grid421"/>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012">
    <w:name w:val="No List1012"/>
    <w:next w:val="NoList"/>
    <w:uiPriority w:val="99"/>
    <w:semiHidden/>
    <w:unhideWhenUsed/>
    <w:rsid w:val="005150E5"/>
  </w:style>
  <w:style w:type="table" w:customStyle="1" w:styleId="TableGrid5120">
    <w:name w:val="Table Grid512"/>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
    <w:name w:val="Table List 7121"/>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
    <w:name w:val="Table Web 3121"/>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
    <w:name w:val="Table Elegant121"/>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2">
    <w:name w:val="Table Web 12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2">
    <w:name w:val="Table Grid 82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2">
    <w:name w:val="Table Contemporary2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2">
    <w:name w:val="No List1412"/>
    <w:next w:val="NoList"/>
    <w:semiHidden/>
    <w:unhideWhenUsed/>
    <w:rsid w:val="005150E5"/>
  </w:style>
  <w:style w:type="numbering" w:customStyle="1" w:styleId="NoList2212">
    <w:name w:val="No List2212"/>
    <w:next w:val="NoList"/>
    <w:semiHidden/>
    <w:unhideWhenUsed/>
    <w:rsid w:val="005150E5"/>
  </w:style>
  <w:style w:type="numbering" w:customStyle="1" w:styleId="NoList3212">
    <w:name w:val="No List3212"/>
    <w:next w:val="NoList"/>
    <w:semiHidden/>
    <w:unhideWhenUsed/>
    <w:rsid w:val="005150E5"/>
  </w:style>
  <w:style w:type="table" w:customStyle="1" w:styleId="LightList-Accent1212">
    <w:name w:val="Light List - Accent 12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1">
    <w:name w:val="Table Grid 7121"/>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2">
    <w:name w:val="Colorful Grid - Accent 13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2">
    <w:name w:val="Light List - Accent 53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1">
    <w:name w:val="Table Simple 3121"/>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
    <w:name w:val="Table Grid 5121"/>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
    <w:name w:val="Table Grid 3121"/>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
    <w:name w:val="Table Grid 1121"/>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
    <w:name w:val="Table Columns 5121"/>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2">
    <w:name w:val="Light List - Accent 111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2">
    <w:name w:val="Нет списка1312"/>
    <w:next w:val="NoList"/>
    <w:semiHidden/>
    <w:unhideWhenUsed/>
    <w:rsid w:val="005150E5"/>
  </w:style>
  <w:style w:type="table" w:customStyle="1" w:styleId="ColorfulGrid-Accent11112">
    <w:name w:val="Colorful Grid - Accent 11112"/>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2">
    <w:name w:val="Light List - Accent 51112"/>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2">
    <w:name w:val="No List4212"/>
    <w:next w:val="NoList"/>
    <w:semiHidden/>
    <w:rsid w:val="005150E5"/>
  </w:style>
  <w:style w:type="numbering" w:customStyle="1" w:styleId="NoList11213">
    <w:name w:val="No List11213"/>
    <w:next w:val="NoList"/>
    <w:semiHidden/>
    <w:unhideWhenUsed/>
    <w:rsid w:val="005150E5"/>
  </w:style>
  <w:style w:type="table" w:customStyle="1" w:styleId="Table3Deffects3121">
    <w:name w:val="Table 3D effects 3121"/>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2">
    <w:name w:val="Нет списка11212"/>
    <w:next w:val="NoList"/>
    <w:semiHidden/>
    <w:unhideWhenUsed/>
    <w:rsid w:val="005150E5"/>
  </w:style>
  <w:style w:type="table" w:customStyle="1" w:styleId="TableGrid11210">
    <w:name w:val="Table Grid1121"/>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2">
    <w:name w:val="No List5112"/>
    <w:next w:val="NoList"/>
    <w:uiPriority w:val="99"/>
    <w:semiHidden/>
    <w:rsid w:val="005150E5"/>
  </w:style>
  <w:style w:type="numbering" w:customStyle="1" w:styleId="NoList6111">
    <w:name w:val="No List6111"/>
    <w:next w:val="NoList"/>
    <w:uiPriority w:val="99"/>
    <w:semiHidden/>
    <w:unhideWhenUsed/>
    <w:rsid w:val="005150E5"/>
  </w:style>
  <w:style w:type="table" w:customStyle="1" w:styleId="TableGrid2112">
    <w:name w:val="Table Grid2112"/>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1">
    <w:name w:val="No List7111"/>
    <w:next w:val="NoList"/>
    <w:uiPriority w:val="99"/>
    <w:semiHidden/>
    <w:unhideWhenUsed/>
    <w:rsid w:val="005150E5"/>
  </w:style>
  <w:style w:type="numbering" w:customStyle="1" w:styleId="NoList12112">
    <w:name w:val="No List12112"/>
    <w:next w:val="NoList"/>
    <w:uiPriority w:val="99"/>
    <w:semiHidden/>
    <w:unhideWhenUsed/>
    <w:rsid w:val="005150E5"/>
  </w:style>
  <w:style w:type="table" w:customStyle="1" w:styleId="TableGrid31110">
    <w:name w:val="Table Grid3111"/>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
    <w:name w:val="Table Web 21111"/>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
    <w:name w:val="Table Web 11111"/>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
    <w:name w:val="Table Grid 81111"/>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
    <w:name w:val="Table Contemporary1111"/>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
    <w:name w:val="Colorful Grid - Accent 12111"/>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
    <w:name w:val="Light List - Accent 52111"/>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
    <w:name w:val="No List8111"/>
    <w:next w:val="NoList"/>
    <w:uiPriority w:val="99"/>
    <w:semiHidden/>
    <w:unhideWhenUsed/>
    <w:rsid w:val="005150E5"/>
  </w:style>
  <w:style w:type="numbering" w:customStyle="1" w:styleId="12111">
    <w:name w:val="Нет списка12111"/>
    <w:next w:val="NoList"/>
    <w:semiHidden/>
    <w:unhideWhenUsed/>
    <w:rsid w:val="005150E5"/>
  </w:style>
  <w:style w:type="numbering" w:customStyle="1" w:styleId="NoList13111">
    <w:name w:val="No List13111"/>
    <w:next w:val="NoList"/>
    <w:semiHidden/>
    <w:unhideWhenUsed/>
    <w:rsid w:val="005150E5"/>
  </w:style>
  <w:style w:type="numbering" w:customStyle="1" w:styleId="NoList21112">
    <w:name w:val="No List21112"/>
    <w:next w:val="NoList"/>
    <w:semiHidden/>
    <w:unhideWhenUsed/>
    <w:rsid w:val="005150E5"/>
  </w:style>
  <w:style w:type="numbering" w:customStyle="1" w:styleId="NoList31112">
    <w:name w:val="No List31112"/>
    <w:next w:val="NoList"/>
    <w:semiHidden/>
    <w:unhideWhenUsed/>
    <w:rsid w:val="005150E5"/>
  </w:style>
  <w:style w:type="numbering" w:customStyle="1" w:styleId="111211">
    <w:name w:val="Нет списка111211"/>
    <w:next w:val="NoList"/>
    <w:semiHidden/>
    <w:unhideWhenUsed/>
    <w:rsid w:val="005150E5"/>
  </w:style>
  <w:style w:type="numbering" w:customStyle="1" w:styleId="NoList41111">
    <w:name w:val="No List41111"/>
    <w:next w:val="NoList"/>
    <w:semiHidden/>
    <w:rsid w:val="005150E5"/>
  </w:style>
  <w:style w:type="numbering" w:customStyle="1" w:styleId="NoList111123">
    <w:name w:val="No List111123"/>
    <w:next w:val="NoList"/>
    <w:semiHidden/>
    <w:unhideWhenUsed/>
    <w:rsid w:val="005150E5"/>
  </w:style>
  <w:style w:type="numbering" w:customStyle="1" w:styleId="1111111">
    <w:name w:val="Нет списка1111111"/>
    <w:next w:val="NoList"/>
    <w:semiHidden/>
    <w:unhideWhenUsed/>
    <w:rsid w:val="005150E5"/>
  </w:style>
  <w:style w:type="table" w:customStyle="1" w:styleId="TableGrid612">
    <w:name w:val="Table Grid612"/>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2">
    <w:name w:val="Table Grid221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8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2">
    <w:name w:val="Table Grid14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 Grid7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1">
    <w:name w:val="Medium Grid 3 Accent 1"/>
    <w:basedOn w:val="TableNormal"/>
    <w:uiPriority w:val="69"/>
    <w:unhideWhenUsed/>
    <w:rsid w:val="005150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stTable7Colorful-Accent11">
    <w:name w:val="List Table 7 Colorful - Accent 11"/>
    <w:basedOn w:val="TableNormal"/>
    <w:uiPriority w:val="52"/>
    <w:rsid w:val="001E3933"/>
    <w:rPr>
      <w:rFonts w:asciiTheme="minorHAnsi" w:eastAsiaTheme="minorHAnsi" w:hAnsiTheme="minorHAnsi" w:cstheme="minorBidi"/>
      <w:color w:val="365F91"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57">
    <w:name w:val="No List57"/>
    <w:next w:val="NoList"/>
    <w:semiHidden/>
    <w:rsid w:val="00A00B8B"/>
  </w:style>
  <w:style w:type="paragraph" w:customStyle="1" w:styleId="DefaultParagraphFontParaChar">
    <w:name w:val="Default Paragraph Font Para Char"/>
    <w:basedOn w:val="Normal"/>
    <w:locked/>
    <w:rsid w:val="00A00B8B"/>
    <w:pPr>
      <w:spacing w:before="0" w:after="160" w:line="240" w:lineRule="auto"/>
      <w:ind w:firstLine="0"/>
      <w:contextualSpacing w:val="0"/>
      <w:jc w:val="left"/>
    </w:pPr>
    <w:rPr>
      <w:rFonts w:ascii="Verdana" w:eastAsia="Batang" w:hAnsi="Verdana" w:cs="Verdana"/>
      <w:b w:val="0"/>
      <w:sz w:val="24"/>
      <w:lang w:val="en-GB" w:eastAsia="en-US"/>
    </w:rPr>
  </w:style>
  <w:style w:type="table" w:customStyle="1" w:styleId="TableGrid300">
    <w:name w:val="Table Grid30"/>
    <w:basedOn w:val="TableNormal"/>
    <w:next w:val="TableGrid"/>
    <w:rsid w:val="00A00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Ամփոփոթերթ"/>
    <w:basedOn w:val="Normal"/>
    <w:rsid w:val="00A00B8B"/>
    <w:pPr>
      <w:framePr w:wrap="around" w:vAnchor="text" w:hAnchor="text" w:y="1"/>
      <w:numPr>
        <w:numId w:val="29"/>
      </w:numPr>
      <w:spacing w:before="0" w:line="240" w:lineRule="auto"/>
      <w:contextualSpacing w:val="0"/>
      <w:jc w:val="left"/>
    </w:pPr>
    <w:rPr>
      <w:rFonts w:ascii="Sylfaen" w:hAnsi="Sylfaen" w:cs="Sylfaen"/>
      <w:b w:val="0"/>
      <w:szCs w:val="22"/>
      <w:lang w:val="en-US" w:eastAsia="en-US"/>
    </w:rPr>
  </w:style>
  <w:style w:type="paragraph" w:customStyle="1" w:styleId="GHM">
    <w:name w:val="GHM"/>
    <w:rsid w:val="00A00B8B"/>
    <w:rPr>
      <w:rFonts w:ascii="GHEA Mariam" w:hAnsi="GHEA Mariam"/>
      <w:sz w:val="24"/>
      <w:szCs w:val="24"/>
      <w:lang w:val="hy-AM"/>
    </w:rPr>
  </w:style>
  <w:style w:type="paragraph" w:customStyle="1" w:styleId="Charb">
    <w:name w:val="Char"/>
    <w:basedOn w:val="Normal"/>
    <w:locked/>
    <w:rsid w:val="00A00B8B"/>
    <w:pPr>
      <w:spacing w:before="0" w:after="160" w:line="240" w:lineRule="auto"/>
      <w:ind w:firstLine="0"/>
      <w:contextualSpacing w:val="0"/>
      <w:jc w:val="left"/>
    </w:pPr>
    <w:rPr>
      <w:rFonts w:ascii="Verdana" w:eastAsia="Batang" w:hAnsi="Verdana" w:cs="Verdana"/>
      <w:b w:val="0"/>
      <w:sz w:val="24"/>
      <w:lang w:val="en-GB"/>
    </w:rPr>
  </w:style>
  <w:style w:type="table" w:customStyle="1" w:styleId="TableGrid340">
    <w:name w:val="Table Grid34"/>
    <w:basedOn w:val="TableNormal"/>
    <w:next w:val="TableGrid"/>
    <w:uiPriority w:val="39"/>
    <w:rsid w:val="00836C0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4E12E8"/>
  </w:style>
  <w:style w:type="table" w:customStyle="1" w:styleId="TableGrid350">
    <w:name w:val="Table Grid35"/>
    <w:basedOn w:val="TableNormal"/>
    <w:next w:val="TableGrid"/>
    <w:uiPriority w:val="39"/>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9">
    <w:name w:val="Table List 79"/>
    <w:basedOn w:val="TableNormal"/>
    <w:next w:val="TableList7"/>
    <w:rsid w:val="004E12E8"/>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9">
    <w:name w:val="Table Web 39"/>
    <w:basedOn w:val="TableNormal"/>
    <w:next w:val="TableWeb3"/>
    <w:rsid w:val="004E12E8"/>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9">
    <w:name w:val="Table Elegant9"/>
    <w:basedOn w:val="TableNormal"/>
    <w:next w:val="TableElegant"/>
    <w:rsid w:val="004E12E8"/>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9">
    <w:name w:val="Table Web 29"/>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9">
    <w:name w:val="Table Web 19"/>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9">
    <w:name w:val="Table Grid 89"/>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9">
    <w:name w:val="Table Contemporary9"/>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34">
    <w:name w:val="No List134"/>
    <w:next w:val="NoList"/>
    <w:semiHidden/>
    <w:unhideWhenUsed/>
    <w:rsid w:val="004E12E8"/>
  </w:style>
  <w:style w:type="numbering" w:customStyle="1" w:styleId="NoList218">
    <w:name w:val="No List218"/>
    <w:next w:val="NoList"/>
    <w:semiHidden/>
    <w:unhideWhenUsed/>
    <w:rsid w:val="004E12E8"/>
  </w:style>
  <w:style w:type="numbering" w:customStyle="1" w:styleId="NoList317">
    <w:name w:val="No List317"/>
    <w:next w:val="NoList"/>
    <w:semiHidden/>
    <w:unhideWhenUsed/>
    <w:rsid w:val="004E12E8"/>
  </w:style>
  <w:style w:type="table" w:customStyle="1" w:styleId="LightList-Accent128">
    <w:name w:val="Light List - Accent 128"/>
    <w:basedOn w:val="TableNormal"/>
    <w:next w:val="LightList-Accent1"/>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9">
    <w:name w:val="Table Grid 79"/>
    <w:basedOn w:val="TableNormal"/>
    <w:next w:val="TableGrid7"/>
    <w:rsid w:val="004E12E8"/>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0">
    <w:name w:val="Colorful Grid - Accent 110"/>
    <w:basedOn w:val="TableNormal"/>
    <w:next w:val="ColorfulGrid-Accent1"/>
    <w:uiPriority w:val="73"/>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9">
    <w:name w:val="Light List - Accent 519"/>
    <w:basedOn w:val="TableNormal"/>
    <w:next w:val="LightList-Accent5"/>
    <w:uiPriority w:val="61"/>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9">
    <w:name w:val="Table Simple 39"/>
    <w:basedOn w:val="TableNormal"/>
    <w:next w:val="TableSimple3"/>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9">
    <w:name w:val="Table Grid 59"/>
    <w:basedOn w:val="TableNormal"/>
    <w:next w:val="TableGrid5"/>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9">
    <w:name w:val="Table Grid 39"/>
    <w:basedOn w:val="TableNormal"/>
    <w:next w:val="TableGrid3"/>
    <w:rsid w:val="004E12E8"/>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90">
    <w:name w:val="Table Grid 19"/>
    <w:basedOn w:val="TableNormal"/>
    <w:next w:val="TableGrid10"/>
    <w:rsid w:val="004E12E8"/>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9">
    <w:name w:val="Table Columns 59"/>
    <w:basedOn w:val="TableNormal"/>
    <w:next w:val="TableColumns5"/>
    <w:rsid w:val="004E12E8"/>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5">
    <w:name w:val="Light List - Accent 1115"/>
    <w:basedOn w:val="TableNormal"/>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00">
    <w:name w:val="Нет списка110"/>
    <w:next w:val="NoList"/>
    <w:semiHidden/>
    <w:unhideWhenUsed/>
    <w:rsid w:val="004E12E8"/>
  </w:style>
  <w:style w:type="table" w:customStyle="1" w:styleId="ColorfulGrid-Accent119">
    <w:name w:val="Colorful Grid - Accent 119"/>
    <w:basedOn w:val="TableNormal"/>
    <w:rsid w:val="004E12E8"/>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0">
    <w:name w:val="Light List - Accent 5110"/>
    <w:basedOn w:val="TableNormal"/>
    <w:rsid w:val="004E12E8"/>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5">
    <w:name w:val="No List415"/>
    <w:next w:val="NoList"/>
    <w:semiHidden/>
    <w:rsid w:val="004E12E8"/>
  </w:style>
  <w:style w:type="numbering" w:customStyle="1" w:styleId="NoList1126">
    <w:name w:val="No List1126"/>
    <w:next w:val="NoList"/>
    <w:semiHidden/>
    <w:unhideWhenUsed/>
    <w:rsid w:val="004E12E8"/>
  </w:style>
  <w:style w:type="table" w:customStyle="1" w:styleId="Table3Deffects39">
    <w:name w:val="Table 3D effects 39"/>
    <w:basedOn w:val="TableNormal"/>
    <w:next w:val="Table3Deffects3"/>
    <w:rsid w:val="004E12E8"/>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
    <w:name w:val="Нет списка119"/>
    <w:next w:val="NoList"/>
    <w:semiHidden/>
    <w:unhideWhenUsed/>
    <w:rsid w:val="004E12E8"/>
  </w:style>
  <w:style w:type="table" w:customStyle="1" w:styleId="TableGrid116">
    <w:name w:val="Table Grid116"/>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9">
    <w:name w:val="No List59"/>
    <w:next w:val="NoList"/>
    <w:uiPriority w:val="99"/>
    <w:semiHidden/>
    <w:rsid w:val="004E12E8"/>
  </w:style>
  <w:style w:type="numbering" w:customStyle="1" w:styleId="NoList64">
    <w:name w:val="No List64"/>
    <w:next w:val="NoList"/>
    <w:uiPriority w:val="99"/>
    <w:semiHidden/>
    <w:unhideWhenUsed/>
    <w:rsid w:val="004E12E8"/>
  </w:style>
  <w:style w:type="table" w:customStyle="1" w:styleId="TableGrid214">
    <w:name w:val="Table Grid214"/>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4">
    <w:name w:val="No List74"/>
    <w:next w:val="NoList"/>
    <w:uiPriority w:val="99"/>
    <w:semiHidden/>
    <w:unhideWhenUsed/>
    <w:rsid w:val="004E12E8"/>
  </w:style>
  <w:style w:type="numbering" w:customStyle="1" w:styleId="NoList1214">
    <w:name w:val="No List1214"/>
    <w:next w:val="NoList"/>
    <w:uiPriority w:val="99"/>
    <w:semiHidden/>
    <w:unhideWhenUsed/>
    <w:rsid w:val="004E12E8"/>
  </w:style>
  <w:style w:type="table" w:customStyle="1" w:styleId="TableGrid360">
    <w:name w:val="Table Grid36"/>
    <w:basedOn w:val="TableNormal"/>
    <w:next w:val="TableGrid"/>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4">
    <w:name w:val="Table Web 214"/>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4">
    <w:name w:val="Table Web 114"/>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4">
    <w:name w:val="Table Contemporary14"/>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4">
    <w:name w:val="Colorful Grid - Accent 124"/>
    <w:basedOn w:val="TableNormal"/>
    <w:next w:val="ColorfulGrid-Accent1"/>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4">
    <w:name w:val="Light List - Accent 524"/>
    <w:basedOn w:val="TableNormal"/>
    <w:next w:val="LightList-Accent5"/>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4">
    <w:name w:val="No List84"/>
    <w:next w:val="NoList"/>
    <w:uiPriority w:val="99"/>
    <w:semiHidden/>
    <w:unhideWhenUsed/>
    <w:rsid w:val="004E12E8"/>
  </w:style>
  <w:style w:type="numbering" w:customStyle="1" w:styleId="1240">
    <w:name w:val="Нет списка124"/>
    <w:next w:val="NoList"/>
    <w:uiPriority w:val="99"/>
    <w:semiHidden/>
    <w:unhideWhenUsed/>
    <w:rsid w:val="004E12E8"/>
  </w:style>
  <w:style w:type="numbering" w:customStyle="1" w:styleId="NoList135">
    <w:name w:val="No List135"/>
    <w:next w:val="NoList"/>
    <w:semiHidden/>
    <w:unhideWhenUsed/>
    <w:rsid w:val="004E12E8"/>
  </w:style>
  <w:style w:type="numbering" w:customStyle="1" w:styleId="NoList219">
    <w:name w:val="No List219"/>
    <w:next w:val="NoList"/>
    <w:semiHidden/>
    <w:unhideWhenUsed/>
    <w:rsid w:val="004E12E8"/>
  </w:style>
  <w:style w:type="numbering" w:customStyle="1" w:styleId="NoList318">
    <w:name w:val="No List318"/>
    <w:next w:val="NoList"/>
    <w:semiHidden/>
    <w:unhideWhenUsed/>
    <w:rsid w:val="004E12E8"/>
  </w:style>
  <w:style w:type="numbering" w:customStyle="1" w:styleId="1114">
    <w:name w:val="Нет списка1114"/>
    <w:next w:val="NoList"/>
    <w:semiHidden/>
    <w:unhideWhenUsed/>
    <w:rsid w:val="004E12E8"/>
  </w:style>
  <w:style w:type="numbering" w:customStyle="1" w:styleId="NoList416">
    <w:name w:val="No List416"/>
    <w:next w:val="NoList"/>
    <w:semiHidden/>
    <w:rsid w:val="004E12E8"/>
  </w:style>
  <w:style w:type="numbering" w:customStyle="1" w:styleId="NoList11117">
    <w:name w:val="No List11117"/>
    <w:next w:val="NoList"/>
    <w:semiHidden/>
    <w:unhideWhenUsed/>
    <w:rsid w:val="004E12E8"/>
  </w:style>
  <w:style w:type="numbering" w:customStyle="1" w:styleId="11113">
    <w:name w:val="Нет списка11113"/>
    <w:next w:val="NoList"/>
    <w:semiHidden/>
    <w:unhideWhenUsed/>
    <w:rsid w:val="004E12E8"/>
  </w:style>
  <w:style w:type="numbering" w:customStyle="1" w:styleId="NoList94">
    <w:name w:val="No List94"/>
    <w:next w:val="NoList"/>
    <w:uiPriority w:val="99"/>
    <w:semiHidden/>
    <w:unhideWhenUsed/>
    <w:rsid w:val="004E12E8"/>
  </w:style>
  <w:style w:type="table" w:customStyle="1" w:styleId="TableGrid44">
    <w:name w:val="Table Grid44"/>
    <w:basedOn w:val="TableNormal"/>
    <w:next w:val="TableGrid"/>
    <w:uiPriority w:val="39"/>
    <w:rsid w:val="004E12E8"/>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3">
    <w:name w:val="Grid Table 1 Light - Accent 513"/>
    <w:basedOn w:val="TableNormal"/>
    <w:uiPriority w:val="46"/>
    <w:rsid w:val="004E12E8"/>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2">
    <w:name w:val="Plain Table 312"/>
    <w:basedOn w:val="TableNormal"/>
    <w:uiPriority w:val="43"/>
    <w:rsid w:val="004E12E8"/>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2">
    <w:name w:val="Grid Table 4 - Accent 112"/>
    <w:basedOn w:val="TableNormal"/>
    <w:uiPriority w:val="49"/>
    <w:rsid w:val="004E12E8"/>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4">
    <w:name w:val="No List104"/>
    <w:next w:val="NoList"/>
    <w:uiPriority w:val="99"/>
    <w:semiHidden/>
    <w:unhideWhenUsed/>
    <w:rsid w:val="004E12E8"/>
  </w:style>
  <w:style w:type="table" w:customStyle="1" w:styleId="TableGrid540">
    <w:name w:val="Table Grid54"/>
    <w:basedOn w:val="TableNormal"/>
    <w:next w:val="TableGrid"/>
    <w:uiPriority w:val="39"/>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4">
    <w:name w:val="Table List 714"/>
    <w:basedOn w:val="TableNormal"/>
    <w:next w:val="TableList7"/>
    <w:rsid w:val="004E12E8"/>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4">
    <w:name w:val="Table Web 314"/>
    <w:basedOn w:val="TableNormal"/>
    <w:next w:val="TableWeb3"/>
    <w:rsid w:val="004E12E8"/>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4">
    <w:name w:val="Table Elegant14"/>
    <w:basedOn w:val="TableNormal"/>
    <w:next w:val="TableElegant"/>
    <w:rsid w:val="004E12E8"/>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4">
    <w:name w:val="Table Web 224"/>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4">
    <w:name w:val="Table Web 124"/>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4">
    <w:name w:val="Table Grid 824"/>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4">
    <w:name w:val="Table Contemporary24"/>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4">
    <w:name w:val="No List144"/>
    <w:next w:val="NoList"/>
    <w:semiHidden/>
    <w:unhideWhenUsed/>
    <w:rsid w:val="004E12E8"/>
  </w:style>
  <w:style w:type="numbering" w:customStyle="1" w:styleId="NoList224">
    <w:name w:val="No List224"/>
    <w:next w:val="NoList"/>
    <w:semiHidden/>
    <w:unhideWhenUsed/>
    <w:rsid w:val="004E12E8"/>
  </w:style>
  <w:style w:type="numbering" w:customStyle="1" w:styleId="NoList324">
    <w:name w:val="No List324"/>
    <w:next w:val="NoList"/>
    <w:semiHidden/>
    <w:unhideWhenUsed/>
    <w:rsid w:val="004E12E8"/>
  </w:style>
  <w:style w:type="table" w:customStyle="1" w:styleId="LightList-Accent129">
    <w:name w:val="Light List - Accent 129"/>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4">
    <w:name w:val="Table Grid 714"/>
    <w:basedOn w:val="TableNormal"/>
    <w:next w:val="TableGrid7"/>
    <w:rsid w:val="004E12E8"/>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4">
    <w:name w:val="Colorful Grid - Accent 134"/>
    <w:basedOn w:val="TableNormal"/>
    <w:next w:val="ColorfulGrid-Accent1"/>
    <w:uiPriority w:val="73"/>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4">
    <w:name w:val="Light List - Accent 534"/>
    <w:basedOn w:val="TableNormal"/>
    <w:next w:val="LightList-Accent5"/>
    <w:uiPriority w:val="61"/>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4">
    <w:name w:val="Table Simple 314"/>
    <w:basedOn w:val="TableNormal"/>
    <w:next w:val="TableSimple3"/>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4">
    <w:name w:val="Table Grid 514"/>
    <w:basedOn w:val="TableNormal"/>
    <w:next w:val="TableGrid5"/>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4">
    <w:name w:val="Table Grid 314"/>
    <w:basedOn w:val="TableNormal"/>
    <w:next w:val="TableGrid3"/>
    <w:rsid w:val="004E12E8"/>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40">
    <w:name w:val="Table Grid 114"/>
    <w:basedOn w:val="TableNormal"/>
    <w:next w:val="TableGrid10"/>
    <w:rsid w:val="004E12E8"/>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4">
    <w:name w:val="Table Columns 514"/>
    <w:basedOn w:val="TableNormal"/>
    <w:next w:val="TableColumns5"/>
    <w:rsid w:val="004E12E8"/>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6">
    <w:name w:val="Light List - Accent 1116"/>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4">
    <w:name w:val="Нет списка134"/>
    <w:next w:val="NoList"/>
    <w:semiHidden/>
    <w:unhideWhenUsed/>
    <w:rsid w:val="004E12E8"/>
  </w:style>
  <w:style w:type="table" w:customStyle="1" w:styleId="ColorfulGrid-Accent1114">
    <w:name w:val="Colorful Grid - Accent 1114"/>
    <w:basedOn w:val="TableNormal"/>
    <w:rsid w:val="004E12E8"/>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4">
    <w:name w:val="Light List - Accent 5114"/>
    <w:basedOn w:val="TableNormal"/>
    <w:rsid w:val="004E12E8"/>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4">
    <w:name w:val="No List424"/>
    <w:next w:val="NoList"/>
    <w:semiHidden/>
    <w:rsid w:val="004E12E8"/>
  </w:style>
  <w:style w:type="numbering" w:customStyle="1" w:styleId="NoList1127">
    <w:name w:val="No List1127"/>
    <w:next w:val="NoList"/>
    <w:semiHidden/>
    <w:unhideWhenUsed/>
    <w:rsid w:val="004E12E8"/>
  </w:style>
  <w:style w:type="table" w:customStyle="1" w:styleId="Table3Deffects314">
    <w:name w:val="Table 3D effects 314"/>
    <w:basedOn w:val="TableNormal"/>
    <w:next w:val="Table3Deffects3"/>
    <w:rsid w:val="004E12E8"/>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NoList"/>
    <w:semiHidden/>
    <w:unhideWhenUsed/>
    <w:rsid w:val="004E12E8"/>
  </w:style>
  <w:style w:type="table" w:customStyle="1" w:styleId="TableGrid117">
    <w:name w:val="Table Grid117"/>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4">
    <w:name w:val="No List514"/>
    <w:next w:val="NoList"/>
    <w:uiPriority w:val="99"/>
    <w:semiHidden/>
    <w:rsid w:val="004E12E8"/>
  </w:style>
  <w:style w:type="numbering" w:customStyle="1" w:styleId="NoList613">
    <w:name w:val="No List613"/>
    <w:next w:val="NoList"/>
    <w:uiPriority w:val="99"/>
    <w:semiHidden/>
    <w:unhideWhenUsed/>
    <w:rsid w:val="004E12E8"/>
  </w:style>
  <w:style w:type="table" w:customStyle="1" w:styleId="TableGrid215">
    <w:name w:val="Table Grid215"/>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3">
    <w:name w:val="No List713"/>
    <w:next w:val="NoList"/>
    <w:uiPriority w:val="99"/>
    <w:semiHidden/>
    <w:unhideWhenUsed/>
    <w:rsid w:val="004E12E8"/>
  </w:style>
  <w:style w:type="numbering" w:customStyle="1" w:styleId="NoList1215">
    <w:name w:val="No List1215"/>
    <w:next w:val="NoList"/>
    <w:uiPriority w:val="99"/>
    <w:semiHidden/>
    <w:unhideWhenUsed/>
    <w:rsid w:val="004E12E8"/>
  </w:style>
  <w:style w:type="table" w:customStyle="1" w:styleId="TableGrid3130">
    <w:name w:val="Table Grid313"/>
    <w:basedOn w:val="TableNormal"/>
    <w:next w:val="TableGrid"/>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3">
    <w:name w:val="Table Web 2113"/>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3">
    <w:name w:val="Table Web 1113"/>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3">
    <w:name w:val="Table Grid 8113"/>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3">
    <w:name w:val="Table Contemporary113"/>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3">
    <w:name w:val="Colorful Grid - Accent 1213"/>
    <w:basedOn w:val="TableNormal"/>
    <w:next w:val="ColorfulGrid-Accent1"/>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3">
    <w:name w:val="Light List - Accent 5213"/>
    <w:basedOn w:val="TableNormal"/>
    <w:next w:val="LightList-Accent5"/>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3">
    <w:name w:val="No List813"/>
    <w:next w:val="NoList"/>
    <w:uiPriority w:val="99"/>
    <w:semiHidden/>
    <w:unhideWhenUsed/>
    <w:rsid w:val="004E12E8"/>
  </w:style>
  <w:style w:type="numbering" w:customStyle="1" w:styleId="1213">
    <w:name w:val="Нет списка1213"/>
    <w:next w:val="NoList"/>
    <w:uiPriority w:val="99"/>
    <w:semiHidden/>
    <w:unhideWhenUsed/>
    <w:rsid w:val="004E12E8"/>
  </w:style>
  <w:style w:type="numbering" w:customStyle="1" w:styleId="NoList1313">
    <w:name w:val="No List1313"/>
    <w:next w:val="NoList"/>
    <w:semiHidden/>
    <w:unhideWhenUsed/>
    <w:rsid w:val="004E12E8"/>
  </w:style>
  <w:style w:type="numbering" w:customStyle="1" w:styleId="NoList2114">
    <w:name w:val="No List2114"/>
    <w:next w:val="NoList"/>
    <w:semiHidden/>
    <w:unhideWhenUsed/>
    <w:rsid w:val="004E12E8"/>
  </w:style>
  <w:style w:type="numbering" w:customStyle="1" w:styleId="NoList3114">
    <w:name w:val="No List3114"/>
    <w:next w:val="NoList"/>
    <w:semiHidden/>
    <w:unhideWhenUsed/>
    <w:rsid w:val="004E12E8"/>
  </w:style>
  <w:style w:type="numbering" w:customStyle="1" w:styleId="11122">
    <w:name w:val="Нет списка11122"/>
    <w:next w:val="NoList"/>
    <w:semiHidden/>
    <w:unhideWhenUsed/>
    <w:rsid w:val="004E12E8"/>
  </w:style>
  <w:style w:type="numbering" w:customStyle="1" w:styleId="NoList4113">
    <w:name w:val="No List4113"/>
    <w:next w:val="NoList"/>
    <w:semiHidden/>
    <w:rsid w:val="004E12E8"/>
  </w:style>
  <w:style w:type="numbering" w:customStyle="1" w:styleId="NoList11118">
    <w:name w:val="No List11118"/>
    <w:next w:val="NoList"/>
    <w:semiHidden/>
    <w:unhideWhenUsed/>
    <w:rsid w:val="004E12E8"/>
  </w:style>
  <w:style w:type="numbering" w:customStyle="1" w:styleId="111112">
    <w:name w:val="Нет списка111112"/>
    <w:next w:val="NoList"/>
    <w:semiHidden/>
    <w:unhideWhenUsed/>
    <w:rsid w:val="004E12E8"/>
  </w:style>
  <w:style w:type="table" w:customStyle="1" w:styleId="TableGrid64">
    <w:name w:val="Table Grid64"/>
    <w:basedOn w:val="TableNormal"/>
    <w:next w:val="TableGrid"/>
    <w:uiPriority w:val="39"/>
    <w:rsid w:val="004E12E8"/>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2">
    <w:name w:val="Grid Table 1 Light - Accent 5112"/>
    <w:basedOn w:val="TableNormal"/>
    <w:uiPriority w:val="46"/>
    <w:rsid w:val="004E12E8"/>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4">
    <w:name w:val="Table Grid224"/>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0">
    <w:name w:val="Table Grid7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 Grid8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4E12E8"/>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111">
    <w:name w:val="Grid Table 1 Light - Accent 51111"/>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3">
    <w:name w:val="Table Grid22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9032E3"/>
  </w:style>
  <w:style w:type="table" w:customStyle="1" w:styleId="TableGrid370">
    <w:name w:val="Table Grid37"/>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
    <w:name w:val="Medium Grid 3 - Accent 12"/>
    <w:basedOn w:val="TableNormal"/>
    <w:next w:val="MediumGrid3-Accent1"/>
    <w:uiPriority w:val="69"/>
    <w:rsid w:val="009032E3"/>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6">
    <w:name w:val="No List136"/>
    <w:next w:val="NoList"/>
    <w:uiPriority w:val="99"/>
    <w:semiHidden/>
    <w:unhideWhenUsed/>
    <w:rsid w:val="009032E3"/>
  </w:style>
  <w:style w:type="table" w:customStyle="1" w:styleId="TableGrid118">
    <w:name w:val="Table Grid118"/>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5">
    <w:name w:val="Table List 715"/>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5">
    <w:name w:val="Table Web 315"/>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5">
    <w:name w:val="Table Elegant15"/>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5">
    <w:name w:val="Table Web 115"/>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5">
    <w:name w:val="Table Grid 815"/>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5">
    <w:name w:val="Table Contemporary15"/>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8">
    <w:name w:val="No List1128"/>
    <w:next w:val="NoList"/>
    <w:semiHidden/>
    <w:unhideWhenUsed/>
    <w:rsid w:val="009032E3"/>
  </w:style>
  <w:style w:type="numbering" w:customStyle="1" w:styleId="NoList220">
    <w:name w:val="No List220"/>
    <w:next w:val="NoList"/>
    <w:semiHidden/>
    <w:unhideWhenUsed/>
    <w:rsid w:val="009032E3"/>
  </w:style>
  <w:style w:type="numbering" w:customStyle="1" w:styleId="NoList319">
    <w:name w:val="No List319"/>
    <w:next w:val="NoList"/>
    <w:semiHidden/>
    <w:unhideWhenUsed/>
    <w:rsid w:val="009032E3"/>
  </w:style>
  <w:style w:type="table" w:customStyle="1" w:styleId="LightList-Accent1117">
    <w:name w:val="Light List - Accent 1117"/>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5">
    <w:name w:val="Table Grid 715"/>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10">
    <w:name w:val="Colorful Grid - Accent 1110"/>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5">
    <w:name w:val="Light List - Accent 511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5">
    <w:name w:val="Table Simple 315"/>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5">
    <w:name w:val="Table Grid 515"/>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5">
    <w:name w:val="Table Grid 315"/>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50">
    <w:name w:val="Table Grid 115"/>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5">
    <w:name w:val="Table Columns 515"/>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200">
    <w:name w:val="Нет списка120"/>
    <w:next w:val="NoList"/>
    <w:semiHidden/>
    <w:unhideWhenUsed/>
    <w:rsid w:val="009032E3"/>
  </w:style>
  <w:style w:type="numbering" w:customStyle="1" w:styleId="NoList417">
    <w:name w:val="No List417"/>
    <w:next w:val="NoList"/>
    <w:semiHidden/>
    <w:rsid w:val="009032E3"/>
  </w:style>
  <w:style w:type="numbering" w:customStyle="1" w:styleId="NoList11119">
    <w:name w:val="No List11119"/>
    <w:next w:val="NoList"/>
    <w:semiHidden/>
    <w:unhideWhenUsed/>
    <w:rsid w:val="009032E3"/>
  </w:style>
  <w:style w:type="table" w:customStyle="1" w:styleId="Table3Deffects315">
    <w:name w:val="Table 3D effects 315"/>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NoList"/>
    <w:semiHidden/>
    <w:unhideWhenUsed/>
    <w:rsid w:val="009032E3"/>
  </w:style>
  <w:style w:type="table" w:customStyle="1" w:styleId="TableGrid119">
    <w:name w:val="Table Grid119"/>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0">
    <w:name w:val="No List510"/>
    <w:next w:val="NoList"/>
    <w:uiPriority w:val="99"/>
    <w:semiHidden/>
    <w:rsid w:val="009032E3"/>
  </w:style>
  <w:style w:type="numbering" w:customStyle="1" w:styleId="NoList65">
    <w:name w:val="No List65"/>
    <w:next w:val="NoList"/>
    <w:uiPriority w:val="99"/>
    <w:semiHidden/>
    <w:unhideWhenUsed/>
    <w:rsid w:val="009032E3"/>
  </w:style>
  <w:style w:type="table" w:customStyle="1" w:styleId="TableGrid216">
    <w:name w:val="Table Grid216"/>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5">
    <w:name w:val="No List75"/>
    <w:next w:val="NoList"/>
    <w:uiPriority w:val="99"/>
    <w:semiHidden/>
    <w:unhideWhenUsed/>
    <w:rsid w:val="009032E3"/>
  </w:style>
  <w:style w:type="numbering" w:customStyle="1" w:styleId="NoList1216">
    <w:name w:val="No List1216"/>
    <w:next w:val="NoList"/>
    <w:uiPriority w:val="99"/>
    <w:semiHidden/>
    <w:unhideWhenUsed/>
    <w:rsid w:val="009032E3"/>
  </w:style>
  <w:style w:type="table" w:customStyle="1" w:styleId="TableGrid380">
    <w:name w:val="Table Grid38"/>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5">
    <w:name w:val="Colorful Grid - Accent 125"/>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5">
    <w:name w:val="Light List - Accent 52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5">
    <w:name w:val="No List85"/>
    <w:next w:val="NoList"/>
    <w:uiPriority w:val="99"/>
    <w:semiHidden/>
    <w:unhideWhenUsed/>
    <w:rsid w:val="009032E3"/>
  </w:style>
  <w:style w:type="numbering" w:customStyle="1" w:styleId="125">
    <w:name w:val="Нет списка125"/>
    <w:next w:val="NoList"/>
    <w:uiPriority w:val="99"/>
    <w:semiHidden/>
    <w:unhideWhenUsed/>
    <w:rsid w:val="009032E3"/>
  </w:style>
  <w:style w:type="numbering" w:customStyle="1" w:styleId="NoList137">
    <w:name w:val="No List137"/>
    <w:next w:val="NoList"/>
    <w:semiHidden/>
    <w:unhideWhenUsed/>
    <w:rsid w:val="009032E3"/>
  </w:style>
  <w:style w:type="numbering" w:customStyle="1" w:styleId="NoList2110">
    <w:name w:val="No List2110"/>
    <w:next w:val="NoList"/>
    <w:semiHidden/>
    <w:unhideWhenUsed/>
    <w:rsid w:val="009032E3"/>
  </w:style>
  <w:style w:type="numbering" w:customStyle="1" w:styleId="NoList3110">
    <w:name w:val="No List3110"/>
    <w:next w:val="NoList"/>
    <w:semiHidden/>
    <w:unhideWhenUsed/>
    <w:rsid w:val="009032E3"/>
  </w:style>
  <w:style w:type="numbering" w:customStyle="1" w:styleId="1115">
    <w:name w:val="Нет списка1115"/>
    <w:next w:val="NoList"/>
    <w:semiHidden/>
    <w:unhideWhenUsed/>
    <w:rsid w:val="009032E3"/>
  </w:style>
  <w:style w:type="numbering" w:customStyle="1" w:styleId="NoList418">
    <w:name w:val="No List418"/>
    <w:next w:val="NoList"/>
    <w:semiHidden/>
    <w:rsid w:val="009032E3"/>
  </w:style>
  <w:style w:type="numbering" w:customStyle="1" w:styleId="NoList111110">
    <w:name w:val="No List111110"/>
    <w:next w:val="NoList"/>
    <w:semiHidden/>
    <w:unhideWhenUsed/>
    <w:rsid w:val="009032E3"/>
  </w:style>
  <w:style w:type="numbering" w:customStyle="1" w:styleId="11114">
    <w:name w:val="Нет списка11114"/>
    <w:next w:val="NoList"/>
    <w:semiHidden/>
    <w:unhideWhenUsed/>
    <w:rsid w:val="009032E3"/>
  </w:style>
  <w:style w:type="numbering" w:customStyle="1" w:styleId="NoList95">
    <w:name w:val="No List95"/>
    <w:next w:val="NoList"/>
    <w:uiPriority w:val="99"/>
    <w:semiHidden/>
    <w:unhideWhenUsed/>
    <w:rsid w:val="009032E3"/>
  </w:style>
  <w:style w:type="table" w:customStyle="1" w:styleId="TableGrid45">
    <w:name w:val="Table Grid45"/>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4">
    <w:name w:val="Grid Table 1 Light - Accent 514"/>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3">
    <w:name w:val="Plain Table 313"/>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3">
    <w:name w:val="Grid Table 4 - Accent 113"/>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5">
    <w:name w:val="No List105"/>
    <w:next w:val="NoList"/>
    <w:uiPriority w:val="99"/>
    <w:semiHidden/>
    <w:unhideWhenUsed/>
    <w:rsid w:val="009032E3"/>
  </w:style>
  <w:style w:type="table" w:customStyle="1" w:styleId="TableGrid550">
    <w:name w:val="Table Grid55"/>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3">
    <w:name w:val="Table List 7113"/>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3">
    <w:name w:val="Table Web 3113"/>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3">
    <w:name w:val="Table Elegant113"/>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5">
    <w:name w:val="Table Web 225"/>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5">
    <w:name w:val="Table Web 125"/>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5">
    <w:name w:val="Table Grid 825"/>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5">
    <w:name w:val="Table Contemporary25"/>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5">
    <w:name w:val="No List145"/>
    <w:next w:val="NoList"/>
    <w:semiHidden/>
    <w:unhideWhenUsed/>
    <w:rsid w:val="009032E3"/>
  </w:style>
  <w:style w:type="numbering" w:customStyle="1" w:styleId="NoList225">
    <w:name w:val="No List225"/>
    <w:next w:val="NoList"/>
    <w:semiHidden/>
    <w:unhideWhenUsed/>
    <w:rsid w:val="009032E3"/>
  </w:style>
  <w:style w:type="numbering" w:customStyle="1" w:styleId="NoList325">
    <w:name w:val="No List325"/>
    <w:next w:val="NoList"/>
    <w:semiHidden/>
    <w:unhideWhenUsed/>
    <w:rsid w:val="009032E3"/>
  </w:style>
  <w:style w:type="table" w:customStyle="1" w:styleId="LightList-Accent1210">
    <w:name w:val="Light List - Accent 1210"/>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3">
    <w:name w:val="Table Grid 7113"/>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5">
    <w:name w:val="Colorful Grid - Accent 135"/>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5">
    <w:name w:val="Light List - Accent 535"/>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3">
    <w:name w:val="Table Simple 3113"/>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3">
    <w:name w:val="Table Grid 5113"/>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3">
    <w:name w:val="Table Grid 3113"/>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30">
    <w:name w:val="Table Grid 1113"/>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3">
    <w:name w:val="Table Columns 5113"/>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8">
    <w:name w:val="Light List - Accent 1118"/>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5">
    <w:name w:val="Нет списка135"/>
    <w:next w:val="NoList"/>
    <w:semiHidden/>
    <w:unhideWhenUsed/>
    <w:rsid w:val="009032E3"/>
  </w:style>
  <w:style w:type="table" w:customStyle="1" w:styleId="ColorfulGrid-Accent1115">
    <w:name w:val="Colorful Grid - Accent 1115"/>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6">
    <w:name w:val="Light List - Accent 5116"/>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5">
    <w:name w:val="No List425"/>
    <w:next w:val="NoList"/>
    <w:semiHidden/>
    <w:rsid w:val="009032E3"/>
  </w:style>
  <w:style w:type="numbering" w:customStyle="1" w:styleId="NoList1129">
    <w:name w:val="No List1129"/>
    <w:next w:val="NoList"/>
    <w:semiHidden/>
    <w:unhideWhenUsed/>
    <w:rsid w:val="009032E3"/>
  </w:style>
  <w:style w:type="table" w:customStyle="1" w:styleId="Table3Deffects3113">
    <w:name w:val="Table 3D effects 3113"/>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5">
    <w:name w:val="Нет списка1125"/>
    <w:next w:val="NoList"/>
    <w:semiHidden/>
    <w:unhideWhenUsed/>
    <w:rsid w:val="009032E3"/>
  </w:style>
  <w:style w:type="table" w:customStyle="1" w:styleId="TableGrid1115">
    <w:name w:val="Table Grid1115"/>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5">
    <w:name w:val="No List515"/>
    <w:next w:val="NoList"/>
    <w:uiPriority w:val="99"/>
    <w:semiHidden/>
    <w:rsid w:val="009032E3"/>
  </w:style>
  <w:style w:type="numbering" w:customStyle="1" w:styleId="NoList614">
    <w:name w:val="No List614"/>
    <w:next w:val="NoList"/>
    <w:uiPriority w:val="99"/>
    <w:semiHidden/>
    <w:unhideWhenUsed/>
    <w:rsid w:val="009032E3"/>
  </w:style>
  <w:style w:type="table" w:customStyle="1" w:styleId="TableGrid217">
    <w:name w:val="Table Grid217"/>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4">
    <w:name w:val="No List714"/>
    <w:next w:val="NoList"/>
    <w:uiPriority w:val="99"/>
    <w:semiHidden/>
    <w:unhideWhenUsed/>
    <w:rsid w:val="009032E3"/>
  </w:style>
  <w:style w:type="numbering" w:customStyle="1" w:styleId="NoList1217">
    <w:name w:val="No List1217"/>
    <w:next w:val="NoList"/>
    <w:uiPriority w:val="99"/>
    <w:semiHidden/>
    <w:unhideWhenUsed/>
    <w:rsid w:val="009032E3"/>
  </w:style>
  <w:style w:type="table" w:customStyle="1" w:styleId="TableGrid3140">
    <w:name w:val="Table Grid314"/>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4">
    <w:name w:val="Table Web 2114"/>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4">
    <w:name w:val="Table Web 1114"/>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4">
    <w:name w:val="Table Grid 8114"/>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4">
    <w:name w:val="Table Contemporary114"/>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4">
    <w:name w:val="Colorful Grid - Accent 1214"/>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4">
    <w:name w:val="Light List - Accent 5214"/>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4">
    <w:name w:val="No List814"/>
    <w:next w:val="NoList"/>
    <w:uiPriority w:val="99"/>
    <w:semiHidden/>
    <w:unhideWhenUsed/>
    <w:rsid w:val="009032E3"/>
  </w:style>
  <w:style w:type="numbering" w:customStyle="1" w:styleId="1214">
    <w:name w:val="Нет списка1214"/>
    <w:next w:val="NoList"/>
    <w:uiPriority w:val="99"/>
    <w:semiHidden/>
    <w:unhideWhenUsed/>
    <w:rsid w:val="009032E3"/>
  </w:style>
  <w:style w:type="numbering" w:customStyle="1" w:styleId="NoList1314">
    <w:name w:val="No List1314"/>
    <w:next w:val="NoList"/>
    <w:semiHidden/>
    <w:unhideWhenUsed/>
    <w:rsid w:val="009032E3"/>
  </w:style>
  <w:style w:type="numbering" w:customStyle="1" w:styleId="NoList2115">
    <w:name w:val="No List2115"/>
    <w:next w:val="NoList"/>
    <w:semiHidden/>
    <w:unhideWhenUsed/>
    <w:rsid w:val="009032E3"/>
  </w:style>
  <w:style w:type="numbering" w:customStyle="1" w:styleId="NoList3115">
    <w:name w:val="No List3115"/>
    <w:next w:val="NoList"/>
    <w:semiHidden/>
    <w:unhideWhenUsed/>
    <w:rsid w:val="009032E3"/>
  </w:style>
  <w:style w:type="numbering" w:customStyle="1" w:styleId="11123">
    <w:name w:val="Нет списка11123"/>
    <w:next w:val="NoList"/>
    <w:semiHidden/>
    <w:unhideWhenUsed/>
    <w:rsid w:val="009032E3"/>
  </w:style>
  <w:style w:type="numbering" w:customStyle="1" w:styleId="NoList4114">
    <w:name w:val="No List4114"/>
    <w:next w:val="NoList"/>
    <w:semiHidden/>
    <w:rsid w:val="009032E3"/>
  </w:style>
  <w:style w:type="numbering" w:customStyle="1" w:styleId="NoList111114">
    <w:name w:val="No List111114"/>
    <w:next w:val="NoList"/>
    <w:semiHidden/>
    <w:unhideWhenUsed/>
    <w:rsid w:val="009032E3"/>
  </w:style>
  <w:style w:type="numbering" w:customStyle="1" w:styleId="111113">
    <w:name w:val="Нет списка111113"/>
    <w:next w:val="NoList"/>
    <w:semiHidden/>
    <w:unhideWhenUsed/>
    <w:rsid w:val="009032E3"/>
  </w:style>
  <w:style w:type="table" w:customStyle="1" w:styleId="TableGrid65">
    <w:name w:val="Table Grid65"/>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3">
    <w:name w:val="Grid Table 1 Light - Accent 5113"/>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5">
    <w:name w:val="Table Grid22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 Grid7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 Grid8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3">
    <w:name w:val="Grid Table 1 Light - Accent 113"/>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10">
    <w:name w:val="Table List 710"/>
    <w:basedOn w:val="TableNormal"/>
    <w:next w:val="TableList7"/>
    <w:uiPriority w:val="99"/>
    <w:semiHidden/>
    <w:unhideWhenUsed/>
    <w:rsid w:val="009032E3"/>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0">
    <w:name w:val="Table Web 310"/>
    <w:basedOn w:val="TableNormal"/>
    <w:next w:val="TableWeb3"/>
    <w:uiPriority w:val="99"/>
    <w:semiHidden/>
    <w:unhideWhenUsed/>
    <w:rsid w:val="009032E3"/>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0">
    <w:name w:val="Table Elegant10"/>
    <w:basedOn w:val="TableNormal"/>
    <w:next w:val="TableElegant"/>
    <w:uiPriority w:val="99"/>
    <w:semiHidden/>
    <w:unhideWhenUsed/>
    <w:rsid w:val="009032E3"/>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0">
    <w:name w:val="Table Web 210"/>
    <w:basedOn w:val="TableNormal"/>
    <w:next w:val="TableWeb2"/>
    <w:uiPriority w:val="99"/>
    <w:semiHidden/>
    <w:unhideWhenUsed/>
    <w:rsid w:val="009032E3"/>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0">
    <w:name w:val="Table Web 110"/>
    <w:basedOn w:val="TableNormal"/>
    <w:next w:val="TableWeb1"/>
    <w:uiPriority w:val="99"/>
    <w:semiHidden/>
    <w:unhideWhenUsed/>
    <w:rsid w:val="009032E3"/>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00">
    <w:name w:val="Table Grid 810"/>
    <w:basedOn w:val="TableNormal"/>
    <w:next w:val="TableGrid8"/>
    <w:uiPriority w:val="99"/>
    <w:semiHidden/>
    <w:unhideWhenUsed/>
    <w:rsid w:val="009032E3"/>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0">
    <w:name w:val="Table Contemporary10"/>
    <w:basedOn w:val="TableNormal"/>
    <w:next w:val="TableContemporary"/>
    <w:uiPriority w:val="99"/>
    <w:semiHidden/>
    <w:unhideWhenUsed/>
    <w:rsid w:val="009032E3"/>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0">
    <w:name w:val="Light List - Accent 130"/>
    <w:basedOn w:val="TableNormal"/>
    <w:next w:val="LightList-Accent1"/>
    <w:uiPriority w:val="61"/>
    <w:semiHidden/>
    <w:unhideWhenUsed/>
    <w:rsid w:val="009032E3"/>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100">
    <w:name w:val="Table Grid 710"/>
    <w:basedOn w:val="TableNormal"/>
    <w:next w:val="TableGrid7"/>
    <w:uiPriority w:val="99"/>
    <w:semiHidden/>
    <w:unhideWhenUsed/>
    <w:rsid w:val="009032E3"/>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0">
    <w:name w:val="Colorful Grid - Accent 120"/>
    <w:basedOn w:val="TableNormal"/>
    <w:next w:val="ColorfulGrid-Accent1"/>
    <w:uiPriority w:val="73"/>
    <w:semiHidden/>
    <w:unhideWhenUsed/>
    <w:rsid w:val="009032E3"/>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20">
    <w:name w:val="Light List - Accent 520"/>
    <w:basedOn w:val="TableNormal"/>
    <w:next w:val="LightList-Accent5"/>
    <w:uiPriority w:val="61"/>
    <w:semiHidden/>
    <w:unhideWhenUsed/>
    <w:rsid w:val="009032E3"/>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10">
    <w:name w:val="Table Simple 310"/>
    <w:basedOn w:val="TableNormal"/>
    <w:next w:val="TableSimple3"/>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00">
    <w:name w:val="Table Grid 510"/>
    <w:basedOn w:val="TableNormal"/>
    <w:next w:val="TableGrid5"/>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00">
    <w:name w:val="Table Grid 310"/>
    <w:basedOn w:val="TableNormal"/>
    <w:next w:val="TableGrid3"/>
    <w:uiPriority w:val="99"/>
    <w:semiHidden/>
    <w:unhideWhenUsed/>
    <w:rsid w:val="009032E3"/>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2">
    <w:name w:val="Table Grid 110"/>
    <w:basedOn w:val="TableNormal"/>
    <w:next w:val="TableGrid10"/>
    <w:uiPriority w:val="99"/>
    <w:semiHidden/>
    <w:unhideWhenUsed/>
    <w:rsid w:val="009032E3"/>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0">
    <w:name w:val="Table Columns 510"/>
    <w:basedOn w:val="TableNormal"/>
    <w:next w:val="TableColumns5"/>
    <w:uiPriority w:val="99"/>
    <w:semiHidden/>
    <w:unhideWhenUsed/>
    <w:rsid w:val="009032E3"/>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0">
    <w:name w:val="Table 3D effects 310"/>
    <w:basedOn w:val="TableNormal"/>
    <w:next w:val="Table3Deffects3"/>
    <w:uiPriority w:val="99"/>
    <w:semiHidden/>
    <w:unhideWhenUsed/>
    <w:rsid w:val="009032E3"/>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4">
    <w:name w:val="No List154"/>
    <w:next w:val="NoList"/>
    <w:uiPriority w:val="99"/>
    <w:semiHidden/>
    <w:unhideWhenUsed/>
    <w:rsid w:val="009032E3"/>
  </w:style>
  <w:style w:type="table" w:customStyle="1" w:styleId="TableGrid124">
    <w:name w:val="Table Grid124"/>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4">
    <w:name w:val="Table List 724"/>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4">
    <w:name w:val="Table Web 324"/>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4">
    <w:name w:val="Table Elegant24"/>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4">
    <w:name w:val="Table Web 234"/>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4">
    <w:name w:val="Table Web 134"/>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4">
    <w:name w:val="Table Grid 834"/>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4">
    <w:name w:val="Table Contemporary34"/>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4">
    <w:name w:val="No List164"/>
    <w:next w:val="NoList"/>
    <w:semiHidden/>
    <w:unhideWhenUsed/>
    <w:rsid w:val="009032E3"/>
  </w:style>
  <w:style w:type="numbering" w:customStyle="1" w:styleId="NoList234">
    <w:name w:val="No List234"/>
    <w:next w:val="NoList"/>
    <w:semiHidden/>
    <w:unhideWhenUsed/>
    <w:rsid w:val="009032E3"/>
  </w:style>
  <w:style w:type="numbering" w:customStyle="1" w:styleId="NoList334">
    <w:name w:val="No List334"/>
    <w:next w:val="NoList"/>
    <w:semiHidden/>
    <w:unhideWhenUsed/>
    <w:rsid w:val="009032E3"/>
  </w:style>
  <w:style w:type="table" w:customStyle="1" w:styleId="LightList-Accent134">
    <w:name w:val="Light List - Accent 134"/>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4">
    <w:name w:val="Table Grid 724"/>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4">
    <w:name w:val="Colorful Grid - Accent 144"/>
    <w:basedOn w:val="TableNormal"/>
    <w:next w:val="ColorfulGrid-Accent1"/>
    <w:uiPriority w:val="73"/>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4">
    <w:name w:val="Light List - Accent 544"/>
    <w:basedOn w:val="TableNormal"/>
    <w:next w:val="LightList-Accent5"/>
    <w:uiPriority w:val="61"/>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4">
    <w:name w:val="Table Simple 324"/>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4">
    <w:name w:val="Table Grid 524"/>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4">
    <w:name w:val="Table Grid 324"/>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40">
    <w:name w:val="Table Grid 124"/>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4">
    <w:name w:val="Table Columns 524"/>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4">
    <w:name w:val="Light List - Accent 1124"/>
    <w:basedOn w:val="TableNormal"/>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4">
    <w:name w:val="Нет списка144"/>
    <w:next w:val="NoList"/>
    <w:semiHidden/>
    <w:unhideWhenUsed/>
    <w:rsid w:val="009032E3"/>
  </w:style>
  <w:style w:type="table" w:customStyle="1" w:styleId="ColorfulGrid-Accent1124">
    <w:name w:val="Colorful Grid - Accent 1124"/>
    <w:basedOn w:val="TableNormal"/>
    <w:rsid w:val="009032E3"/>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4">
    <w:name w:val="Light List - Accent 5124"/>
    <w:basedOn w:val="TableNormal"/>
    <w:rsid w:val="009032E3"/>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4">
    <w:name w:val="No List434"/>
    <w:next w:val="NoList"/>
    <w:semiHidden/>
    <w:rsid w:val="009032E3"/>
  </w:style>
  <w:style w:type="numbering" w:customStyle="1" w:styleId="NoList1134">
    <w:name w:val="No List1134"/>
    <w:next w:val="NoList"/>
    <w:semiHidden/>
    <w:unhideWhenUsed/>
    <w:rsid w:val="009032E3"/>
  </w:style>
  <w:style w:type="table" w:customStyle="1" w:styleId="Table3Deffects324">
    <w:name w:val="Table 3D effects 324"/>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NoList"/>
    <w:semiHidden/>
    <w:unhideWhenUsed/>
    <w:rsid w:val="009032E3"/>
  </w:style>
  <w:style w:type="table" w:customStyle="1" w:styleId="TableGrid134">
    <w:name w:val="Table Grid134"/>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4">
    <w:name w:val="No List524"/>
    <w:next w:val="NoList"/>
    <w:uiPriority w:val="99"/>
    <w:semiHidden/>
    <w:rsid w:val="009032E3"/>
  </w:style>
  <w:style w:type="numbering" w:customStyle="1" w:styleId="NoList622">
    <w:name w:val="No List622"/>
    <w:next w:val="NoList"/>
    <w:uiPriority w:val="99"/>
    <w:semiHidden/>
    <w:unhideWhenUsed/>
    <w:rsid w:val="009032E3"/>
  </w:style>
  <w:style w:type="table" w:customStyle="1" w:styleId="TableGrid233">
    <w:name w:val="Table Grid233"/>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2">
    <w:name w:val="No List722"/>
    <w:next w:val="NoList"/>
    <w:uiPriority w:val="99"/>
    <w:semiHidden/>
    <w:unhideWhenUsed/>
    <w:rsid w:val="009032E3"/>
  </w:style>
  <w:style w:type="numbering" w:customStyle="1" w:styleId="NoList1224">
    <w:name w:val="No List1224"/>
    <w:next w:val="NoList"/>
    <w:uiPriority w:val="99"/>
    <w:semiHidden/>
    <w:unhideWhenUsed/>
    <w:rsid w:val="009032E3"/>
  </w:style>
  <w:style w:type="table" w:customStyle="1" w:styleId="TableGrid3220">
    <w:name w:val="Table Grid322"/>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2">
    <w:name w:val="Table Web 2122"/>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2">
    <w:name w:val="Table Web 1122"/>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2">
    <w:name w:val="Table Grid 8122"/>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2">
    <w:name w:val="Table Contemporary122"/>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2">
    <w:name w:val="Colorful Grid - Accent 1222"/>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2">
    <w:name w:val="Light List - Accent 5222"/>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2">
    <w:name w:val="No List822"/>
    <w:next w:val="NoList"/>
    <w:uiPriority w:val="99"/>
    <w:semiHidden/>
    <w:unhideWhenUsed/>
    <w:rsid w:val="009032E3"/>
  </w:style>
  <w:style w:type="numbering" w:customStyle="1" w:styleId="1222">
    <w:name w:val="Нет списка1222"/>
    <w:next w:val="NoList"/>
    <w:uiPriority w:val="99"/>
    <w:semiHidden/>
    <w:unhideWhenUsed/>
    <w:rsid w:val="009032E3"/>
  </w:style>
  <w:style w:type="numbering" w:customStyle="1" w:styleId="NoList1322">
    <w:name w:val="No List1322"/>
    <w:next w:val="NoList"/>
    <w:semiHidden/>
    <w:unhideWhenUsed/>
    <w:rsid w:val="009032E3"/>
  </w:style>
  <w:style w:type="numbering" w:customStyle="1" w:styleId="NoList2124">
    <w:name w:val="No List2124"/>
    <w:next w:val="NoList"/>
    <w:semiHidden/>
    <w:unhideWhenUsed/>
    <w:rsid w:val="009032E3"/>
  </w:style>
  <w:style w:type="numbering" w:customStyle="1" w:styleId="NoList3124">
    <w:name w:val="No List3124"/>
    <w:next w:val="NoList"/>
    <w:semiHidden/>
    <w:unhideWhenUsed/>
    <w:rsid w:val="009032E3"/>
  </w:style>
  <w:style w:type="numbering" w:customStyle="1" w:styleId="11132">
    <w:name w:val="Нет списка11132"/>
    <w:next w:val="NoList"/>
    <w:semiHidden/>
    <w:unhideWhenUsed/>
    <w:rsid w:val="009032E3"/>
  </w:style>
  <w:style w:type="numbering" w:customStyle="1" w:styleId="NoList4122">
    <w:name w:val="No List4122"/>
    <w:next w:val="NoList"/>
    <w:semiHidden/>
    <w:rsid w:val="009032E3"/>
  </w:style>
  <w:style w:type="numbering" w:customStyle="1" w:styleId="NoList11124">
    <w:name w:val="No List11124"/>
    <w:next w:val="NoList"/>
    <w:semiHidden/>
    <w:unhideWhenUsed/>
    <w:rsid w:val="009032E3"/>
  </w:style>
  <w:style w:type="numbering" w:customStyle="1" w:styleId="111122">
    <w:name w:val="Нет списка111122"/>
    <w:next w:val="NoList"/>
    <w:semiHidden/>
    <w:unhideWhenUsed/>
    <w:rsid w:val="009032E3"/>
  </w:style>
  <w:style w:type="numbering" w:customStyle="1" w:styleId="NoList913">
    <w:name w:val="No List913"/>
    <w:next w:val="NoList"/>
    <w:uiPriority w:val="99"/>
    <w:semiHidden/>
    <w:unhideWhenUsed/>
    <w:rsid w:val="009032E3"/>
  </w:style>
  <w:style w:type="table" w:customStyle="1" w:styleId="TableGrid422">
    <w:name w:val="Table Grid422"/>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
    <w:name w:val="Grid Table 1 Light - Accent 5121"/>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1">
    <w:name w:val="Plain Table 3111"/>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1">
    <w:name w:val="Grid Table 4 - Accent 1111"/>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13">
    <w:name w:val="No List1013"/>
    <w:next w:val="NoList"/>
    <w:uiPriority w:val="99"/>
    <w:semiHidden/>
    <w:unhideWhenUsed/>
    <w:rsid w:val="009032E3"/>
  </w:style>
  <w:style w:type="table" w:customStyle="1" w:styleId="TableGrid5130">
    <w:name w:val="Table Grid513"/>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2">
    <w:name w:val="Table List 7122"/>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2">
    <w:name w:val="Table Web 3122"/>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2">
    <w:name w:val="Table Elegant122"/>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3">
    <w:name w:val="Table Web 2213"/>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3">
    <w:name w:val="Table Web 1213"/>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3">
    <w:name w:val="Table Grid 8213"/>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3">
    <w:name w:val="Table Contemporary213"/>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3">
    <w:name w:val="No List1413"/>
    <w:next w:val="NoList"/>
    <w:semiHidden/>
    <w:unhideWhenUsed/>
    <w:rsid w:val="009032E3"/>
  </w:style>
  <w:style w:type="numbering" w:customStyle="1" w:styleId="NoList2213">
    <w:name w:val="No List2213"/>
    <w:next w:val="NoList"/>
    <w:semiHidden/>
    <w:unhideWhenUsed/>
    <w:rsid w:val="009032E3"/>
  </w:style>
  <w:style w:type="numbering" w:customStyle="1" w:styleId="NoList3213">
    <w:name w:val="No List3213"/>
    <w:next w:val="NoList"/>
    <w:semiHidden/>
    <w:unhideWhenUsed/>
    <w:rsid w:val="009032E3"/>
  </w:style>
  <w:style w:type="table" w:customStyle="1" w:styleId="LightList-Accent1213">
    <w:name w:val="Light List - Accent 12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2">
    <w:name w:val="Table Grid 7122"/>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3">
    <w:name w:val="Colorful Grid - Accent 1313"/>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3">
    <w:name w:val="Light List - Accent 5313"/>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2">
    <w:name w:val="Table Simple 3122"/>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2">
    <w:name w:val="Table Grid 5122"/>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2">
    <w:name w:val="Table Grid 3122"/>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2">
    <w:name w:val="Table Grid 1122"/>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2">
    <w:name w:val="Table Columns 5122"/>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3">
    <w:name w:val="Light List - Accent 111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3">
    <w:name w:val="Нет списка1313"/>
    <w:next w:val="NoList"/>
    <w:semiHidden/>
    <w:unhideWhenUsed/>
    <w:rsid w:val="009032E3"/>
  </w:style>
  <w:style w:type="table" w:customStyle="1" w:styleId="ColorfulGrid-Accent11113">
    <w:name w:val="Colorful Grid - Accent 11113"/>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3">
    <w:name w:val="Light List - Accent 51113"/>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3">
    <w:name w:val="No List4213"/>
    <w:next w:val="NoList"/>
    <w:semiHidden/>
    <w:rsid w:val="009032E3"/>
  </w:style>
  <w:style w:type="numbering" w:customStyle="1" w:styleId="NoList11214">
    <w:name w:val="No List11214"/>
    <w:next w:val="NoList"/>
    <w:semiHidden/>
    <w:unhideWhenUsed/>
    <w:rsid w:val="009032E3"/>
  </w:style>
  <w:style w:type="table" w:customStyle="1" w:styleId="Table3Deffects3122">
    <w:name w:val="Table 3D effects 3122"/>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3">
    <w:name w:val="Нет списка11213"/>
    <w:next w:val="NoList"/>
    <w:semiHidden/>
    <w:unhideWhenUsed/>
    <w:rsid w:val="009032E3"/>
  </w:style>
  <w:style w:type="table" w:customStyle="1" w:styleId="TableGrid11220">
    <w:name w:val="Table Grid1122"/>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3">
    <w:name w:val="No List5113"/>
    <w:next w:val="NoList"/>
    <w:uiPriority w:val="99"/>
    <w:semiHidden/>
    <w:rsid w:val="009032E3"/>
  </w:style>
  <w:style w:type="numbering" w:customStyle="1" w:styleId="NoList6112">
    <w:name w:val="No List6112"/>
    <w:next w:val="NoList"/>
    <w:uiPriority w:val="99"/>
    <w:semiHidden/>
    <w:unhideWhenUsed/>
    <w:rsid w:val="009032E3"/>
  </w:style>
  <w:style w:type="table" w:customStyle="1" w:styleId="TableGrid2113">
    <w:name w:val="Table Grid2113"/>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2">
    <w:name w:val="No List7112"/>
    <w:next w:val="NoList"/>
    <w:uiPriority w:val="99"/>
    <w:semiHidden/>
    <w:unhideWhenUsed/>
    <w:rsid w:val="009032E3"/>
  </w:style>
  <w:style w:type="numbering" w:customStyle="1" w:styleId="NoList12113">
    <w:name w:val="No List12113"/>
    <w:next w:val="NoList"/>
    <w:uiPriority w:val="99"/>
    <w:semiHidden/>
    <w:unhideWhenUsed/>
    <w:rsid w:val="009032E3"/>
  </w:style>
  <w:style w:type="table" w:customStyle="1" w:styleId="TableGrid31120">
    <w:name w:val="Table Grid3112"/>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2">
    <w:name w:val="Table Web 21112"/>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2">
    <w:name w:val="Table Web 11112"/>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2">
    <w:name w:val="Table Grid 81112"/>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2">
    <w:name w:val="Table Contemporary1112"/>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2">
    <w:name w:val="Colorful Grid - Accent 12112"/>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2">
    <w:name w:val="Light List - Accent 52112"/>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2">
    <w:name w:val="No List8112"/>
    <w:next w:val="NoList"/>
    <w:uiPriority w:val="99"/>
    <w:semiHidden/>
    <w:unhideWhenUsed/>
    <w:rsid w:val="009032E3"/>
  </w:style>
  <w:style w:type="numbering" w:customStyle="1" w:styleId="12112">
    <w:name w:val="Нет списка12112"/>
    <w:next w:val="NoList"/>
    <w:uiPriority w:val="99"/>
    <w:semiHidden/>
    <w:unhideWhenUsed/>
    <w:rsid w:val="009032E3"/>
  </w:style>
  <w:style w:type="numbering" w:customStyle="1" w:styleId="NoList13112">
    <w:name w:val="No List13112"/>
    <w:next w:val="NoList"/>
    <w:semiHidden/>
    <w:unhideWhenUsed/>
    <w:rsid w:val="009032E3"/>
  </w:style>
  <w:style w:type="numbering" w:customStyle="1" w:styleId="NoList21113">
    <w:name w:val="No List21113"/>
    <w:next w:val="NoList"/>
    <w:semiHidden/>
    <w:unhideWhenUsed/>
    <w:rsid w:val="009032E3"/>
  </w:style>
  <w:style w:type="numbering" w:customStyle="1" w:styleId="NoList31113">
    <w:name w:val="No List31113"/>
    <w:next w:val="NoList"/>
    <w:semiHidden/>
    <w:unhideWhenUsed/>
    <w:rsid w:val="009032E3"/>
  </w:style>
  <w:style w:type="numbering" w:customStyle="1" w:styleId="111212">
    <w:name w:val="Нет списка111212"/>
    <w:next w:val="NoList"/>
    <w:semiHidden/>
    <w:unhideWhenUsed/>
    <w:rsid w:val="009032E3"/>
  </w:style>
  <w:style w:type="numbering" w:customStyle="1" w:styleId="NoList41112">
    <w:name w:val="No List41112"/>
    <w:next w:val="NoList"/>
    <w:semiHidden/>
    <w:rsid w:val="009032E3"/>
  </w:style>
  <w:style w:type="numbering" w:customStyle="1" w:styleId="NoList111124">
    <w:name w:val="No List111124"/>
    <w:next w:val="NoList"/>
    <w:semiHidden/>
    <w:unhideWhenUsed/>
    <w:rsid w:val="009032E3"/>
  </w:style>
  <w:style w:type="numbering" w:customStyle="1" w:styleId="1111112">
    <w:name w:val="Нет списка1111112"/>
    <w:next w:val="NoList"/>
    <w:semiHidden/>
    <w:unhideWhenUsed/>
    <w:rsid w:val="009032E3"/>
  </w:style>
  <w:style w:type="table" w:customStyle="1" w:styleId="TableGrid613">
    <w:name w:val="Table Grid613"/>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2">
    <w:name w:val="Grid Table 1 Light - Accent 51112"/>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4">
    <w:name w:val="Table Grid22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7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 Grid8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1">
    <w:name w:val="Grid Table 1 Light - Accent 1111"/>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3">
    <w:name w:val="Table Grid143"/>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72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0">
    <w:name w:val="Table Grid73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
    <w:name w:val="Table Grid111311"/>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6">
    <w:name w:val="No List66"/>
    <w:next w:val="NoList"/>
    <w:uiPriority w:val="99"/>
    <w:semiHidden/>
    <w:unhideWhenUsed/>
    <w:rsid w:val="00E27F1D"/>
  </w:style>
  <w:style w:type="numbering" w:customStyle="1" w:styleId="NoList2221">
    <w:name w:val="No List2221"/>
    <w:next w:val="NoList"/>
    <w:semiHidden/>
    <w:rsid w:val="009F0A25"/>
  </w:style>
  <w:style w:type="numbering" w:customStyle="1" w:styleId="NoList3221">
    <w:name w:val="No List3221"/>
    <w:next w:val="NoList"/>
    <w:semiHidden/>
    <w:unhideWhenUsed/>
    <w:rsid w:val="009F0A25"/>
  </w:style>
  <w:style w:type="numbering" w:customStyle="1" w:styleId="NoList5121">
    <w:name w:val="No List5121"/>
    <w:next w:val="NoList"/>
    <w:uiPriority w:val="99"/>
    <w:semiHidden/>
    <w:unhideWhenUsed/>
    <w:rsid w:val="009F0A25"/>
  </w:style>
  <w:style w:type="numbering" w:customStyle="1" w:styleId="NoList12121">
    <w:name w:val="No List12121"/>
    <w:next w:val="NoList"/>
    <w:semiHidden/>
    <w:rsid w:val="009F0A25"/>
  </w:style>
  <w:style w:type="numbering" w:customStyle="1" w:styleId="NoList21121">
    <w:name w:val="No List21121"/>
    <w:next w:val="NoList"/>
    <w:semiHidden/>
    <w:rsid w:val="009F0A25"/>
  </w:style>
  <w:style w:type="numbering" w:customStyle="1" w:styleId="NoList31121">
    <w:name w:val="No List31121"/>
    <w:next w:val="NoList"/>
    <w:uiPriority w:val="99"/>
    <w:semiHidden/>
    <w:unhideWhenUsed/>
    <w:rsid w:val="009F0A25"/>
  </w:style>
  <w:style w:type="numbering" w:customStyle="1" w:styleId="NoList921">
    <w:name w:val="No List921"/>
    <w:next w:val="NoList"/>
    <w:uiPriority w:val="99"/>
    <w:semiHidden/>
    <w:unhideWhenUsed/>
    <w:rsid w:val="009F0A25"/>
  </w:style>
  <w:style w:type="numbering" w:customStyle="1" w:styleId="NoList1421">
    <w:name w:val="No List1421"/>
    <w:next w:val="NoList"/>
    <w:semiHidden/>
    <w:unhideWhenUsed/>
    <w:rsid w:val="009F0A25"/>
  </w:style>
  <w:style w:type="numbering" w:customStyle="1" w:styleId="1321">
    <w:name w:val="Нет списка1321"/>
    <w:next w:val="NoList"/>
    <w:semiHidden/>
    <w:unhideWhenUsed/>
    <w:rsid w:val="009F0A25"/>
  </w:style>
  <w:style w:type="numbering" w:customStyle="1" w:styleId="NoList4221">
    <w:name w:val="No List4221"/>
    <w:next w:val="NoList"/>
    <w:semiHidden/>
    <w:rsid w:val="009F0A25"/>
  </w:style>
  <w:style w:type="numbering" w:customStyle="1" w:styleId="11221">
    <w:name w:val="Нет списка11221"/>
    <w:next w:val="NoList"/>
    <w:semiHidden/>
    <w:unhideWhenUsed/>
    <w:rsid w:val="009F0A25"/>
  </w:style>
  <w:style w:type="numbering" w:customStyle="1" w:styleId="NoList1021">
    <w:name w:val="No List1021"/>
    <w:next w:val="NoList"/>
    <w:uiPriority w:val="99"/>
    <w:semiHidden/>
    <w:unhideWhenUsed/>
    <w:rsid w:val="009F0A25"/>
  </w:style>
  <w:style w:type="numbering" w:customStyle="1" w:styleId="NoList1811">
    <w:name w:val="No List1811"/>
    <w:next w:val="NoList"/>
    <w:uiPriority w:val="99"/>
    <w:semiHidden/>
    <w:unhideWhenUsed/>
    <w:rsid w:val="009F0A25"/>
  </w:style>
  <w:style w:type="numbering" w:customStyle="1" w:styleId="1511">
    <w:name w:val="Нет списка1511"/>
    <w:next w:val="NoList"/>
    <w:semiHidden/>
    <w:unhideWhenUsed/>
    <w:rsid w:val="009F0A25"/>
  </w:style>
  <w:style w:type="numbering" w:customStyle="1" w:styleId="NoList4411">
    <w:name w:val="No List4411"/>
    <w:next w:val="NoList"/>
    <w:semiHidden/>
    <w:rsid w:val="009F0A25"/>
  </w:style>
  <w:style w:type="numbering" w:customStyle="1" w:styleId="11411">
    <w:name w:val="Нет списка11411"/>
    <w:next w:val="NoList"/>
    <w:semiHidden/>
    <w:unhideWhenUsed/>
    <w:rsid w:val="009F0A25"/>
  </w:style>
  <w:style w:type="numbering" w:customStyle="1" w:styleId="NoList1111311">
    <w:name w:val="No List1111311"/>
    <w:next w:val="NoList"/>
    <w:semiHidden/>
    <w:rsid w:val="009F0A25"/>
  </w:style>
  <w:style w:type="numbering" w:customStyle="1" w:styleId="NoList5311">
    <w:name w:val="No List5311"/>
    <w:next w:val="NoList"/>
    <w:uiPriority w:val="99"/>
    <w:semiHidden/>
    <w:unhideWhenUsed/>
    <w:rsid w:val="009F0A25"/>
  </w:style>
  <w:style w:type="numbering" w:customStyle="1" w:styleId="NoList12311">
    <w:name w:val="No List12311"/>
    <w:next w:val="NoList"/>
    <w:semiHidden/>
    <w:rsid w:val="009F0A25"/>
  </w:style>
  <w:style w:type="numbering" w:customStyle="1" w:styleId="NoList21311">
    <w:name w:val="No List21311"/>
    <w:next w:val="NoList"/>
    <w:semiHidden/>
    <w:rsid w:val="009F0A25"/>
  </w:style>
  <w:style w:type="numbering" w:customStyle="1" w:styleId="NoList31311">
    <w:name w:val="No List31311"/>
    <w:next w:val="NoList"/>
    <w:uiPriority w:val="99"/>
    <w:semiHidden/>
    <w:unhideWhenUsed/>
    <w:rsid w:val="009F0A25"/>
  </w:style>
  <w:style w:type="numbering" w:customStyle="1" w:styleId="NoList113111">
    <w:name w:val="No List113111"/>
    <w:next w:val="NoList"/>
    <w:semiHidden/>
    <w:rsid w:val="009F0A25"/>
  </w:style>
  <w:style w:type="numbering" w:customStyle="1" w:styleId="NoList1112111">
    <w:name w:val="No List1112111"/>
    <w:next w:val="NoList"/>
    <w:semiHidden/>
    <w:rsid w:val="009F0A25"/>
  </w:style>
  <w:style w:type="numbering" w:customStyle="1" w:styleId="NoList22111">
    <w:name w:val="No List22111"/>
    <w:next w:val="NoList"/>
    <w:semiHidden/>
    <w:rsid w:val="009F0A25"/>
  </w:style>
  <w:style w:type="numbering" w:customStyle="1" w:styleId="NoList32111">
    <w:name w:val="No List32111"/>
    <w:next w:val="NoList"/>
    <w:semiHidden/>
    <w:unhideWhenUsed/>
    <w:rsid w:val="009F0A25"/>
  </w:style>
  <w:style w:type="numbering" w:customStyle="1" w:styleId="NoList51111">
    <w:name w:val="No List51111"/>
    <w:next w:val="NoList"/>
    <w:uiPriority w:val="99"/>
    <w:semiHidden/>
    <w:unhideWhenUsed/>
    <w:rsid w:val="009F0A25"/>
  </w:style>
  <w:style w:type="numbering" w:customStyle="1" w:styleId="NoList121111">
    <w:name w:val="No List121111"/>
    <w:next w:val="NoList"/>
    <w:semiHidden/>
    <w:rsid w:val="009F0A25"/>
  </w:style>
  <w:style w:type="numbering" w:customStyle="1" w:styleId="NoList1121111">
    <w:name w:val="No List1121111"/>
    <w:next w:val="NoList"/>
    <w:semiHidden/>
    <w:rsid w:val="009F0A25"/>
  </w:style>
  <w:style w:type="numbering" w:customStyle="1" w:styleId="NoList1111111111">
    <w:name w:val="No List1111111111"/>
    <w:next w:val="NoList"/>
    <w:semiHidden/>
    <w:rsid w:val="009F0A25"/>
  </w:style>
  <w:style w:type="numbering" w:customStyle="1" w:styleId="NoList211111">
    <w:name w:val="No List211111"/>
    <w:next w:val="NoList"/>
    <w:semiHidden/>
    <w:rsid w:val="009F0A25"/>
  </w:style>
  <w:style w:type="numbering" w:customStyle="1" w:styleId="NoList311111">
    <w:name w:val="No List311111"/>
    <w:next w:val="NoList"/>
    <w:uiPriority w:val="99"/>
    <w:semiHidden/>
    <w:unhideWhenUsed/>
    <w:rsid w:val="009F0A25"/>
  </w:style>
  <w:style w:type="numbering" w:customStyle="1" w:styleId="NoList9111">
    <w:name w:val="No List9111"/>
    <w:next w:val="NoList"/>
    <w:uiPriority w:val="99"/>
    <w:semiHidden/>
    <w:unhideWhenUsed/>
    <w:rsid w:val="009F0A25"/>
  </w:style>
  <w:style w:type="numbering" w:customStyle="1" w:styleId="NoList14111">
    <w:name w:val="No List14111"/>
    <w:next w:val="NoList"/>
    <w:semiHidden/>
    <w:unhideWhenUsed/>
    <w:rsid w:val="009F0A25"/>
  </w:style>
  <w:style w:type="numbering" w:customStyle="1" w:styleId="NoList23111">
    <w:name w:val="No List23111"/>
    <w:next w:val="NoList"/>
    <w:semiHidden/>
    <w:unhideWhenUsed/>
    <w:rsid w:val="009F0A25"/>
  </w:style>
  <w:style w:type="numbering" w:customStyle="1" w:styleId="NoList33111">
    <w:name w:val="No List33111"/>
    <w:next w:val="NoList"/>
    <w:semiHidden/>
    <w:unhideWhenUsed/>
    <w:rsid w:val="009F0A25"/>
  </w:style>
  <w:style w:type="numbering" w:customStyle="1" w:styleId="13111">
    <w:name w:val="Нет списка13111"/>
    <w:next w:val="NoList"/>
    <w:semiHidden/>
    <w:unhideWhenUsed/>
    <w:rsid w:val="009F0A25"/>
  </w:style>
  <w:style w:type="numbering" w:customStyle="1" w:styleId="NoList42111">
    <w:name w:val="No List42111"/>
    <w:next w:val="NoList"/>
    <w:semiHidden/>
    <w:rsid w:val="009F0A25"/>
  </w:style>
  <w:style w:type="numbering" w:customStyle="1" w:styleId="NoList114111">
    <w:name w:val="No List114111"/>
    <w:next w:val="NoList"/>
    <w:semiHidden/>
    <w:unhideWhenUsed/>
    <w:rsid w:val="009F0A25"/>
  </w:style>
  <w:style w:type="numbering" w:customStyle="1" w:styleId="112111">
    <w:name w:val="Нет списка112111"/>
    <w:next w:val="NoList"/>
    <w:semiHidden/>
    <w:unhideWhenUsed/>
    <w:rsid w:val="009F0A25"/>
  </w:style>
  <w:style w:type="numbering" w:customStyle="1" w:styleId="NoList10111">
    <w:name w:val="No List10111"/>
    <w:next w:val="NoList"/>
    <w:uiPriority w:val="99"/>
    <w:semiHidden/>
    <w:unhideWhenUsed/>
    <w:rsid w:val="009F0A25"/>
  </w:style>
  <w:style w:type="numbering" w:customStyle="1" w:styleId="NoList15111">
    <w:name w:val="No List15111"/>
    <w:next w:val="NoList"/>
    <w:semiHidden/>
    <w:unhideWhenUsed/>
    <w:rsid w:val="009F0A25"/>
  </w:style>
  <w:style w:type="numbering" w:customStyle="1" w:styleId="NoList1113111">
    <w:name w:val="No List1113111"/>
    <w:next w:val="NoList"/>
    <w:semiHidden/>
    <w:rsid w:val="009F0A25"/>
  </w:style>
  <w:style w:type="numbering" w:customStyle="1" w:styleId="NoList24111">
    <w:name w:val="No List24111"/>
    <w:next w:val="NoList"/>
    <w:semiHidden/>
    <w:rsid w:val="009F0A25"/>
  </w:style>
  <w:style w:type="numbering" w:customStyle="1" w:styleId="NoList34111">
    <w:name w:val="No List34111"/>
    <w:next w:val="NoList"/>
    <w:semiHidden/>
    <w:unhideWhenUsed/>
    <w:rsid w:val="009F0A25"/>
  </w:style>
  <w:style w:type="numbering" w:customStyle="1" w:styleId="14111">
    <w:name w:val="Нет списка14111"/>
    <w:next w:val="NoList"/>
    <w:semiHidden/>
    <w:unhideWhenUsed/>
    <w:rsid w:val="009F0A25"/>
  </w:style>
  <w:style w:type="numbering" w:customStyle="1" w:styleId="NoList43111">
    <w:name w:val="No List43111"/>
    <w:next w:val="NoList"/>
    <w:semiHidden/>
    <w:rsid w:val="009F0A25"/>
  </w:style>
  <w:style w:type="numbering" w:customStyle="1" w:styleId="113111">
    <w:name w:val="Нет списка113111"/>
    <w:next w:val="NoList"/>
    <w:semiHidden/>
    <w:unhideWhenUsed/>
    <w:rsid w:val="009F0A25"/>
  </w:style>
  <w:style w:type="numbering" w:customStyle="1" w:styleId="NoList52111">
    <w:name w:val="No List52111"/>
    <w:next w:val="NoList"/>
    <w:uiPriority w:val="99"/>
    <w:semiHidden/>
    <w:unhideWhenUsed/>
    <w:rsid w:val="009F0A25"/>
  </w:style>
  <w:style w:type="numbering" w:customStyle="1" w:styleId="NoList122111">
    <w:name w:val="No List122111"/>
    <w:next w:val="NoList"/>
    <w:semiHidden/>
    <w:rsid w:val="009F0A25"/>
  </w:style>
  <w:style w:type="numbering" w:customStyle="1" w:styleId="NoList1122111">
    <w:name w:val="No List1122111"/>
    <w:next w:val="NoList"/>
    <w:semiHidden/>
    <w:rsid w:val="009F0A25"/>
  </w:style>
  <w:style w:type="numbering" w:customStyle="1" w:styleId="NoList11112111">
    <w:name w:val="No List11112111"/>
    <w:next w:val="NoList"/>
    <w:semiHidden/>
    <w:rsid w:val="009F0A25"/>
  </w:style>
  <w:style w:type="numbering" w:customStyle="1" w:styleId="NoList212111">
    <w:name w:val="No List212111"/>
    <w:next w:val="NoList"/>
    <w:semiHidden/>
    <w:rsid w:val="009F0A25"/>
  </w:style>
  <w:style w:type="numbering" w:customStyle="1" w:styleId="NoList312111">
    <w:name w:val="No List312111"/>
    <w:next w:val="NoList"/>
    <w:uiPriority w:val="99"/>
    <w:semiHidden/>
    <w:unhideWhenUsed/>
    <w:rsid w:val="009F0A25"/>
  </w:style>
  <w:style w:type="numbering" w:customStyle="1" w:styleId="NoList16111">
    <w:name w:val="No List16111"/>
    <w:next w:val="NoList"/>
    <w:uiPriority w:val="99"/>
    <w:semiHidden/>
    <w:unhideWhenUsed/>
    <w:rsid w:val="009F0A25"/>
  </w:style>
  <w:style w:type="numbering" w:customStyle="1" w:styleId="NoList17111">
    <w:name w:val="No List17111"/>
    <w:next w:val="NoList"/>
    <w:uiPriority w:val="99"/>
    <w:semiHidden/>
    <w:unhideWhenUsed/>
    <w:rsid w:val="009F0A25"/>
  </w:style>
  <w:style w:type="table" w:customStyle="1" w:styleId="LightList-Accent12211">
    <w:name w:val="Light List - Accent 12211"/>
    <w:basedOn w:val="TableNormal"/>
    <w:next w:val="LightList-Accent1"/>
    <w:uiPriority w:val="61"/>
    <w:rsid w:val="009F0A25"/>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1">
    <w:name w:val="Medium List 2 - Accent 111"/>
    <w:basedOn w:val="TableNormal"/>
    <w:next w:val="MediumList2-Accent1"/>
    <w:uiPriority w:val="66"/>
    <w:rsid w:val="009F0A25"/>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3-Accent611">
    <w:name w:val="Medium Grid 3 - Accent 611"/>
    <w:basedOn w:val="TableNormal"/>
    <w:next w:val="MediumGrid3-Accent6"/>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Accent511">
    <w:name w:val="Medium List 1 - Accent 511"/>
    <w:basedOn w:val="TableNormal"/>
    <w:next w:val="MediumList1-Accent5"/>
    <w:uiPriority w:val="65"/>
    <w:rsid w:val="009F0A25"/>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Accent311">
    <w:name w:val="Light List - Accent 311"/>
    <w:basedOn w:val="TableNormal"/>
    <w:next w:val="LightList-Accent3"/>
    <w:uiPriority w:val="61"/>
    <w:rsid w:val="009F0A25"/>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
    <w:name w:val="Medium List 2 - Accent 311"/>
    <w:basedOn w:val="TableNormal"/>
    <w:next w:val="MediumList2-Accent3"/>
    <w:uiPriority w:val="66"/>
    <w:rsid w:val="009F0A25"/>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rsid w:val="009F0A25"/>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TableList7131">
    <w:name w:val="Table List 7131"/>
    <w:basedOn w:val="TableNormal"/>
    <w:next w:val="TableList7"/>
    <w:rsid w:val="009F0A2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1">
    <w:name w:val="Table Web 3131"/>
    <w:basedOn w:val="TableNormal"/>
    <w:next w:val="TableWeb3"/>
    <w:rsid w:val="009F0A2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1">
    <w:name w:val="Table Elegant131"/>
    <w:basedOn w:val="TableNormal"/>
    <w:next w:val="TableElegant"/>
    <w:rsid w:val="009F0A2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1">
    <w:name w:val="Table Web 213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1">
    <w:name w:val="Table Web 113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1">
    <w:name w:val="Table Grid 813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1">
    <w:name w:val="Table Contemporary13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7131">
    <w:name w:val="Table Grid 7131"/>
    <w:basedOn w:val="TableNormal"/>
    <w:next w:val="TableGrid7"/>
    <w:rsid w:val="009F0A2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31">
    <w:name w:val="Table Simple 3131"/>
    <w:basedOn w:val="TableNormal"/>
    <w:next w:val="TableSimple3"/>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1">
    <w:name w:val="Table Grid 5131"/>
    <w:basedOn w:val="TableNormal"/>
    <w:next w:val="TableGrid5"/>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1">
    <w:name w:val="Table Grid 3131"/>
    <w:basedOn w:val="TableNormal"/>
    <w:next w:val="TableGrid3"/>
    <w:rsid w:val="009F0A2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1">
    <w:name w:val="Table Grid 1131"/>
    <w:basedOn w:val="TableNormal"/>
    <w:next w:val="TableGrid10"/>
    <w:rsid w:val="009F0A2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1">
    <w:name w:val="Table Columns 5131"/>
    <w:basedOn w:val="TableNormal"/>
    <w:next w:val="TableColumns5"/>
    <w:rsid w:val="009F0A2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NoList4131">
    <w:name w:val="No List4131"/>
    <w:next w:val="NoList"/>
    <w:semiHidden/>
    <w:rsid w:val="009F0A25"/>
  </w:style>
  <w:style w:type="table" w:customStyle="1" w:styleId="Table3Deffects3131">
    <w:name w:val="Table 3D effects 3131"/>
    <w:basedOn w:val="TableNormal"/>
    <w:next w:val="Table3Deffects3"/>
    <w:rsid w:val="009F0A2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631">
    <w:name w:val="No List631"/>
    <w:next w:val="NoList"/>
    <w:uiPriority w:val="99"/>
    <w:semiHidden/>
    <w:unhideWhenUsed/>
    <w:rsid w:val="009F0A25"/>
  </w:style>
  <w:style w:type="numbering" w:customStyle="1" w:styleId="NoList731">
    <w:name w:val="No List731"/>
    <w:next w:val="NoList"/>
    <w:uiPriority w:val="99"/>
    <w:semiHidden/>
    <w:unhideWhenUsed/>
    <w:rsid w:val="009F0A25"/>
  </w:style>
  <w:style w:type="table" w:customStyle="1" w:styleId="TableGrid3310">
    <w:name w:val="Table Grid33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1">
    <w:name w:val="Colorful Grid - Accent 123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1">
    <w:name w:val="Light List - Accent 523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1">
    <w:name w:val="No List831"/>
    <w:next w:val="NoList"/>
    <w:uiPriority w:val="99"/>
    <w:semiHidden/>
    <w:unhideWhenUsed/>
    <w:rsid w:val="009F0A25"/>
  </w:style>
  <w:style w:type="numbering" w:customStyle="1" w:styleId="1231">
    <w:name w:val="Нет списка1231"/>
    <w:next w:val="NoList"/>
    <w:uiPriority w:val="99"/>
    <w:semiHidden/>
    <w:unhideWhenUsed/>
    <w:rsid w:val="009F0A25"/>
  </w:style>
  <w:style w:type="numbering" w:customStyle="1" w:styleId="NoList1331">
    <w:name w:val="No List1331"/>
    <w:next w:val="NoList"/>
    <w:semiHidden/>
    <w:unhideWhenUsed/>
    <w:rsid w:val="009F0A25"/>
  </w:style>
  <w:style w:type="table" w:customStyle="1" w:styleId="TableGrid431">
    <w:name w:val="Table Grid43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9F0A25"/>
  </w:style>
  <w:style w:type="numbering" w:customStyle="1" w:styleId="NoList7121">
    <w:name w:val="No List7121"/>
    <w:next w:val="NoList"/>
    <w:uiPriority w:val="99"/>
    <w:semiHidden/>
    <w:unhideWhenUsed/>
    <w:rsid w:val="009F0A25"/>
  </w:style>
  <w:style w:type="table" w:customStyle="1" w:styleId="TableGrid31210">
    <w:name w:val="Table Grid312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1">
    <w:name w:val="Table Web 2112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1">
    <w:name w:val="Table Web 1112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1">
    <w:name w:val="Table Grid 8112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1">
    <w:name w:val="Table Contemporary112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1">
    <w:name w:val="Colorful Grid - Accent 1212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1">
    <w:name w:val="Light List - Accent 5212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1">
    <w:name w:val="No List8121"/>
    <w:next w:val="NoList"/>
    <w:uiPriority w:val="99"/>
    <w:semiHidden/>
    <w:unhideWhenUsed/>
    <w:rsid w:val="009F0A25"/>
  </w:style>
  <w:style w:type="numbering" w:customStyle="1" w:styleId="12121">
    <w:name w:val="Нет списка12121"/>
    <w:next w:val="NoList"/>
    <w:uiPriority w:val="99"/>
    <w:semiHidden/>
    <w:unhideWhenUsed/>
    <w:rsid w:val="009F0A25"/>
  </w:style>
  <w:style w:type="numbering" w:customStyle="1" w:styleId="NoList13121">
    <w:name w:val="No List13121"/>
    <w:next w:val="NoList"/>
    <w:semiHidden/>
    <w:unhideWhenUsed/>
    <w:rsid w:val="009F0A25"/>
  </w:style>
  <w:style w:type="numbering" w:customStyle="1" w:styleId="NoList41121">
    <w:name w:val="No List41121"/>
    <w:next w:val="NoList"/>
    <w:semiHidden/>
    <w:rsid w:val="009F0A25"/>
  </w:style>
  <w:style w:type="table" w:customStyle="1" w:styleId="TableGrid4121">
    <w:name w:val="Table Grid41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 Grid8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9F0A25"/>
  </w:style>
  <w:style w:type="numbering" w:customStyle="1" w:styleId="NoList7211">
    <w:name w:val="No List7211"/>
    <w:next w:val="NoList"/>
    <w:uiPriority w:val="99"/>
    <w:semiHidden/>
    <w:unhideWhenUsed/>
    <w:rsid w:val="009F0A25"/>
  </w:style>
  <w:style w:type="table" w:customStyle="1" w:styleId="TableGrid32110">
    <w:name w:val="Table Grid321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1">
    <w:name w:val="Table Web 2121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1">
    <w:name w:val="Table Web 1121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1">
    <w:name w:val="Table Grid 8121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1">
    <w:name w:val="Table Contemporary121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1">
    <w:name w:val="Colorful Grid - Accent 1221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1">
    <w:name w:val="Light List - Accent 5221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1">
    <w:name w:val="No List8211"/>
    <w:next w:val="NoList"/>
    <w:uiPriority w:val="99"/>
    <w:semiHidden/>
    <w:unhideWhenUsed/>
    <w:rsid w:val="009F0A25"/>
  </w:style>
  <w:style w:type="numbering" w:customStyle="1" w:styleId="12211">
    <w:name w:val="Нет списка12211"/>
    <w:next w:val="NoList"/>
    <w:uiPriority w:val="99"/>
    <w:semiHidden/>
    <w:unhideWhenUsed/>
    <w:rsid w:val="009F0A25"/>
  </w:style>
  <w:style w:type="numbering" w:customStyle="1" w:styleId="NoList13211">
    <w:name w:val="No List13211"/>
    <w:next w:val="NoList"/>
    <w:semiHidden/>
    <w:unhideWhenUsed/>
    <w:rsid w:val="009F0A25"/>
  </w:style>
  <w:style w:type="numbering" w:customStyle="1" w:styleId="111311">
    <w:name w:val="Нет списка111311"/>
    <w:next w:val="NoList"/>
    <w:semiHidden/>
    <w:unhideWhenUsed/>
    <w:rsid w:val="009F0A25"/>
  </w:style>
  <w:style w:type="numbering" w:customStyle="1" w:styleId="NoList41211">
    <w:name w:val="No List41211"/>
    <w:next w:val="NoList"/>
    <w:semiHidden/>
    <w:rsid w:val="009F0A25"/>
  </w:style>
  <w:style w:type="numbering" w:customStyle="1" w:styleId="1111211">
    <w:name w:val="Нет списка1111211"/>
    <w:next w:val="NoList"/>
    <w:semiHidden/>
    <w:unhideWhenUsed/>
    <w:rsid w:val="009F0A25"/>
  </w:style>
  <w:style w:type="table" w:customStyle="1" w:styleId="TableGrid4211">
    <w:name w:val="Table Grid421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1">
    <w:name w:val="Table List 71211"/>
    <w:basedOn w:val="TableNormal"/>
    <w:next w:val="TableList7"/>
    <w:rsid w:val="009F0A2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1">
    <w:name w:val="Table Web 31211"/>
    <w:basedOn w:val="TableNormal"/>
    <w:next w:val="TableWeb3"/>
    <w:rsid w:val="009F0A2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1">
    <w:name w:val="Table Elegant1211"/>
    <w:basedOn w:val="TableNormal"/>
    <w:next w:val="TableElegant"/>
    <w:rsid w:val="009F0A2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71211">
    <w:name w:val="Table Grid 71211"/>
    <w:basedOn w:val="TableNormal"/>
    <w:next w:val="TableGrid7"/>
    <w:rsid w:val="009F0A2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211">
    <w:name w:val="Table Simple 31211"/>
    <w:basedOn w:val="TableNormal"/>
    <w:next w:val="TableSimple3"/>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1">
    <w:name w:val="Table Grid 51211"/>
    <w:basedOn w:val="TableNormal"/>
    <w:next w:val="TableGrid5"/>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1">
    <w:name w:val="Table Grid 31211"/>
    <w:basedOn w:val="TableNormal"/>
    <w:next w:val="TableGrid3"/>
    <w:rsid w:val="009F0A2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1">
    <w:name w:val="Table Grid 11211"/>
    <w:basedOn w:val="TableNormal"/>
    <w:next w:val="TableGrid10"/>
    <w:rsid w:val="009F0A2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1">
    <w:name w:val="Table Columns 51211"/>
    <w:basedOn w:val="TableNormal"/>
    <w:next w:val="TableColumns5"/>
    <w:rsid w:val="009F0A2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211">
    <w:name w:val="Table 3D effects 31211"/>
    <w:basedOn w:val="TableNormal"/>
    <w:next w:val="Table3Deffects3"/>
    <w:rsid w:val="009F0A2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110">
    <w:name w:val="Table Grid11211"/>
    <w:basedOn w:val="TableNormal"/>
    <w:next w:val="TableGrid"/>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11">
    <w:name w:val="No List61111"/>
    <w:next w:val="NoList"/>
    <w:uiPriority w:val="99"/>
    <w:semiHidden/>
    <w:unhideWhenUsed/>
    <w:rsid w:val="009F0A25"/>
  </w:style>
  <w:style w:type="numbering" w:customStyle="1" w:styleId="NoList71111">
    <w:name w:val="No List71111"/>
    <w:next w:val="NoList"/>
    <w:uiPriority w:val="99"/>
    <w:semiHidden/>
    <w:unhideWhenUsed/>
    <w:rsid w:val="009F0A25"/>
  </w:style>
  <w:style w:type="table" w:customStyle="1" w:styleId="TableGrid31111">
    <w:name w:val="Table Grid3111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1">
    <w:name w:val="Table Web 21111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1">
    <w:name w:val="Table Web 11111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1">
    <w:name w:val="Table Grid 81111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1">
    <w:name w:val="Table Contemporary1111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1">
    <w:name w:val="Colorful Grid - Accent 12111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1">
    <w:name w:val="Light List - Accent 52111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1">
    <w:name w:val="No List81111"/>
    <w:next w:val="NoList"/>
    <w:uiPriority w:val="99"/>
    <w:semiHidden/>
    <w:unhideWhenUsed/>
    <w:rsid w:val="009F0A25"/>
  </w:style>
  <w:style w:type="numbering" w:customStyle="1" w:styleId="121111">
    <w:name w:val="Нет списка121111"/>
    <w:next w:val="NoList"/>
    <w:uiPriority w:val="99"/>
    <w:semiHidden/>
    <w:unhideWhenUsed/>
    <w:rsid w:val="009F0A25"/>
  </w:style>
  <w:style w:type="numbering" w:customStyle="1" w:styleId="NoList131111">
    <w:name w:val="No List131111"/>
    <w:next w:val="NoList"/>
    <w:semiHidden/>
    <w:unhideWhenUsed/>
    <w:rsid w:val="009F0A25"/>
  </w:style>
  <w:style w:type="numbering" w:customStyle="1" w:styleId="1112111">
    <w:name w:val="Нет списка1112111"/>
    <w:next w:val="NoList"/>
    <w:semiHidden/>
    <w:unhideWhenUsed/>
    <w:rsid w:val="009F0A25"/>
  </w:style>
  <w:style w:type="numbering" w:customStyle="1" w:styleId="NoList411111">
    <w:name w:val="No List411111"/>
    <w:next w:val="NoList"/>
    <w:semiHidden/>
    <w:rsid w:val="009F0A25"/>
  </w:style>
  <w:style w:type="numbering" w:customStyle="1" w:styleId="11111111">
    <w:name w:val="Нет списка11111111"/>
    <w:next w:val="NoList"/>
    <w:semiHidden/>
    <w:unhideWhenUsed/>
    <w:rsid w:val="009F0A25"/>
  </w:style>
  <w:style w:type="table" w:customStyle="1" w:styleId="TableGrid41111">
    <w:name w:val="Table Grid4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7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0">
    <w:name w:val="Table Grid8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NoList"/>
    <w:semiHidden/>
    <w:unhideWhenUsed/>
    <w:rsid w:val="009F0A25"/>
  </w:style>
  <w:style w:type="numbering" w:customStyle="1" w:styleId="111131">
    <w:name w:val="Нет списка111131"/>
    <w:next w:val="NoList"/>
    <w:semiHidden/>
    <w:unhideWhenUsed/>
    <w:rsid w:val="009F0A25"/>
  </w:style>
  <w:style w:type="table" w:customStyle="1" w:styleId="GridTable4-Accent1121">
    <w:name w:val="Grid Table 4 - Accent 1121"/>
    <w:basedOn w:val="TableNormal"/>
    <w:uiPriority w:val="49"/>
    <w:rsid w:val="009F0A2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11221">
    <w:name w:val="Нет списка111221"/>
    <w:next w:val="NoList"/>
    <w:semiHidden/>
    <w:unhideWhenUsed/>
    <w:rsid w:val="009F0A25"/>
  </w:style>
  <w:style w:type="numbering" w:customStyle="1" w:styleId="1111121">
    <w:name w:val="Нет списка1111121"/>
    <w:next w:val="NoList"/>
    <w:semiHidden/>
    <w:unhideWhenUsed/>
    <w:rsid w:val="009F0A25"/>
  </w:style>
  <w:style w:type="table" w:customStyle="1" w:styleId="TableGrid11141">
    <w:name w:val="Table Grid111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0">
    <w:name w:val="Table Grid7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1">
    <w:name w:val="Grid Table 1 Light - Accent 1121"/>
    <w:basedOn w:val="TableNormal"/>
    <w:uiPriority w:val="46"/>
    <w:rsid w:val="009F0A25"/>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MediumGrid3-Accent121">
    <w:name w:val="Medium Grid 3 - Accent 121"/>
    <w:basedOn w:val="TableNormal"/>
    <w:next w:val="MediumGrid3-Accent1"/>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eGrid1431">
    <w:name w:val="Table Grid14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0">
    <w:name w:val="Table Grid73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1">
    <w:name w:val="Table Grid1113111"/>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1">
    <w:name w:val="Table Grid121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1">
    <w:name w:val="Grid Table 1 Light - Accent 51211"/>
    <w:basedOn w:val="TableNormal"/>
    <w:uiPriority w:val="46"/>
    <w:rsid w:val="009F0A2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241">
    <w:name w:val="Table Grid124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21">
    <w:name w:val="Table Grid11131121"/>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1">
    <w:name w:val="Table Grid9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1">
    <w:name w:val="Table Grid73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1">
    <w:name w:val="Table Grid142121"/>
    <w:basedOn w:val="TableNormal"/>
    <w:next w:val="TableGrid"/>
    <w:uiPriority w:val="39"/>
    <w:rsid w:val="00005BEA"/>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2">
    <w:name w:val="Table Grid11131122"/>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0">
    <w:name w:val="Основной текст5"/>
    <w:basedOn w:val="Normal"/>
    <w:link w:val="ac"/>
    <w:rsid w:val="00CF740B"/>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paragraph" w:customStyle="1" w:styleId="Charc">
    <w:name w:val="Char"/>
    <w:basedOn w:val="Normal"/>
    <w:locked/>
    <w:rsid w:val="00840AE8"/>
    <w:pPr>
      <w:spacing w:before="0" w:after="160" w:line="240" w:lineRule="auto"/>
      <w:ind w:firstLine="0"/>
      <w:contextualSpacing w:val="0"/>
      <w:jc w:val="left"/>
    </w:pPr>
    <w:rPr>
      <w:rFonts w:ascii="Verdana" w:eastAsia="Batang" w:hAnsi="Verdana" w:cs="Verdana"/>
      <w:b w:val="0"/>
      <w:sz w:val="24"/>
      <w:lang w:val="en-GB"/>
    </w:rPr>
  </w:style>
  <w:style w:type="paragraph" w:customStyle="1" w:styleId="61">
    <w:name w:val="Основной текст6"/>
    <w:basedOn w:val="Normal"/>
    <w:rsid w:val="00453D56"/>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table" w:customStyle="1" w:styleId="GridTable4-Accent51">
    <w:name w:val="Grid Table 4 - Accent 51"/>
    <w:basedOn w:val="TableNormal"/>
    <w:uiPriority w:val="49"/>
    <w:rsid w:val="00453D56"/>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f0">
    <w:name w:val="Աղյուսակներ"/>
    <w:basedOn w:val="Normal"/>
    <w:qFormat/>
    <w:rsid w:val="008624F6"/>
    <w:pPr>
      <w:spacing w:before="60" w:after="40"/>
      <w:contextualSpacing w:val="0"/>
    </w:pPr>
    <w:rPr>
      <w:rFonts w:eastAsia="Calibri" w:cs="Sylfaen"/>
      <w:bCs/>
      <w:i/>
      <w:szCs w:val="22"/>
      <w:lang w:val="hy-AM" w:eastAsia="en-US"/>
    </w:rPr>
  </w:style>
  <w:style w:type="numbering" w:customStyle="1" w:styleId="NoList11111111111">
    <w:name w:val="No List11111111111"/>
    <w:next w:val="NoList"/>
    <w:semiHidden/>
    <w:rsid w:val="009B3790"/>
  </w:style>
  <w:style w:type="character" w:customStyle="1" w:styleId="Chard">
    <w:name w:val="Գծապատկեր Char"/>
    <w:link w:val="af1"/>
    <w:locked/>
    <w:rsid w:val="009B3790"/>
    <w:rPr>
      <w:rFonts w:ascii="GHEA Grapalat" w:eastAsia="GHEA Grapalat" w:hAnsi="GHEA Grapalat" w:cs="GHEA Grapalat"/>
      <w:noProof/>
    </w:rPr>
  </w:style>
  <w:style w:type="paragraph" w:customStyle="1" w:styleId="af1">
    <w:name w:val="Գծապատկեր"/>
    <w:basedOn w:val="Normal"/>
    <w:link w:val="Chard"/>
    <w:autoRedefine/>
    <w:qFormat/>
    <w:rsid w:val="009B3790"/>
    <w:pPr>
      <w:keepNext/>
      <w:keepLines/>
      <w:tabs>
        <w:tab w:val="left" w:pos="2160"/>
        <w:tab w:val="left" w:pos="2552"/>
      </w:tabs>
      <w:autoSpaceDE w:val="0"/>
      <w:autoSpaceDN w:val="0"/>
      <w:adjustRightInd w:val="0"/>
      <w:spacing w:before="0" w:line="240" w:lineRule="auto"/>
      <w:ind w:left="360" w:firstLine="0"/>
      <w:contextualSpacing w:val="0"/>
      <w:jc w:val="center"/>
    </w:pPr>
    <w:rPr>
      <w:rFonts w:eastAsia="GHEA Grapalat" w:cs="GHEA Grapalat"/>
      <w:b w:val="0"/>
      <w:noProof/>
      <w:sz w:val="20"/>
      <w:szCs w:val="20"/>
      <w:lang w:val="en-US" w:eastAsia="en-US"/>
    </w:rPr>
  </w:style>
  <w:style w:type="paragraph" w:customStyle="1" w:styleId="af2">
    <w:name w:val="Հղումներ"/>
    <w:basedOn w:val="Normal"/>
    <w:qFormat/>
    <w:rsid w:val="009B3790"/>
    <w:pPr>
      <w:spacing w:before="60" w:after="40" w:line="240" w:lineRule="auto"/>
      <w:contextualSpacing w:val="0"/>
    </w:pPr>
    <w:rPr>
      <w:b w:val="0"/>
      <w:sz w:val="20"/>
      <w:szCs w:val="20"/>
      <w:lang w:val="hy-AM" w:eastAsia="en-US"/>
    </w:rPr>
  </w:style>
  <w:style w:type="paragraph" w:customStyle="1" w:styleId="af3">
    <w:name w:val="Գծապատկերներ"/>
    <w:basedOn w:val="Normal"/>
    <w:qFormat/>
    <w:rsid w:val="009B3790"/>
    <w:pPr>
      <w:keepNext/>
      <w:keepLines/>
      <w:spacing w:before="60" w:after="40" w:line="240" w:lineRule="auto"/>
      <w:ind w:firstLine="0"/>
      <w:contextualSpacing w:val="0"/>
      <w:jc w:val="left"/>
    </w:pPr>
    <w:rPr>
      <w:rFonts w:eastAsiaTheme="majorEastAsia"/>
      <w:i/>
      <w:szCs w:val="22"/>
      <w:lang w:val="hy-AM" w:eastAsia="en-US"/>
    </w:rPr>
  </w:style>
  <w:style w:type="numbering" w:customStyle="1" w:styleId="NoList67">
    <w:name w:val="No List67"/>
    <w:next w:val="NoList"/>
    <w:uiPriority w:val="99"/>
    <w:semiHidden/>
    <w:unhideWhenUsed/>
    <w:rsid w:val="008F7DB9"/>
  </w:style>
  <w:style w:type="numbering" w:customStyle="1" w:styleId="NoList138">
    <w:name w:val="No List138"/>
    <w:next w:val="NoList"/>
    <w:uiPriority w:val="99"/>
    <w:semiHidden/>
    <w:unhideWhenUsed/>
    <w:rsid w:val="008F7DB9"/>
  </w:style>
  <w:style w:type="table" w:customStyle="1" w:styleId="TableGrid390">
    <w:name w:val="Table Grid39"/>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
    <w:name w:val="No List1130"/>
    <w:next w:val="NoList"/>
    <w:uiPriority w:val="99"/>
    <w:semiHidden/>
    <w:unhideWhenUsed/>
    <w:rsid w:val="008F7DB9"/>
  </w:style>
  <w:style w:type="numbering" w:customStyle="1" w:styleId="NoList11120">
    <w:name w:val="No List11120"/>
    <w:next w:val="NoList"/>
    <w:semiHidden/>
    <w:rsid w:val="008F7DB9"/>
  </w:style>
  <w:style w:type="table" w:customStyle="1" w:styleId="TableGrid1200">
    <w:name w:val="Table Grid120"/>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semiHidden/>
    <w:rsid w:val="008F7DB9"/>
  </w:style>
  <w:style w:type="numbering" w:customStyle="1" w:styleId="NoList226">
    <w:name w:val="No List226"/>
    <w:next w:val="NoList"/>
    <w:semiHidden/>
    <w:rsid w:val="008F7DB9"/>
  </w:style>
  <w:style w:type="numbering" w:customStyle="1" w:styleId="NoList320">
    <w:name w:val="No List320"/>
    <w:next w:val="NoList"/>
    <w:semiHidden/>
    <w:unhideWhenUsed/>
    <w:rsid w:val="008F7DB9"/>
  </w:style>
  <w:style w:type="table" w:customStyle="1" w:styleId="TableList716">
    <w:name w:val="Table List 716"/>
    <w:basedOn w:val="TableNormal"/>
    <w:next w:val="TableList7"/>
    <w:uiPriority w:val="99"/>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6">
    <w:name w:val="Table Web 316"/>
    <w:basedOn w:val="TableNormal"/>
    <w:next w:val="TableWeb3"/>
    <w:uiPriority w:val="99"/>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6">
    <w:name w:val="Table Elegant16"/>
    <w:basedOn w:val="TableNormal"/>
    <w:next w:val="TableElegant"/>
    <w:uiPriority w:val="99"/>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6">
    <w:name w:val="Table Web 216"/>
    <w:basedOn w:val="TableNormal"/>
    <w:next w:val="TableWeb2"/>
    <w:uiPriority w:val="99"/>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6">
    <w:name w:val="Table Web 116"/>
    <w:basedOn w:val="TableNormal"/>
    <w:next w:val="TableWeb1"/>
    <w:uiPriority w:val="99"/>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6">
    <w:name w:val="Table Grid 816"/>
    <w:basedOn w:val="TableNormal"/>
    <w:next w:val="TableGrid8"/>
    <w:uiPriority w:val="99"/>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6">
    <w:name w:val="Table Contemporary16"/>
    <w:basedOn w:val="TableNormal"/>
    <w:next w:val="TableContemporary"/>
    <w:uiPriority w:val="99"/>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5">
    <w:name w:val="Light List - Accent 13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6">
    <w:name w:val="Table Grid 716"/>
    <w:basedOn w:val="TableNormal"/>
    <w:next w:val="TableGrid7"/>
    <w:uiPriority w:val="99"/>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6">
    <w:name w:val="Colorful Grid - Accent 12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6">
    <w:name w:val="Light List - Accent 52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6">
    <w:name w:val="Table Simple 316"/>
    <w:basedOn w:val="TableNormal"/>
    <w:next w:val="TableSimple3"/>
    <w:uiPriority w:val="99"/>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6">
    <w:name w:val="Table Grid 516"/>
    <w:basedOn w:val="TableNormal"/>
    <w:next w:val="TableGrid5"/>
    <w:uiPriority w:val="99"/>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6">
    <w:name w:val="Table Grid 316"/>
    <w:basedOn w:val="TableNormal"/>
    <w:next w:val="TableGrid3"/>
    <w:uiPriority w:val="99"/>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60">
    <w:name w:val="Table Grid 116"/>
    <w:basedOn w:val="TableNormal"/>
    <w:next w:val="TableGrid10"/>
    <w:uiPriority w:val="99"/>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6">
    <w:name w:val="Table Columns 516"/>
    <w:basedOn w:val="TableNormal"/>
    <w:next w:val="TableColumns5"/>
    <w:uiPriority w:val="99"/>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9">
    <w:name w:val="Light List - Accent 1119"/>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6">
    <w:name w:val="Нет списка126"/>
    <w:next w:val="NoList"/>
    <w:semiHidden/>
    <w:unhideWhenUsed/>
    <w:rsid w:val="008F7DB9"/>
  </w:style>
  <w:style w:type="table" w:customStyle="1" w:styleId="ColorfulGrid-Accent1116">
    <w:name w:val="Colorful Grid - Accent 1116"/>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7">
    <w:name w:val="Light List - Accent 5117"/>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9">
    <w:name w:val="No List419"/>
    <w:next w:val="NoList"/>
    <w:semiHidden/>
    <w:rsid w:val="008F7DB9"/>
  </w:style>
  <w:style w:type="table" w:customStyle="1" w:styleId="Table3Deffects316">
    <w:name w:val="Table 3D effects 316"/>
    <w:basedOn w:val="TableNormal"/>
    <w:next w:val="Table3Deffects3"/>
    <w:uiPriority w:val="99"/>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6"/>
    <w:next w:val="NoList"/>
    <w:semiHidden/>
    <w:unhideWhenUsed/>
    <w:rsid w:val="008F7DB9"/>
  </w:style>
  <w:style w:type="numbering" w:customStyle="1" w:styleId="NoList516">
    <w:name w:val="No List516"/>
    <w:next w:val="NoList"/>
    <w:uiPriority w:val="99"/>
    <w:semiHidden/>
    <w:unhideWhenUsed/>
    <w:rsid w:val="008F7DB9"/>
  </w:style>
  <w:style w:type="numbering" w:customStyle="1" w:styleId="NoList1218">
    <w:name w:val="No List1218"/>
    <w:next w:val="NoList"/>
    <w:uiPriority w:val="99"/>
    <w:semiHidden/>
    <w:rsid w:val="008F7DB9"/>
  </w:style>
  <w:style w:type="numbering" w:customStyle="1" w:styleId="NoList11210">
    <w:name w:val="No List11210"/>
    <w:next w:val="NoList"/>
    <w:semiHidden/>
    <w:rsid w:val="008F7DB9"/>
  </w:style>
  <w:style w:type="numbering" w:customStyle="1" w:styleId="NoList111116">
    <w:name w:val="No List111116"/>
    <w:next w:val="NoList"/>
    <w:semiHidden/>
    <w:rsid w:val="008F7DB9"/>
  </w:style>
  <w:style w:type="numbering" w:customStyle="1" w:styleId="NoList2116">
    <w:name w:val="No List2116"/>
    <w:next w:val="NoList"/>
    <w:semiHidden/>
    <w:rsid w:val="008F7DB9"/>
  </w:style>
  <w:style w:type="table" w:customStyle="1" w:styleId="TableGrid218">
    <w:name w:val="Table Grid218"/>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6">
    <w:name w:val="No List3116"/>
    <w:next w:val="NoList"/>
    <w:semiHidden/>
    <w:unhideWhenUsed/>
    <w:rsid w:val="008F7DB9"/>
  </w:style>
  <w:style w:type="numbering" w:customStyle="1" w:styleId="NoList68">
    <w:name w:val="No List68"/>
    <w:next w:val="NoList"/>
    <w:uiPriority w:val="99"/>
    <w:semiHidden/>
    <w:unhideWhenUsed/>
    <w:rsid w:val="008F7DB9"/>
  </w:style>
  <w:style w:type="numbering" w:customStyle="1" w:styleId="NoList76">
    <w:name w:val="No List76"/>
    <w:next w:val="NoList"/>
    <w:uiPriority w:val="99"/>
    <w:semiHidden/>
    <w:unhideWhenUsed/>
    <w:rsid w:val="008F7DB9"/>
  </w:style>
  <w:style w:type="table" w:customStyle="1" w:styleId="TableGrid3101">
    <w:name w:val="Table Grid310"/>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semiHidden/>
    <w:unhideWhenUsed/>
    <w:rsid w:val="008F7DB9"/>
  </w:style>
  <w:style w:type="numbering" w:customStyle="1" w:styleId="NoList1135">
    <w:name w:val="No List1135"/>
    <w:next w:val="NoList"/>
    <w:semiHidden/>
    <w:rsid w:val="008F7DB9"/>
  </w:style>
  <w:style w:type="table" w:customStyle="1" w:styleId="TableGrid11100">
    <w:name w:val="Table Grid1110"/>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5">
    <w:name w:val="No List11125"/>
    <w:next w:val="NoList"/>
    <w:semiHidden/>
    <w:rsid w:val="008F7DB9"/>
  </w:style>
  <w:style w:type="numbering" w:customStyle="1" w:styleId="NoList227">
    <w:name w:val="No List227"/>
    <w:next w:val="NoList"/>
    <w:semiHidden/>
    <w:rsid w:val="008F7DB9"/>
  </w:style>
  <w:style w:type="numbering" w:customStyle="1" w:styleId="NoList326">
    <w:name w:val="No List326"/>
    <w:next w:val="NoList"/>
    <w:semiHidden/>
    <w:unhideWhenUsed/>
    <w:rsid w:val="008F7DB9"/>
  </w:style>
  <w:style w:type="table" w:customStyle="1" w:styleId="TableList717">
    <w:name w:val="Table List 717"/>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7">
    <w:name w:val="Table Web 317"/>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7">
    <w:name w:val="Table Elegant17"/>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7">
    <w:name w:val="Table Web 217"/>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7">
    <w:name w:val="Table Web 117"/>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7">
    <w:name w:val="Table Grid 817"/>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7">
    <w:name w:val="Table Contemporary17"/>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4">
    <w:name w:val="Light List - Accent 1214"/>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7">
    <w:name w:val="Table Grid 717"/>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7">
    <w:name w:val="Colorful Grid - Accent 127"/>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7">
    <w:name w:val="Light List - Accent 527"/>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7">
    <w:name w:val="Table Simple 317"/>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7">
    <w:name w:val="Table Grid 517"/>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7">
    <w:name w:val="Table Grid 317"/>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70">
    <w:name w:val="Table Grid 117"/>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7">
    <w:name w:val="Table Columns 517"/>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0">
    <w:name w:val="Light List - Accent 11110"/>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7">
    <w:name w:val="Нет списка127"/>
    <w:next w:val="NoList"/>
    <w:uiPriority w:val="99"/>
    <w:semiHidden/>
    <w:unhideWhenUsed/>
    <w:rsid w:val="008F7DB9"/>
  </w:style>
  <w:style w:type="table" w:customStyle="1" w:styleId="ColorfulGrid-Accent1117">
    <w:name w:val="Colorful Grid - Accent 1117"/>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8">
    <w:name w:val="Light List - Accent 5118"/>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0">
    <w:name w:val="No List4110"/>
    <w:next w:val="NoList"/>
    <w:semiHidden/>
    <w:rsid w:val="008F7DB9"/>
  </w:style>
  <w:style w:type="table" w:customStyle="1" w:styleId="Table3Deffects317">
    <w:name w:val="Table 3D effects 317"/>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
    <w:name w:val="Нет списка1117"/>
    <w:next w:val="NoList"/>
    <w:semiHidden/>
    <w:unhideWhenUsed/>
    <w:rsid w:val="008F7DB9"/>
  </w:style>
  <w:style w:type="numbering" w:customStyle="1" w:styleId="NoList517">
    <w:name w:val="No List517"/>
    <w:next w:val="NoList"/>
    <w:uiPriority w:val="99"/>
    <w:semiHidden/>
    <w:unhideWhenUsed/>
    <w:rsid w:val="008F7DB9"/>
  </w:style>
  <w:style w:type="numbering" w:customStyle="1" w:styleId="NoList1219">
    <w:name w:val="No List1219"/>
    <w:next w:val="NoList"/>
    <w:uiPriority w:val="99"/>
    <w:semiHidden/>
    <w:rsid w:val="008F7DB9"/>
  </w:style>
  <w:style w:type="numbering" w:customStyle="1" w:styleId="NoList11215">
    <w:name w:val="No List11215"/>
    <w:next w:val="NoList"/>
    <w:semiHidden/>
    <w:rsid w:val="008F7DB9"/>
  </w:style>
  <w:style w:type="numbering" w:customStyle="1" w:styleId="NoList1111113">
    <w:name w:val="No List1111113"/>
    <w:next w:val="NoList"/>
    <w:semiHidden/>
    <w:rsid w:val="008F7DB9"/>
  </w:style>
  <w:style w:type="numbering" w:customStyle="1" w:styleId="NoList2117">
    <w:name w:val="No List2117"/>
    <w:next w:val="NoList"/>
    <w:semiHidden/>
    <w:rsid w:val="008F7DB9"/>
  </w:style>
  <w:style w:type="table" w:customStyle="1" w:styleId="TableGrid219">
    <w:name w:val="Table Grid219"/>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
    <w:name w:val="No List3117"/>
    <w:next w:val="NoList"/>
    <w:semiHidden/>
    <w:unhideWhenUsed/>
    <w:rsid w:val="008F7DB9"/>
  </w:style>
  <w:style w:type="numbering" w:customStyle="1" w:styleId="NoList86">
    <w:name w:val="No List86"/>
    <w:next w:val="NoList"/>
    <w:uiPriority w:val="99"/>
    <w:semiHidden/>
    <w:unhideWhenUsed/>
    <w:rsid w:val="008F7DB9"/>
  </w:style>
  <w:style w:type="numbering" w:customStyle="1" w:styleId="NoList96">
    <w:name w:val="No List96"/>
    <w:next w:val="NoList"/>
    <w:uiPriority w:val="99"/>
    <w:semiHidden/>
    <w:unhideWhenUsed/>
    <w:rsid w:val="008F7DB9"/>
  </w:style>
  <w:style w:type="table" w:customStyle="1" w:styleId="TableGrid46">
    <w:name w:val="Table Grid4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5">
    <w:name w:val="Table List 725"/>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5">
    <w:name w:val="Table Web 325"/>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5">
    <w:name w:val="Table Elegant25"/>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6">
    <w:name w:val="Table Web 226"/>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6">
    <w:name w:val="Table Web 126"/>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6">
    <w:name w:val="Table Grid 826"/>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6">
    <w:name w:val="Table Contemporary26"/>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6">
    <w:name w:val="No List146"/>
    <w:next w:val="NoList"/>
    <w:semiHidden/>
    <w:unhideWhenUsed/>
    <w:rsid w:val="008F7DB9"/>
  </w:style>
  <w:style w:type="numbering" w:customStyle="1" w:styleId="NoList235">
    <w:name w:val="No List235"/>
    <w:next w:val="NoList"/>
    <w:semiHidden/>
    <w:unhideWhenUsed/>
    <w:rsid w:val="008F7DB9"/>
  </w:style>
  <w:style w:type="numbering" w:customStyle="1" w:styleId="NoList335">
    <w:name w:val="No List335"/>
    <w:next w:val="NoList"/>
    <w:semiHidden/>
    <w:unhideWhenUsed/>
    <w:rsid w:val="008F7DB9"/>
  </w:style>
  <w:style w:type="table" w:customStyle="1" w:styleId="LightList-Accent136">
    <w:name w:val="Light List - Accent 136"/>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5">
    <w:name w:val="Table Grid 725"/>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6">
    <w:name w:val="Colorful Grid - Accent 13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6">
    <w:name w:val="Light List - Accent 53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5">
    <w:name w:val="Table Simple 325"/>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5">
    <w:name w:val="Table Grid 525"/>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5">
    <w:name w:val="Table Grid 325"/>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5">
    <w:name w:val="Table Grid 125"/>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5">
    <w:name w:val="Table Columns 525"/>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5">
    <w:name w:val="Light List - Accent 1125"/>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6">
    <w:name w:val="Нет списка136"/>
    <w:next w:val="NoList"/>
    <w:semiHidden/>
    <w:unhideWhenUsed/>
    <w:rsid w:val="008F7DB9"/>
  </w:style>
  <w:style w:type="table" w:customStyle="1" w:styleId="ColorfulGrid-Accent1125">
    <w:name w:val="Colorful Grid - Accent 1125"/>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5">
    <w:name w:val="Light List - Accent 5125"/>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6">
    <w:name w:val="No List426"/>
    <w:next w:val="NoList"/>
    <w:semiHidden/>
    <w:rsid w:val="008F7DB9"/>
  </w:style>
  <w:style w:type="numbering" w:customStyle="1" w:styleId="NoList1143">
    <w:name w:val="No List1143"/>
    <w:next w:val="NoList"/>
    <w:semiHidden/>
    <w:unhideWhenUsed/>
    <w:rsid w:val="008F7DB9"/>
  </w:style>
  <w:style w:type="table" w:customStyle="1" w:styleId="Table3Deffects325">
    <w:name w:val="Table 3D effects 325"/>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NoList"/>
    <w:semiHidden/>
    <w:unhideWhenUsed/>
    <w:rsid w:val="008F7DB9"/>
  </w:style>
  <w:style w:type="numbering" w:customStyle="1" w:styleId="NoList106">
    <w:name w:val="No List106"/>
    <w:next w:val="NoList"/>
    <w:uiPriority w:val="99"/>
    <w:semiHidden/>
    <w:unhideWhenUsed/>
    <w:rsid w:val="008F7DB9"/>
  </w:style>
  <w:style w:type="table" w:customStyle="1" w:styleId="TableGrid560">
    <w:name w:val="Table Grid56"/>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8F7DB9"/>
  </w:style>
  <w:style w:type="numbering" w:customStyle="1" w:styleId="NoList1153">
    <w:name w:val="No List1153"/>
    <w:next w:val="NoList"/>
    <w:semiHidden/>
    <w:rsid w:val="008F7DB9"/>
  </w:style>
  <w:style w:type="table" w:customStyle="1" w:styleId="TableGrid1250">
    <w:name w:val="Table Grid125"/>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3">
    <w:name w:val="No List11133"/>
    <w:next w:val="NoList"/>
    <w:semiHidden/>
    <w:rsid w:val="008F7DB9"/>
  </w:style>
  <w:style w:type="numbering" w:customStyle="1" w:styleId="NoList243">
    <w:name w:val="No List243"/>
    <w:next w:val="NoList"/>
    <w:semiHidden/>
    <w:rsid w:val="008F7DB9"/>
  </w:style>
  <w:style w:type="numbering" w:customStyle="1" w:styleId="NoList343">
    <w:name w:val="No List343"/>
    <w:next w:val="NoList"/>
    <w:semiHidden/>
    <w:unhideWhenUsed/>
    <w:rsid w:val="008F7DB9"/>
  </w:style>
  <w:style w:type="table" w:customStyle="1" w:styleId="TableList733">
    <w:name w:val="Table List 73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3">
    <w:name w:val="Table Web 33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3">
    <w:name w:val="Table Elegant3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5">
    <w:name w:val="Table Web 23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5">
    <w:name w:val="Table Web 13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5">
    <w:name w:val="Table Grid 83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5">
    <w:name w:val="Table Contemporary3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3">
    <w:name w:val="Light List - Accent 143"/>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3">
    <w:name w:val="Table Grid 73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5">
    <w:name w:val="Colorful Grid - Accent 145"/>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5">
    <w:name w:val="Light List - Accent 545"/>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3">
    <w:name w:val="Table Simple 33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3">
    <w:name w:val="Table Grid 53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3">
    <w:name w:val="Table Grid 33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30">
    <w:name w:val="Table Grid 13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3">
    <w:name w:val="Table Columns 53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3">
    <w:name w:val="Light List - Accent 1133"/>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5">
    <w:name w:val="Нет списка145"/>
    <w:next w:val="NoList"/>
    <w:semiHidden/>
    <w:unhideWhenUsed/>
    <w:rsid w:val="008F7DB9"/>
  </w:style>
  <w:style w:type="table" w:customStyle="1" w:styleId="ColorfulGrid-Accent1133">
    <w:name w:val="Colorful Grid - Accent 1133"/>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3">
    <w:name w:val="Light List - Accent 5133"/>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5">
    <w:name w:val="No List435"/>
    <w:next w:val="NoList"/>
    <w:semiHidden/>
    <w:rsid w:val="008F7DB9"/>
  </w:style>
  <w:style w:type="table" w:customStyle="1" w:styleId="Table3Deffects333">
    <w:name w:val="Table 3D effects 33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NoList"/>
    <w:semiHidden/>
    <w:unhideWhenUsed/>
    <w:rsid w:val="008F7DB9"/>
  </w:style>
  <w:style w:type="numbering" w:customStyle="1" w:styleId="NoList525">
    <w:name w:val="No List525"/>
    <w:next w:val="NoList"/>
    <w:uiPriority w:val="99"/>
    <w:semiHidden/>
    <w:unhideWhenUsed/>
    <w:rsid w:val="008F7DB9"/>
  </w:style>
  <w:style w:type="numbering" w:customStyle="1" w:styleId="NoList1225">
    <w:name w:val="No List1225"/>
    <w:next w:val="NoList"/>
    <w:uiPriority w:val="99"/>
    <w:semiHidden/>
    <w:rsid w:val="008F7DB9"/>
  </w:style>
  <w:style w:type="numbering" w:customStyle="1" w:styleId="NoList11223">
    <w:name w:val="No List11223"/>
    <w:next w:val="NoList"/>
    <w:semiHidden/>
    <w:rsid w:val="008F7DB9"/>
  </w:style>
  <w:style w:type="numbering" w:customStyle="1" w:styleId="NoList111125">
    <w:name w:val="No List111125"/>
    <w:next w:val="NoList"/>
    <w:semiHidden/>
    <w:rsid w:val="008F7DB9"/>
  </w:style>
  <w:style w:type="numbering" w:customStyle="1" w:styleId="NoList2125">
    <w:name w:val="No List2125"/>
    <w:next w:val="NoList"/>
    <w:semiHidden/>
    <w:rsid w:val="008F7DB9"/>
  </w:style>
  <w:style w:type="table" w:customStyle="1" w:styleId="TableGrid226">
    <w:name w:val="Table Grid22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5">
    <w:name w:val="No List3125"/>
    <w:next w:val="NoList"/>
    <w:semiHidden/>
    <w:unhideWhenUsed/>
    <w:rsid w:val="008F7DB9"/>
  </w:style>
  <w:style w:type="table" w:customStyle="1" w:styleId="LightShading-Accent115">
    <w:name w:val="Light Shading - Accent 115"/>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5">
    <w:name w:val="Medium Grid 2 - Accent 115"/>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5">
    <w:name w:val="Medium List 2 - Accent 515"/>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4">
    <w:name w:val="Light List - Accent 15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5">
    <w:name w:val="Medium Grid 3 - Accent 515"/>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5">
    <w:name w:val="Light Shading - Accent 515"/>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5">
    <w:name w:val="Medium Grid 2 - Accent 515"/>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5">
    <w:name w:val="Light Grid - Accent 115"/>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5">
    <w:name w:val="Table List 45"/>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4">
    <w:name w:val="Table List 414"/>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3">
    <w:name w:val="Table Theme3"/>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3">
    <w:name w:val="Table Professional3"/>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30">
    <w:name w:val="Table Grid 63"/>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3">
    <w:name w:val="Table List 423"/>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3">
    <w:name w:val="Table List 4113"/>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7">
    <w:name w:val="Style117"/>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8">
    <w:name w:val="Style218"/>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7">
    <w:name w:val="Style2117"/>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5">
    <w:name w:val="No List165"/>
    <w:next w:val="NoList"/>
    <w:semiHidden/>
    <w:unhideWhenUsed/>
    <w:rsid w:val="008F7DB9"/>
  </w:style>
  <w:style w:type="table" w:customStyle="1" w:styleId="TableGrid66">
    <w:name w:val="Table Grid6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8F7DB9"/>
  </w:style>
  <w:style w:type="numbering" w:customStyle="1" w:styleId="NoList1163">
    <w:name w:val="No List1163"/>
    <w:next w:val="NoList"/>
    <w:semiHidden/>
    <w:rsid w:val="008F7DB9"/>
  </w:style>
  <w:style w:type="table" w:customStyle="1" w:styleId="TableGrid135">
    <w:name w:val="Table Grid135"/>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4">
    <w:name w:val="Light List - Accent 16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2">
    <w:name w:val="Light Shading - Accent 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2">
    <w:name w:val="Medium Grid 2 - Accent 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2">
    <w:name w:val="Medium List 2 - Accent 5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2">
    <w:name w:val="Light List - Accent 17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2">
    <w:name w:val="Medium Grid 3 - Accent 5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2">
    <w:name w:val="Light Shading - Accent 5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2">
    <w:name w:val="Medium Grid 2 - Accent 5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2">
    <w:name w:val="Light Grid - Accent 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2">
    <w:name w:val="No List182"/>
    <w:next w:val="NoList"/>
    <w:semiHidden/>
    <w:unhideWhenUsed/>
    <w:rsid w:val="008F7DB9"/>
  </w:style>
  <w:style w:type="table" w:customStyle="1" w:styleId="TableGrid760">
    <w:name w:val="Table Grid7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2">
    <w:name w:val="Table List 74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2">
    <w:name w:val="Table Web 34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2">
    <w:name w:val="Table Elegant4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2">
    <w:name w:val="Table Web 24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2">
    <w:name w:val="Table Web 14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2">
    <w:name w:val="Table Grid 84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2">
    <w:name w:val="Table Contemporary4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2">
    <w:name w:val="No List192"/>
    <w:next w:val="NoList"/>
    <w:semiHidden/>
    <w:unhideWhenUsed/>
    <w:rsid w:val="008F7DB9"/>
  </w:style>
  <w:style w:type="numbering" w:customStyle="1" w:styleId="NoList252">
    <w:name w:val="No List252"/>
    <w:next w:val="NoList"/>
    <w:semiHidden/>
    <w:unhideWhenUsed/>
    <w:rsid w:val="008F7DB9"/>
  </w:style>
  <w:style w:type="numbering" w:customStyle="1" w:styleId="NoList352">
    <w:name w:val="No List352"/>
    <w:next w:val="NoList"/>
    <w:semiHidden/>
    <w:unhideWhenUsed/>
    <w:rsid w:val="008F7DB9"/>
  </w:style>
  <w:style w:type="table" w:customStyle="1" w:styleId="LightList-Accent182">
    <w:name w:val="Light List - Accent 18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2">
    <w:name w:val="Table Grid 74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2">
    <w:name w:val="Colorful Grid - Accent 15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2">
    <w:name w:val="Light List - Accent 55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2">
    <w:name w:val="Table Simple 34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2">
    <w:name w:val="Table Grid 54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2">
    <w:name w:val="Table Grid 34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20">
    <w:name w:val="Table Grid 14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2">
    <w:name w:val="Table Columns 54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2">
    <w:name w:val="Light List - Accent 114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2">
    <w:name w:val="Нет списка152"/>
    <w:next w:val="NoList"/>
    <w:semiHidden/>
    <w:unhideWhenUsed/>
    <w:rsid w:val="008F7DB9"/>
  </w:style>
  <w:style w:type="table" w:customStyle="1" w:styleId="ColorfulGrid-Accent1142">
    <w:name w:val="Colorful Grid - Accent 114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2">
    <w:name w:val="Light List - Accent 514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2">
    <w:name w:val="No List442"/>
    <w:next w:val="NoList"/>
    <w:semiHidden/>
    <w:rsid w:val="008F7DB9"/>
  </w:style>
  <w:style w:type="numbering" w:customStyle="1" w:styleId="NoList1172">
    <w:name w:val="No List1172"/>
    <w:next w:val="NoList"/>
    <w:semiHidden/>
    <w:unhideWhenUsed/>
    <w:rsid w:val="008F7DB9"/>
  </w:style>
  <w:style w:type="table" w:customStyle="1" w:styleId="Table3Deffects342">
    <w:name w:val="Table 3D effects 34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NoList"/>
    <w:semiHidden/>
    <w:unhideWhenUsed/>
    <w:rsid w:val="008F7DB9"/>
  </w:style>
  <w:style w:type="table" w:customStyle="1" w:styleId="Style1112">
    <w:name w:val="Style11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2">
    <w:name w:val="Style2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2">
    <w:name w:val="Style2111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2">
    <w:name w:val="Style112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2">
    <w:name w:val="Style2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2">
    <w:name w:val="Style21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2">
    <w:name w:val="No List202"/>
    <w:next w:val="NoList"/>
    <w:uiPriority w:val="99"/>
    <w:semiHidden/>
    <w:unhideWhenUsed/>
    <w:rsid w:val="008F7DB9"/>
  </w:style>
  <w:style w:type="numbering" w:customStyle="1" w:styleId="NoList1102">
    <w:name w:val="No List1102"/>
    <w:next w:val="NoList"/>
    <w:uiPriority w:val="99"/>
    <w:semiHidden/>
    <w:unhideWhenUsed/>
    <w:rsid w:val="008F7DB9"/>
  </w:style>
  <w:style w:type="table" w:customStyle="1" w:styleId="TableGrid850">
    <w:name w:val="Table Grid85"/>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2">
    <w:name w:val="No List1182"/>
    <w:next w:val="NoList"/>
    <w:semiHidden/>
    <w:unhideWhenUsed/>
    <w:rsid w:val="008F7DB9"/>
  </w:style>
  <w:style w:type="numbering" w:customStyle="1" w:styleId="NoList11142">
    <w:name w:val="No List11142"/>
    <w:next w:val="NoList"/>
    <w:semiHidden/>
    <w:rsid w:val="008F7DB9"/>
  </w:style>
  <w:style w:type="table" w:customStyle="1" w:styleId="TableGrid144">
    <w:name w:val="Table Grid14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2">
    <w:name w:val="No List111132"/>
    <w:next w:val="NoList"/>
    <w:semiHidden/>
    <w:rsid w:val="008F7DB9"/>
  </w:style>
  <w:style w:type="numbering" w:customStyle="1" w:styleId="NoList262">
    <w:name w:val="No List262"/>
    <w:next w:val="NoList"/>
    <w:semiHidden/>
    <w:rsid w:val="008F7DB9"/>
  </w:style>
  <w:style w:type="numbering" w:customStyle="1" w:styleId="NoList362">
    <w:name w:val="No List362"/>
    <w:next w:val="NoList"/>
    <w:semiHidden/>
    <w:unhideWhenUsed/>
    <w:rsid w:val="008F7DB9"/>
  </w:style>
  <w:style w:type="table" w:customStyle="1" w:styleId="TableList752">
    <w:name w:val="Table List 75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2">
    <w:name w:val="Table Web 35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2">
    <w:name w:val="Table Elegant5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2">
    <w:name w:val="Table Web 25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2">
    <w:name w:val="Table Web 15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2">
    <w:name w:val="Table Grid 85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2">
    <w:name w:val="Table Contemporary5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2">
    <w:name w:val="Light List - Accent 19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2">
    <w:name w:val="Table Grid 75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2">
    <w:name w:val="Colorful Grid - Accent 16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2">
    <w:name w:val="Light List - Accent 56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2">
    <w:name w:val="Table Simple 35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2">
    <w:name w:val="Table Grid 55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2">
    <w:name w:val="Table Grid 35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2">
    <w:name w:val="Table Grid 15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2">
    <w:name w:val="Table Columns 55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2">
    <w:name w:val="Light List - Accent 115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2">
    <w:name w:val="Нет списка162"/>
    <w:next w:val="NoList"/>
    <w:semiHidden/>
    <w:unhideWhenUsed/>
    <w:rsid w:val="008F7DB9"/>
  </w:style>
  <w:style w:type="table" w:customStyle="1" w:styleId="ColorfulGrid-Accent1152">
    <w:name w:val="Colorful Grid - Accent 115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2">
    <w:name w:val="Light List - Accent 515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2">
    <w:name w:val="No List452"/>
    <w:next w:val="NoList"/>
    <w:semiHidden/>
    <w:rsid w:val="008F7DB9"/>
  </w:style>
  <w:style w:type="table" w:customStyle="1" w:styleId="Table3Deffects352">
    <w:name w:val="Table 3D effects 35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
    <w:name w:val="Нет списка1152"/>
    <w:next w:val="NoList"/>
    <w:semiHidden/>
    <w:unhideWhenUsed/>
    <w:rsid w:val="008F7DB9"/>
  </w:style>
  <w:style w:type="numbering" w:customStyle="1" w:styleId="NoList532">
    <w:name w:val="No List532"/>
    <w:next w:val="NoList"/>
    <w:uiPriority w:val="99"/>
    <w:semiHidden/>
    <w:unhideWhenUsed/>
    <w:rsid w:val="008F7DB9"/>
  </w:style>
  <w:style w:type="numbering" w:customStyle="1" w:styleId="NoList1232">
    <w:name w:val="No List1232"/>
    <w:next w:val="NoList"/>
    <w:semiHidden/>
    <w:rsid w:val="008F7DB9"/>
  </w:style>
  <w:style w:type="numbering" w:customStyle="1" w:styleId="NoList11232">
    <w:name w:val="No List11232"/>
    <w:next w:val="NoList"/>
    <w:semiHidden/>
    <w:rsid w:val="008F7DB9"/>
  </w:style>
  <w:style w:type="numbering" w:customStyle="1" w:styleId="NoList11111112">
    <w:name w:val="No List11111112"/>
    <w:next w:val="NoList"/>
    <w:semiHidden/>
    <w:rsid w:val="008F7DB9"/>
  </w:style>
  <w:style w:type="numbering" w:customStyle="1" w:styleId="NoList2132">
    <w:name w:val="No List2132"/>
    <w:next w:val="NoList"/>
    <w:semiHidden/>
    <w:rsid w:val="008F7DB9"/>
  </w:style>
  <w:style w:type="table" w:customStyle="1" w:styleId="TableGrid234">
    <w:name w:val="Table Grid23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2">
    <w:name w:val="No List3132"/>
    <w:next w:val="NoList"/>
    <w:uiPriority w:val="99"/>
    <w:semiHidden/>
    <w:unhideWhenUsed/>
    <w:rsid w:val="008F7DB9"/>
  </w:style>
  <w:style w:type="numbering" w:customStyle="1" w:styleId="NoList615">
    <w:name w:val="No List615"/>
    <w:next w:val="NoList"/>
    <w:uiPriority w:val="99"/>
    <w:semiHidden/>
    <w:unhideWhenUsed/>
    <w:rsid w:val="008F7DB9"/>
  </w:style>
  <w:style w:type="numbering" w:customStyle="1" w:styleId="NoList715">
    <w:name w:val="No List715"/>
    <w:next w:val="NoList"/>
    <w:uiPriority w:val="99"/>
    <w:semiHidden/>
    <w:unhideWhenUsed/>
    <w:rsid w:val="008F7DB9"/>
  </w:style>
  <w:style w:type="table" w:customStyle="1" w:styleId="TableGrid3150">
    <w:name w:val="Table Grid315"/>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5">
    <w:name w:val="No List1315"/>
    <w:next w:val="NoList"/>
    <w:semiHidden/>
    <w:unhideWhenUsed/>
    <w:rsid w:val="008F7DB9"/>
  </w:style>
  <w:style w:type="numbering" w:customStyle="1" w:styleId="NoList11312">
    <w:name w:val="No List11312"/>
    <w:next w:val="NoList"/>
    <w:semiHidden/>
    <w:rsid w:val="008F7DB9"/>
  </w:style>
  <w:style w:type="table" w:customStyle="1" w:styleId="TableGrid1116">
    <w:name w:val="Table Grid1116"/>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2">
    <w:name w:val="No List111212"/>
    <w:next w:val="NoList"/>
    <w:semiHidden/>
    <w:rsid w:val="008F7DB9"/>
  </w:style>
  <w:style w:type="numbering" w:customStyle="1" w:styleId="NoList2214">
    <w:name w:val="No List2214"/>
    <w:next w:val="NoList"/>
    <w:semiHidden/>
    <w:rsid w:val="008F7DB9"/>
  </w:style>
  <w:style w:type="numbering" w:customStyle="1" w:styleId="NoList3214">
    <w:name w:val="No List3214"/>
    <w:next w:val="NoList"/>
    <w:semiHidden/>
    <w:unhideWhenUsed/>
    <w:rsid w:val="008F7DB9"/>
  </w:style>
  <w:style w:type="table" w:customStyle="1" w:styleId="TableList7114">
    <w:name w:val="Table List 7114"/>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4">
    <w:name w:val="Table Web 3114"/>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4">
    <w:name w:val="Table Elegant114"/>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5">
    <w:name w:val="Table Web 211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5">
    <w:name w:val="Table Web 111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5">
    <w:name w:val="Table Grid 811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5">
    <w:name w:val="Table Contemporary11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5">
    <w:name w:val="Light List - Accent 121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4">
    <w:name w:val="Table Grid 7114"/>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5">
    <w:name w:val="Colorful Grid - Accent 1215"/>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5">
    <w:name w:val="Light List - Accent 5215"/>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4">
    <w:name w:val="Table Simple 3114"/>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4">
    <w:name w:val="Table Grid 5114"/>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4">
    <w:name w:val="Table Grid 3114"/>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40">
    <w:name w:val="Table Grid 1114"/>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4">
    <w:name w:val="Table Columns 5114"/>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4">
    <w:name w:val="Light List - Accent 11114"/>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5">
    <w:name w:val="Нет списка1215"/>
    <w:next w:val="NoList"/>
    <w:uiPriority w:val="99"/>
    <w:semiHidden/>
    <w:unhideWhenUsed/>
    <w:rsid w:val="008F7DB9"/>
  </w:style>
  <w:style w:type="table" w:customStyle="1" w:styleId="ColorfulGrid-Accent11114">
    <w:name w:val="Colorful Grid - Accent 11114"/>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4">
    <w:name w:val="Light List - Accent 51114"/>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5">
    <w:name w:val="No List4115"/>
    <w:next w:val="NoList"/>
    <w:semiHidden/>
    <w:rsid w:val="008F7DB9"/>
  </w:style>
  <w:style w:type="table" w:customStyle="1" w:styleId="Table3Deffects3114">
    <w:name w:val="Table 3D effects 3114"/>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NoList"/>
    <w:semiHidden/>
    <w:unhideWhenUsed/>
    <w:rsid w:val="008F7DB9"/>
  </w:style>
  <w:style w:type="numbering" w:customStyle="1" w:styleId="NoList5114">
    <w:name w:val="No List5114"/>
    <w:next w:val="NoList"/>
    <w:uiPriority w:val="99"/>
    <w:semiHidden/>
    <w:unhideWhenUsed/>
    <w:rsid w:val="008F7DB9"/>
  </w:style>
  <w:style w:type="numbering" w:customStyle="1" w:styleId="NoList12114">
    <w:name w:val="No List12114"/>
    <w:next w:val="NoList"/>
    <w:uiPriority w:val="99"/>
    <w:semiHidden/>
    <w:rsid w:val="008F7DB9"/>
  </w:style>
  <w:style w:type="numbering" w:customStyle="1" w:styleId="NoList112112">
    <w:name w:val="No List112112"/>
    <w:next w:val="NoList"/>
    <w:semiHidden/>
    <w:rsid w:val="008F7DB9"/>
  </w:style>
  <w:style w:type="numbering" w:customStyle="1" w:styleId="NoList111111112">
    <w:name w:val="No List111111112"/>
    <w:next w:val="NoList"/>
    <w:semiHidden/>
    <w:rsid w:val="008F7DB9"/>
  </w:style>
  <w:style w:type="numbering" w:customStyle="1" w:styleId="NoList21114">
    <w:name w:val="No List21114"/>
    <w:next w:val="NoList"/>
    <w:semiHidden/>
    <w:rsid w:val="008F7DB9"/>
  </w:style>
  <w:style w:type="table" w:customStyle="1" w:styleId="TableGrid2114">
    <w:name w:val="Table Grid211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4">
    <w:name w:val="No List31114"/>
    <w:next w:val="NoList"/>
    <w:semiHidden/>
    <w:unhideWhenUsed/>
    <w:rsid w:val="008F7DB9"/>
  </w:style>
  <w:style w:type="numbering" w:customStyle="1" w:styleId="NoList815">
    <w:name w:val="No List815"/>
    <w:next w:val="NoList"/>
    <w:uiPriority w:val="99"/>
    <w:semiHidden/>
    <w:unhideWhenUsed/>
    <w:rsid w:val="008F7DB9"/>
  </w:style>
  <w:style w:type="numbering" w:customStyle="1" w:styleId="NoList914">
    <w:name w:val="No List914"/>
    <w:next w:val="NoList"/>
    <w:uiPriority w:val="99"/>
    <w:semiHidden/>
    <w:unhideWhenUsed/>
    <w:rsid w:val="008F7DB9"/>
  </w:style>
  <w:style w:type="table" w:customStyle="1" w:styleId="TableGrid415">
    <w:name w:val="Table Grid4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2">
    <w:name w:val="Table List 72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2">
    <w:name w:val="Table Web 32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2">
    <w:name w:val="Table Elegant2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4">
    <w:name w:val="Table Web 2214"/>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4">
    <w:name w:val="Table Web 1214"/>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4">
    <w:name w:val="Table Grid 8214"/>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4">
    <w:name w:val="Table Contemporary214"/>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4">
    <w:name w:val="No List1414"/>
    <w:next w:val="NoList"/>
    <w:semiHidden/>
    <w:unhideWhenUsed/>
    <w:rsid w:val="008F7DB9"/>
  </w:style>
  <w:style w:type="numbering" w:customStyle="1" w:styleId="NoList2312">
    <w:name w:val="No List2312"/>
    <w:next w:val="NoList"/>
    <w:semiHidden/>
    <w:unhideWhenUsed/>
    <w:rsid w:val="008F7DB9"/>
  </w:style>
  <w:style w:type="numbering" w:customStyle="1" w:styleId="NoList3312">
    <w:name w:val="No List3312"/>
    <w:next w:val="NoList"/>
    <w:semiHidden/>
    <w:unhideWhenUsed/>
    <w:rsid w:val="008F7DB9"/>
  </w:style>
  <w:style w:type="table" w:customStyle="1" w:styleId="LightList-Accent1312">
    <w:name w:val="Light List - Accent 13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2">
    <w:name w:val="Table Grid 72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4">
    <w:name w:val="Colorful Grid - Accent 1314"/>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4">
    <w:name w:val="Light List - Accent 5314"/>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2">
    <w:name w:val="Table Simple 32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2">
    <w:name w:val="Table Grid 52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2">
    <w:name w:val="Table Grid 32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20">
    <w:name w:val="Table Grid 12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2">
    <w:name w:val="Table Columns 52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2">
    <w:name w:val="Light List - Accent 112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4">
    <w:name w:val="Нет списка1314"/>
    <w:next w:val="NoList"/>
    <w:semiHidden/>
    <w:unhideWhenUsed/>
    <w:rsid w:val="008F7DB9"/>
  </w:style>
  <w:style w:type="table" w:customStyle="1" w:styleId="ColorfulGrid-Accent11212">
    <w:name w:val="Colorful Grid - Accent 112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2">
    <w:name w:val="Light List - Accent 512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4">
    <w:name w:val="No List4214"/>
    <w:next w:val="NoList"/>
    <w:semiHidden/>
    <w:rsid w:val="008F7DB9"/>
  </w:style>
  <w:style w:type="numbering" w:customStyle="1" w:styleId="NoList11412">
    <w:name w:val="No List11412"/>
    <w:next w:val="NoList"/>
    <w:semiHidden/>
    <w:unhideWhenUsed/>
    <w:rsid w:val="008F7DB9"/>
  </w:style>
  <w:style w:type="table" w:customStyle="1" w:styleId="Table3Deffects3212">
    <w:name w:val="Table 3D effects 32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4">
    <w:name w:val="Нет списка11214"/>
    <w:next w:val="NoList"/>
    <w:semiHidden/>
    <w:unhideWhenUsed/>
    <w:rsid w:val="008F7DB9"/>
  </w:style>
  <w:style w:type="numbering" w:customStyle="1" w:styleId="NoList1014">
    <w:name w:val="No List1014"/>
    <w:next w:val="NoList"/>
    <w:uiPriority w:val="99"/>
    <w:semiHidden/>
    <w:unhideWhenUsed/>
    <w:rsid w:val="008F7DB9"/>
  </w:style>
  <w:style w:type="table" w:customStyle="1" w:styleId="TableGrid5140">
    <w:name w:val="Table Grid51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semiHidden/>
    <w:unhideWhenUsed/>
    <w:rsid w:val="008F7DB9"/>
  </w:style>
  <w:style w:type="numbering" w:customStyle="1" w:styleId="NoList11512">
    <w:name w:val="No List11512"/>
    <w:next w:val="NoList"/>
    <w:semiHidden/>
    <w:rsid w:val="008F7DB9"/>
  </w:style>
  <w:style w:type="table" w:customStyle="1" w:styleId="TableGrid1214">
    <w:name w:val="Table Grid121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2">
    <w:name w:val="No List111312"/>
    <w:next w:val="NoList"/>
    <w:semiHidden/>
    <w:rsid w:val="008F7DB9"/>
  </w:style>
  <w:style w:type="numbering" w:customStyle="1" w:styleId="NoList2412">
    <w:name w:val="No List2412"/>
    <w:next w:val="NoList"/>
    <w:semiHidden/>
    <w:rsid w:val="008F7DB9"/>
  </w:style>
  <w:style w:type="numbering" w:customStyle="1" w:styleId="NoList3412">
    <w:name w:val="No List3412"/>
    <w:next w:val="NoList"/>
    <w:semiHidden/>
    <w:unhideWhenUsed/>
    <w:rsid w:val="008F7DB9"/>
  </w:style>
  <w:style w:type="table" w:customStyle="1" w:styleId="TableList7312">
    <w:name w:val="Table List 73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2">
    <w:name w:val="Table Web 33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2">
    <w:name w:val="Table Elegant3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2">
    <w:name w:val="Table Web 231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2">
    <w:name w:val="Table Web 131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2">
    <w:name w:val="Table Grid 831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2">
    <w:name w:val="Table Contemporary31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2">
    <w:name w:val="Light List - Accent 14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20">
    <w:name w:val="Table Grid 73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2">
    <w:name w:val="Colorful Grid - Accent 141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2">
    <w:name w:val="Light List - Accent 541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2">
    <w:name w:val="Table Simple 33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2">
    <w:name w:val="Table Grid 53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2">
    <w:name w:val="Table Grid 33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2">
    <w:name w:val="Table Grid 13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2">
    <w:name w:val="Table Columns 53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2">
    <w:name w:val="Light List - Accent 113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2">
    <w:name w:val="Нет списка1412"/>
    <w:next w:val="NoList"/>
    <w:semiHidden/>
    <w:unhideWhenUsed/>
    <w:rsid w:val="008F7DB9"/>
  </w:style>
  <w:style w:type="table" w:customStyle="1" w:styleId="ColorfulGrid-Accent11312">
    <w:name w:val="Colorful Grid - Accent 113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2">
    <w:name w:val="Light List - Accent 513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2">
    <w:name w:val="No List4312"/>
    <w:next w:val="NoList"/>
    <w:semiHidden/>
    <w:rsid w:val="008F7DB9"/>
  </w:style>
  <w:style w:type="table" w:customStyle="1" w:styleId="Table3Deffects3312">
    <w:name w:val="Table 3D effects 33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2">
    <w:name w:val="Нет списка11312"/>
    <w:next w:val="NoList"/>
    <w:semiHidden/>
    <w:unhideWhenUsed/>
    <w:rsid w:val="008F7DB9"/>
  </w:style>
  <w:style w:type="numbering" w:customStyle="1" w:styleId="NoList5212">
    <w:name w:val="No List5212"/>
    <w:next w:val="NoList"/>
    <w:uiPriority w:val="99"/>
    <w:semiHidden/>
    <w:unhideWhenUsed/>
    <w:rsid w:val="008F7DB9"/>
  </w:style>
  <w:style w:type="numbering" w:customStyle="1" w:styleId="NoList12212">
    <w:name w:val="No List12212"/>
    <w:next w:val="NoList"/>
    <w:semiHidden/>
    <w:rsid w:val="008F7DB9"/>
  </w:style>
  <w:style w:type="numbering" w:customStyle="1" w:styleId="NoList112212">
    <w:name w:val="No List112212"/>
    <w:next w:val="NoList"/>
    <w:semiHidden/>
    <w:rsid w:val="008F7DB9"/>
  </w:style>
  <w:style w:type="numbering" w:customStyle="1" w:styleId="NoList1111212">
    <w:name w:val="No List1111212"/>
    <w:next w:val="NoList"/>
    <w:semiHidden/>
    <w:rsid w:val="008F7DB9"/>
  </w:style>
  <w:style w:type="numbering" w:customStyle="1" w:styleId="NoList21212">
    <w:name w:val="No List21212"/>
    <w:next w:val="NoList"/>
    <w:semiHidden/>
    <w:rsid w:val="008F7DB9"/>
  </w:style>
  <w:style w:type="table" w:customStyle="1" w:styleId="TableGrid2215">
    <w:name w:val="Table Grid22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2">
    <w:name w:val="No List31212"/>
    <w:next w:val="NoList"/>
    <w:uiPriority w:val="99"/>
    <w:semiHidden/>
    <w:unhideWhenUsed/>
    <w:rsid w:val="008F7DB9"/>
  </w:style>
  <w:style w:type="table" w:customStyle="1" w:styleId="LightShading-Accent1112">
    <w:name w:val="Light Shading - Accent 111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2">
    <w:name w:val="Medium Grid 2 - Accent 111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2">
    <w:name w:val="Medium List 2 - Accent 511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2">
    <w:name w:val="Light List - Accent 15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2">
    <w:name w:val="Medium Grid 3 - Accent 511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2">
    <w:name w:val="Light Shading - Accent 511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2">
    <w:name w:val="Medium Grid 2 - Accent 511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2">
    <w:name w:val="Light Grid - Accent 111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2">
    <w:name w:val="Table List 43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2">
    <w:name w:val="Table List 412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2">
    <w:name w:val="Table Theme12"/>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2">
    <w:name w:val="Table Professional12"/>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20">
    <w:name w:val="Table Grid 612"/>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2">
    <w:name w:val="Table List 421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2">
    <w:name w:val="Table List 4111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2">
    <w:name w:val="Style113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2">
    <w:name w:val="Style2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2">
    <w:name w:val="Style21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2">
    <w:name w:val="No List1612"/>
    <w:next w:val="NoList"/>
    <w:uiPriority w:val="99"/>
    <w:semiHidden/>
    <w:unhideWhenUsed/>
    <w:rsid w:val="008F7DB9"/>
  </w:style>
  <w:style w:type="table" w:customStyle="1" w:styleId="TableGrid614">
    <w:name w:val="Table Grid6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2">
    <w:name w:val="No List1712"/>
    <w:next w:val="NoList"/>
    <w:uiPriority w:val="99"/>
    <w:semiHidden/>
    <w:unhideWhenUsed/>
    <w:rsid w:val="008F7DB9"/>
  </w:style>
  <w:style w:type="numbering" w:customStyle="1" w:styleId="NoList11612">
    <w:name w:val="No List11612"/>
    <w:next w:val="NoList"/>
    <w:semiHidden/>
    <w:rsid w:val="008F7DB9"/>
  </w:style>
  <w:style w:type="table" w:customStyle="1" w:styleId="TableGrid13120">
    <w:name w:val="Table Grid131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2">
    <w:name w:val="Light List - Accent 16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
    <w:name w:val="Light Shading - Accent 132"/>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2">
    <w:name w:val="Medium Grid 2 - Accent 132"/>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2">
    <w:name w:val="Medium List 2 - Accent 532"/>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2">
    <w:name w:val="Medium Grid 3 - Accent 532"/>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2">
    <w:name w:val="Light Shading - Accent 532"/>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2">
    <w:name w:val="Medium Grid 2 - Accent 532"/>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2">
    <w:name w:val="Light Grid - Accent 132"/>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2">
    <w:name w:val="Light Shading - Accent 14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2">
    <w:name w:val="Medium Grid 2 - Accent 14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2">
    <w:name w:val="Medium List 2 - Accent 54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2">
    <w:name w:val="Light List - Accent 11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2">
    <w:name w:val="Medium Grid 3 - Accent 54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2">
    <w:name w:val="Light Shading - Accent 54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2">
    <w:name w:val="Medium Grid 2 - Accent 54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2">
    <w:name w:val="Light Grid - Accent 14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2">
    <w:name w:val="Light Shading - Accent 15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2">
    <w:name w:val="Medium Grid 2 - Accent 15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2">
    <w:name w:val="Medium List 2 - Accent 55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2">
    <w:name w:val="Light List - Accent 116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2">
    <w:name w:val="Medium Grid 3 - Accent 55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2">
    <w:name w:val="Light Shading - Accent 55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2">
    <w:name w:val="Medium Grid 2 - Accent 55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2">
    <w:name w:val="Light Grid - Accent 15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2">
    <w:name w:val="No List272"/>
    <w:next w:val="NoList"/>
    <w:uiPriority w:val="99"/>
    <w:semiHidden/>
    <w:unhideWhenUsed/>
    <w:rsid w:val="008F7DB9"/>
  </w:style>
  <w:style w:type="table" w:customStyle="1" w:styleId="TableGrid95">
    <w:name w:val="Table Grid9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2">
    <w:name w:val="Table List 76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2">
    <w:name w:val="Table Web 36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2">
    <w:name w:val="Table Elegant6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2">
    <w:name w:val="Table Web 26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2">
    <w:name w:val="Table Web 16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2">
    <w:name w:val="Table Grid 86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2">
    <w:name w:val="Table Contemporary6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2">
    <w:name w:val="No List1192"/>
    <w:next w:val="NoList"/>
    <w:semiHidden/>
    <w:unhideWhenUsed/>
    <w:rsid w:val="008F7DB9"/>
  </w:style>
  <w:style w:type="numbering" w:customStyle="1" w:styleId="NoList282">
    <w:name w:val="No List282"/>
    <w:next w:val="NoList"/>
    <w:semiHidden/>
    <w:unhideWhenUsed/>
    <w:rsid w:val="008F7DB9"/>
  </w:style>
  <w:style w:type="numbering" w:customStyle="1" w:styleId="NoList372">
    <w:name w:val="No List372"/>
    <w:next w:val="NoList"/>
    <w:semiHidden/>
    <w:unhideWhenUsed/>
    <w:rsid w:val="008F7DB9"/>
  </w:style>
  <w:style w:type="table" w:customStyle="1" w:styleId="LightList-Accent1172">
    <w:name w:val="Light List - Accent 117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2">
    <w:name w:val="Table Grid 76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2">
    <w:name w:val="Colorful Grid - Accent 17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2">
    <w:name w:val="Light List - Accent 57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2">
    <w:name w:val="Table Simple 36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2">
    <w:name w:val="Table Grid 56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2">
    <w:name w:val="Table Grid 36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2">
    <w:name w:val="Table Grid 16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2">
    <w:name w:val="Table Columns 56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2">
    <w:name w:val="Light List - Accent 118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2">
    <w:name w:val="Нет списка172"/>
    <w:next w:val="NoList"/>
    <w:semiHidden/>
    <w:unhideWhenUsed/>
    <w:rsid w:val="008F7DB9"/>
  </w:style>
  <w:style w:type="table" w:customStyle="1" w:styleId="ColorfulGrid-Accent1162">
    <w:name w:val="Colorful Grid - Accent 116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2">
    <w:name w:val="Light List - Accent 516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2">
    <w:name w:val="No List462"/>
    <w:next w:val="NoList"/>
    <w:semiHidden/>
    <w:rsid w:val="008F7DB9"/>
  </w:style>
  <w:style w:type="numbering" w:customStyle="1" w:styleId="NoList11102">
    <w:name w:val="No List11102"/>
    <w:next w:val="NoList"/>
    <w:semiHidden/>
    <w:unhideWhenUsed/>
    <w:rsid w:val="008F7DB9"/>
  </w:style>
  <w:style w:type="table" w:customStyle="1" w:styleId="Table3Deffects362">
    <w:name w:val="Table 3D effects 36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NoList"/>
    <w:semiHidden/>
    <w:unhideWhenUsed/>
    <w:rsid w:val="008F7DB9"/>
  </w:style>
  <w:style w:type="table" w:customStyle="1" w:styleId="LightShading-Accent162">
    <w:name w:val="Light Shading - Accent 16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2">
    <w:name w:val="Medium Grid 2 - Accent 16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2">
    <w:name w:val="Medium List 2 - Accent 56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2">
    <w:name w:val="Light List - Accent 15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2">
    <w:name w:val="Medium Grid 3 - Accent 56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2">
    <w:name w:val="Light Shading - Accent 56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2">
    <w:name w:val="Medium Grid 2 - Accent 56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2">
    <w:name w:val="Light Grid - Accent 16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2">
    <w:name w:val="Style114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2">
    <w:name w:val="Style2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2">
    <w:name w:val="Style21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2">
    <w:name w:val="Light Shading - Accent 1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2">
    <w:name w:val="Medium Grid 2 - Accent 1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2">
    <w:name w:val="Medium List 2 - Accent 51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2">
    <w:name w:val="Light List - Accent 16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2">
    <w:name w:val="Medium Grid 3 - Accent 51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2">
    <w:name w:val="Light Shading - Accent 51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2">
    <w:name w:val="Medium Grid 2 - Accent 51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2">
    <w:name w:val="Light Grid - Accent 1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2">
    <w:name w:val="No List292"/>
    <w:next w:val="NoList"/>
    <w:uiPriority w:val="99"/>
    <w:semiHidden/>
    <w:unhideWhenUsed/>
    <w:rsid w:val="008F7DB9"/>
  </w:style>
  <w:style w:type="table" w:customStyle="1" w:styleId="TableGrid105">
    <w:name w:val="Table Grid10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2">
    <w:name w:val="No List1202"/>
    <w:next w:val="NoList"/>
    <w:uiPriority w:val="99"/>
    <w:semiHidden/>
    <w:unhideWhenUsed/>
    <w:rsid w:val="008F7DB9"/>
  </w:style>
  <w:style w:type="numbering" w:customStyle="1" w:styleId="NoList11152">
    <w:name w:val="No List11152"/>
    <w:next w:val="NoList"/>
    <w:semiHidden/>
    <w:rsid w:val="008F7DB9"/>
  </w:style>
  <w:style w:type="table" w:customStyle="1" w:styleId="TableGrid1520">
    <w:name w:val="Table Grid15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2">
    <w:name w:val="No List302"/>
    <w:next w:val="NoList"/>
    <w:uiPriority w:val="99"/>
    <w:semiHidden/>
    <w:unhideWhenUsed/>
    <w:rsid w:val="008F7DB9"/>
  </w:style>
  <w:style w:type="table" w:customStyle="1" w:styleId="LightShading-Accent172">
    <w:name w:val="Light Shading - Accent 17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2">
    <w:name w:val="Medium Grid 2 - Accent 17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2">
    <w:name w:val="Medium List 2 - Accent 57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2">
    <w:name w:val="Light List - Accent 119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2">
    <w:name w:val="Medium Grid 3 - Accent 57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2">
    <w:name w:val="Light Shading - Accent 57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2">
    <w:name w:val="Medium Grid 2 - Accent 57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2">
    <w:name w:val="Light Grid - Accent 17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2">
    <w:name w:val="No List382"/>
    <w:next w:val="NoList"/>
    <w:uiPriority w:val="99"/>
    <w:semiHidden/>
    <w:unhideWhenUsed/>
    <w:rsid w:val="008F7DB9"/>
  </w:style>
  <w:style w:type="table" w:customStyle="1" w:styleId="TableGrid1620">
    <w:name w:val="Table Grid162"/>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8F7DB9"/>
  </w:style>
  <w:style w:type="numbering" w:customStyle="1" w:styleId="NoList11162">
    <w:name w:val="No List11162"/>
    <w:next w:val="NoList"/>
    <w:semiHidden/>
    <w:rsid w:val="008F7DB9"/>
  </w:style>
  <w:style w:type="table" w:customStyle="1" w:styleId="TableGrid172">
    <w:name w:val="Table Grid17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2">
    <w:name w:val="Light Shading - Accent 18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2">
    <w:name w:val="Medium Grid 2 - Accent 18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2">
    <w:name w:val="Medium List 2 - Accent 58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2">
    <w:name w:val="Light List - Accent 12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2">
    <w:name w:val="Medium Grid 3 - Accent 58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2">
    <w:name w:val="Light Shading - Accent 58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2">
    <w:name w:val="Medium Grid 2 - Accent 58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2">
    <w:name w:val="Light Grid - Accent 18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2">
    <w:name w:val="Light Shading - Accent 19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2">
    <w:name w:val="Medium Grid 2 - Accent 19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2">
    <w:name w:val="Medium List 2 - Accent 59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2">
    <w:name w:val="Light List - Accent 12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2">
    <w:name w:val="Medium Grid 3 - Accent 59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2">
    <w:name w:val="Light Shading - Accent 59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2">
    <w:name w:val="Medium Grid 2 - Accent 59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2">
    <w:name w:val="Light Grid - Accent 19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3">
    <w:name w:val="Style1153"/>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2">
    <w:name w:val="Style21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2">
    <w:name w:val="No List392"/>
    <w:next w:val="NoList"/>
    <w:uiPriority w:val="99"/>
    <w:semiHidden/>
    <w:unhideWhenUsed/>
    <w:rsid w:val="008F7DB9"/>
  </w:style>
  <w:style w:type="table" w:customStyle="1" w:styleId="TableGrid182">
    <w:name w:val="Table Grid18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8F7DB9"/>
  </w:style>
  <w:style w:type="numbering" w:customStyle="1" w:styleId="NoList11172">
    <w:name w:val="No List11172"/>
    <w:next w:val="NoList"/>
    <w:semiHidden/>
    <w:rsid w:val="008F7DB9"/>
  </w:style>
  <w:style w:type="table" w:customStyle="1" w:styleId="TableGrid192">
    <w:name w:val="Table Grid19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2">
    <w:name w:val="Style115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2">
    <w:name w:val="Style216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2">
    <w:name w:val="No List402"/>
    <w:next w:val="NoList"/>
    <w:uiPriority w:val="99"/>
    <w:semiHidden/>
    <w:unhideWhenUsed/>
    <w:rsid w:val="008F7DB9"/>
  </w:style>
  <w:style w:type="table" w:customStyle="1" w:styleId="TableGrid202">
    <w:name w:val="Table Grid202"/>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2">
    <w:name w:val="Light Shading - Accent 110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2">
    <w:name w:val="Light List - Accent 582"/>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2">
    <w:name w:val="Medium List 2 - Accent 112"/>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2">
    <w:name w:val="Medium Grid 2 - Accent 110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2">
    <w:name w:val="Medium Grid 3 - Accent 612"/>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2">
    <w:name w:val="Medium List 2 - Accent 510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2">
    <w:name w:val="Light List - Accent 123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2">
    <w:name w:val="Medium List 1 - Accent 512"/>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2">
    <w:name w:val="Medium Grid 3 - Accent 510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2">
    <w:name w:val="Light Shading - Accent 510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2">
    <w:name w:val="Medium Grid 2 - Accent 510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2">
    <w:name w:val="Light List - Accent 312"/>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2">
    <w:name w:val="Medium List 2 - Accent 312"/>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2">
    <w:name w:val="Medium List 2 - Accent 412"/>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2">
    <w:name w:val="Light Grid - Accent 110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2">
    <w:name w:val="No List472"/>
    <w:next w:val="NoList"/>
    <w:uiPriority w:val="99"/>
    <w:semiHidden/>
    <w:unhideWhenUsed/>
    <w:rsid w:val="008F7DB9"/>
  </w:style>
  <w:style w:type="table" w:customStyle="1" w:styleId="TableGrid242">
    <w:name w:val="Table Grid24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2">
    <w:name w:val="No List1262"/>
    <w:next w:val="NoList"/>
    <w:uiPriority w:val="99"/>
    <w:semiHidden/>
    <w:unhideWhenUsed/>
    <w:rsid w:val="008F7DB9"/>
  </w:style>
  <w:style w:type="numbering" w:customStyle="1" w:styleId="NoList11182">
    <w:name w:val="No List11182"/>
    <w:next w:val="NoList"/>
    <w:semiHidden/>
    <w:rsid w:val="008F7DB9"/>
  </w:style>
  <w:style w:type="table" w:customStyle="1" w:styleId="TableGrid11020">
    <w:name w:val="Table Grid110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semiHidden/>
    <w:rsid w:val="008F7DB9"/>
  </w:style>
  <w:style w:type="numbering" w:customStyle="1" w:styleId="NoList1271">
    <w:name w:val="No List1271"/>
    <w:next w:val="NoList"/>
    <w:semiHidden/>
    <w:rsid w:val="008F7DB9"/>
  </w:style>
  <w:style w:type="numbering" w:customStyle="1" w:styleId="NoList2101">
    <w:name w:val="No List2101"/>
    <w:next w:val="NoList"/>
    <w:semiHidden/>
    <w:rsid w:val="008F7DB9"/>
  </w:style>
  <w:style w:type="numbering" w:customStyle="1" w:styleId="NoList491">
    <w:name w:val="No List491"/>
    <w:next w:val="NoList"/>
    <w:uiPriority w:val="99"/>
    <w:semiHidden/>
    <w:unhideWhenUsed/>
    <w:rsid w:val="008F7DB9"/>
  </w:style>
  <w:style w:type="table" w:customStyle="1" w:styleId="TableGrid251">
    <w:name w:val="Table Grid251"/>
    <w:basedOn w:val="TableNormal"/>
    <w:next w:val="TableGrid"/>
    <w:uiPriority w:val="39"/>
    <w:rsid w:val="008F7DB9"/>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
    <w:name w:val="Grid Table 4 - Accent 114"/>
    <w:basedOn w:val="TableNormal"/>
    <w:uiPriority w:val="49"/>
    <w:rsid w:val="008F7DB9"/>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1">
    <w:name w:val="Table Grid26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NoList"/>
    <w:uiPriority w:val="99"/>
    <w:semiHidden/>
    <w:unhideWhenUsed/>
    <w:rsid w:val="008F7DB9"/>
  </w:style>
  <w:style w:type="numbering" w:customStyle="1" w:styleId="NoList1281">
    <w:name w:val="No List1281"/>
    <w:next w:val="NoList"/>
    <w:uiPriority w:val="99"/>
    <w:semiHidden/>
    <w:unhideWhenUsed/>
    <w:rsid w:val="008F7DB9"/>
  </w:style>
  <w:style w:type="table" w:customStyle="1" w:styleId="TableGrid271">
    <w:name w:val="Table Grid27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semiHidden/>
    <w:unhideWhenUsed/>
    <w:rsid w:val="008F7DB9"/>
  </w:style>
  <w:style w:type="numbering" w:customStyle="1" w:styleId="NoList111101">
    <w:name w:val="No List111101"/>
    <w:next w:val="NoList"/>
    <w:semiHidden/>
    <w:rsid w:val="008F7DB9"/>
  </w:style>
  <w:style w:type="table" w:customStyle="1" w:styleId="TableGrid1123">
    <w:name w:val="Table Grid112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1">
    <w:name w:val="No List111141"/>
    <w:next w:val="NoList"/>
    <w:semiHidden/>
    <w:rsid w:val="008F7DB9"/>
  </w:style>
  <w:style w:type="numbering" w:customStyle="1" w:styleId="NoList2141">
    <w:name w:val="No List2141"/>
    <w:next w:val="NoList"/>
    <w:semiHidden/>
    <w:rsid w:val="008F7DB9"/>
  </w:style>
  <w:style w:type="numbering" w:customStyle="1" w:styleId="NoList3101">
    <w:name w:val="No List3101"/>
    <w:next w:val="NoList"/>
    <w:semiHidden/>
    <w:unhideWhenUsed/>
    <w:rsid w:val="008F7DB9"/>
  </w:style>
  <w:style w:type="table" w:customStyle="1" w:styleId="TableList771">
    <w:name w:val="Table List 77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1">
    <w:name w:val="Table Web 37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1">
    <w:name w:val="Table Elegant7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1">
    <w:name w:val="Table Web 27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1">
    <w:name w:val="Table Web 17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1">
    <w:name w:val="Table Grid 87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1">
    <w:name w:val="Table Contemporary7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1">
    <w:name w:val="Light List - Accent 124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1">
    <w:name w:val="Table Grid 77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1">
    <w:name w:val="Colorful Grid - Accent 18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1">
    <w:name w:val="Light List - Accent 59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1">
    <w:name w:val="Table Simple 37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1">
    <w:name w:val="Table Grid 57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1">
    <w:name w:val="Table Grid 37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10">
    <w:name w:val="Table Grid 17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1">
    <w:name w:val="Table Columns 57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1">
    <w:name w:val="Light List - Accent 1110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1">
    <w:name w:val="Нет списка181"/>
    <w:next w:val="NoList"/>
    <w:semiHidden/>
    <w:unhideWhenUsed/>
    <w:rsid w:val="008F7DB9"/>
  </w:style>
  <w:style w:type="table" w:customStyle="1" w:styleId="ColorfulGrid-Accent1171">
    <w:name w:val="Colorful Grid - Accent 117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1">
    <w:name w:val="Light List - Accent 517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1">
    <w:name w:val="No List4101"/>
    <w:next w:val="NoList"/>
    <w:semiHidden/>
    <w:rsid w:val="008F7DB9"/>
  </w:style>
  <w:style w:type="table" w:customStyle="1" w:styleId="Table3Deffects371">
    <w:name w:val="Table 3D effects 37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
    <w:name w:val="Нет списка1171"/>
    <w:next w:val="NoList"/>
    <w:semiHidden/>
    <w:unhideWhenUsed/>
    <w:rsid w:val="008F7DB9"/>
  </w:style>
  <w:style w:type="numbering" w:customStyle="1" w:styleId="NoList541">
    <w:name w:val="No List541"/>
    <w:next w:val="NoList"/>
    <w:uiPriority w:val="99"/>
    <w:semiHidden/>
    <w:unhideWhenUsed/>
    <w:rsid w:val="008F7DB9"/>
  </w:style>
  <w:style w:type="numbering" w:customStyle="1" w:styleId="NoList1291">
    <w:name w:val="No List1291"/>
    <w:next w:val="NoList"/>
    <w:semiHidden/>
    <w:rsid w:val="008F7DB9"/>
  </w:style>
  <w:style w:type="numbering" w:customStyle="1" w:styleId="NoList11241">
    <w:name w:val="No List11241"/>
    <w:next w:val="NoList"/>
    <w:semiHidden/>
    <w:rsid w:val="008F7DB9"/>
  </w:style>
  <w:style w:type="numbering" w:customStyle="1" w:styleId="NoList1111121">
    <w:name w:val="No List1111121"/>
    <w:next w:val="NoList"/>
    <w:semiHidden/>
    <w:rsid w:val="008F7DB9"/>
  </w:style>
  <w:style w:type="numbering" w:customStyle="1" w:styleId="NoList2151">
    <w:name w:val="No List2151"/>
    <w:next w:val="NoList"/>
    <w:semiHidden/>
    <w:rsid w:val="008F7DB9"/>
  </w:style>
  <w:style w:type="table" w:customStyle="1" w:styleId="TableGrid281">
    <w:name w:val="Table Grid28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8F7DB9"/>
  </w:style>
  <w:style w:type="numbering" w:customStyle="1" w:styleId="NoList623">
    <w:name w:val="No List623"/>
    <w:next w:val="NoList"/>
    <w:uiPriority w:val="99"/>
    <w:semiHidden/>
    <w:unhideWhenUsed/>
    <w:rsid w:val="008F7DB9"/>
  </w:style>
  <w:style w:type="numbering" w:customStyle="1" w:styleId="NoList723">
    <w:name w:val="No List723"/>
    <w:next w:val="NoList"/>
    <w:uiPriority w:val="99"/>
    <w:semiHidden/>
    <w:unhideWhenUsed/>
    <w:rsid w:val="008F7DB9"/>
  </w:style>
  <w:style w:type="table" w:customStyle="1" w:styleId="TableGrid3230">
    <w:name w:val="Table Grid32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
    <w:name w:val="No List1323"/>
    <w:next w:val="NoList"/>
    <w:semiHidden/>
    <w:unhideWhenUsed/>
    <w:rsid w:val="008F7DB9"/>
  </w:style>
  <w:style w:type="numbering" w:customStyle="1" w:styleId="NoList11321">
    <w:name w:val="No List11321"/>
    <w:next w:val="NoList"/>
    <w:semiHidden/>
    <w:rsid w:val="008F7DB9"/>
  </w:style>
  <w:style w:type="table" w:customStyle="1" w:styleId="TableGrid11310">
    <w:name w:val="Table Grid113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1">
    <w:name w:val="No List111221"/>
    <w:next w:val="NoList"/>
    <w:semiHidden/>
    <w:rsid w:val="008F7DB9"/>
  </w:style>
  <w:style w:type="numbering" w:customStyle="1" w:styleId="NoList2222">
    <w:name w:val="No List2222"/>
    <w:next w:val="NoList"/>
    <w:semiHidden/>
    <w:rsid w:val="008F7DB9"/>
  </w:style>
  <w:style w:type="numbering" w:customStyle="1" w:styleId="NoList3222">
    <w:name w:val="No List3222"/>
    <w:next w:val="NoList"/>
    <w:semiHidden/>
    <w:unhideWhenUsed/>
    <w:rsid w:val="008F7DB9"/>
  </w:style>
  <w:style w:type="table" w:customStyle="1" w:styleId="TableList7123">
    <w:name w:val="Table List 712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3">
    <w:name w:val="Table Web 312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3">
    <w:name w:val="Table Elegant12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3">
    <w:name w:val="Table Web 212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3">
    <w:name w:val="Table Web 112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3">
    <w:name w:val="Table Grid 812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3">
    <w:name w:val="Table Contemporary12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1">
    <w:name w:val="Light List - Accent 125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3">
    <w:name w:val="Table Grid 712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3">
    <w:name w:val="Colorful Grid - Accent 122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3">
    <w:name w:val="Light List - Accent 522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3">
    <w:name w:val="Table Simple 312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3">
    <w:name w:val="Table Grid 512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3">
    <w:name w:val="Table Grid 312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30">
    <w:name w:val="Table Grid 112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3">
    <w:name w:val="Table Columns 512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1">
    <w:name w:val="Light List - Accent 111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3">
    <w:name w:val="Нет списка1223"/>
    <w:next w:val="NoList"/>
    <w:uiPriority w:val="99"/>
    <w:semiHidden/>
    <w:unhideWhenUsed/>
    <w:rsid w:val="008F7DB9"/>
  </w:style>
  <w:style w:type="table" w:customStyle="1" w:styleId="ColorfulGrid-Accent11121">
    <w:name w:val="Colorful Grid - Accent 111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1">
    <w:name w:val="Light List - Accent 511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3">
    <w:name w:val="No List4123"/>
    <w:next w:val="NoList"/>
    <w:semiHidden/>
    <w:rsid w:val="008F7DB9"/>
  </w:style>
  <w:style w:type="table" w:customStyle="1" w:styleId="Table3Deffects3123">
    <w:name w:val="Table 3D effects 312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NoList"/>
    <w:semiHidden/>
    <w:unhideWhenUsed/>
    <w:rsid w:val="008F7DB9"/>
  </w:style>
  <w:style w:type="numbering" w:customStyle="1" w:styleId="NoList5122">
    <w:name w:val="No List5122"/>
    <w:next w:val="NoList"/>
    <w:uiPriority w:val="99"/>
    <w:semiHidden/>
    <w:unhideWhenUsed/>
    <w:rsid w:val="008F7DB9"/>
  </w:style>
  <w:style w:type="numbering" w:customStyle="1" w:styleId="NoList12122">
    <w:name w:val="No List12122"/>
    <w:next w:val="NoList"/>
    <w:semiHidden/>
    <w:rsid w:val="008F7DB9"/>
  </w:style>
  <w:style w:type="numbering" w:customStyle="1" w:styleId="NoList112121">
    <w:name w:val="No List112121"/>
    <w:next w:val="NoList"/>
    <w:semiHidden/>
    <w:rsid w:val="008F7DB9"/>
  </w:style>
  <w:style w:type="numbering" w:customStyle="1" w:styleId="NoList11111121">
    <w:name w:val="No List11111121"/>
    <w:next w:val="NoList"/>
    <w:semiHidden/>
    <w:rsid w:val="008F7DB9"/>
  </w:style>
  <w:style w:type="numbering" w:customStyle="1" w:styleId="NoList21122">
    <w:name w:val="No List21122"/>
    <w:next w:val="NoList"/>
    <w:semiHidden/>
    <w:rsid w:val="008F7DB9"/>
  </w:style>
  <w:style w:type="table" w:customStyle="1" w:styleId="TableGrid2121">
    <w:name w:val="Table Grid21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2">
    <w:name w:val="No List31122"/>
    <w:next w:val="NoList"/>
    <w:uiPriority w:val="99"/>
    <w:semiHidden/>
    <w:unhideWhenUsed/>
    <w:rsid w:val="008F7DB9"/>
  </w:style>
  <w:style w:type="numbering" w:customStyle="1" w:styleId="NoList823">
    <w:name w:val="No List823"/>
    <w:next w:val="NoList"/>
    <w:uiPriority w:val="99"/>
    <w:semiHidden/>
    <w:unhideWhenUsed/>
    <w:rsid w:val="008F7DB9"/>
  </w:style>
  <w:style w:type="numbering" w:customStyle="1" w:styleId="NoList922">
    <w:name w:val="No List922"/>
    <w:next w:val="NoList"/>
    <w:uiPriority w:val="99"/>
    <w:semiHidden/>
    <w:unhideWhenUsed/>
    <w:rsid w:val="008F7DB9"/>
  </w:style>
  <w:style w:type="table" w:customStyle="1" w:styleId="TableGrid423">
    <w:name w:val="Table Grid42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1">
    <w:name w:val="Table List 72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1">
    <w:name w:val="Table Web 32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1">
    <w:name w:val="Table Elegant2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1">
    <w:name w:val="Table Web 12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1">
    <w:name w:val="Table Grid 82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2">
    <w:name w:val="No List1422"/>
    <w:next w:val="NoList"/>
    <w:semiHidden/>
    <w:unhideWhenUsed/>
    <w:rsid w:val="008F7DB9"/>
  </w:style>
  <w:style w:type="numbering" w:customStyle="1" w:styleId="NoList2321">
    <w:name w:val="No List2321"/>
    <w:next w:val="NoList"/>
    <w:semiHidden/>
    <w:unhideWhenUsed/>
    <w:rsid w:val="008F7DB9"/>
  </w:style>
  <w:style w:type="numbering" w:customStyle="1" w:styleId="NoList3321">
    <w:name w:val="No List3321"/>
    <w:next w:val="NoList"/>
    <w:semiHidden/>
    <w:unhideWhenUsed/>
    <w:rsid w:val="008F7DB9"/>
  </w:style>
  <w:style w:type="table" w:customStyle="1" w:styleId="LightList-Accent1321">
    <w:name w:val="Light List - Accent 13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1">
    <w:name w:val="Table Grid 72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1">
    <w:name w:val="Colorful Grid - Accent 13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1">
    <w:name w:val="Light List - Accent 53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1">
    <w:name w:val="Table Simple 32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1">
    <w:name w:val="Table Grid 52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1">
    <w:name w:val="Table Grid 32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1">
    <w:name w:val="Table Grid 12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1">
    <w:name w:val="Table Columns 52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1">
    <w:name w:val="Light List - Accent 112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2">
    <w:name w:val="Нет списка1322"/>
    <w:next w:val="NoList"/>
    <w:semiHidden/>
    <w:unhideWhenUsed/>
    <w:rsid w:val="008F7DB9"/>
  </w:style>
  <w:style w:type="table" w:customStyle="1" w:styleId="ColorfulGrid-Accent11221">
    <w:name w:val="Colorful Grid - Accent 112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1">
    <w:name w:val="Light List - Accent 512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2">
    <w:name w:val="No List4222"/>
    <w:next w:val="NoList"/>
    <w:semiHidden/>
    <w:rsid w:val="008F7DB9"/>
  </w:style>
  <w:style w:type="numbering" w:customStyle="1" w:styleId="NoList11421">
    <w:name w:val="No List11421"/>
    <w:next w:val="NoList"/>
    <w:semiHidden/>
    <w:unhideWhenUsed/>
    <w:rsid w:val="008F7DB9"/>
  </w:style>
  <w:style w:type="table" w:customStyle="1" w:styleId="Table3Deffects3221">
    <w:name w:val="Table 3D effects 32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2">
    <w:name w:val="Нет списка11222"/>
    <w:next w:val="NoList"/>
    <w:semiHidden/>
    <w:unhideWhenUsed/>
    <w:rsid w:val="008F7DB9"/>
  </w:style>
  <w:style w:type="numbering" w:customStyle="1" w:styleId="NoList1022">
    <w:name w:val="No List1022"/>
    <w:next w:val="NoList"/>
    <w:uiPriority w:val="99"/>
    <w:semiHidden/>
    <w:unhideWhenUsed/>
    <w:rsid w:val="008F7DB9"/>
  </w:style>
  <w:style w:type="table" w:customStyle="1" w:styleId="TableGrid5210">
    <w:name w:val="Table Grid52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semiHidden/>
    <w:unhideWhenUsed/>
    <w:rsid w:val="008F7DB9"/>
  </w:style>
  <w:style w:type="numbering" w:customStyle="1" w:styleId="NoList11521">
    <w:name w:val="No List11521"/>
    <w:next w:val="NoList"/>
    <w:semiHidden/>
    <w:rsid w:val="008F7DB9"/>
  </w:style>
  <w:style w:type="table" w:customStyle="1" w:styleId="TableGrid12210">
    <w:name w:val="Table Grid122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1">
    <w:name w:val="No List111321"/>
    <w:next w:val="NoList"/>
    <w:semiHidden/>
    <w:rsid w:val="008F7DB9"/>
  </w:style>
  <w:style w:type="numbering" w:customStyle="1" w:styleId="NoList2421">
    <w:name w:val="No List2421"/>
    <w:next w:val="NoList"/>
    <w:semiHidden/>
    <w:rsid w:val="008F7DB9"/>
  </w:style>
  <w:style w:type="numbering" w:customStyle="1" w:styleId="NoList3421">
    <w:name w:val="No List3421"/>
    <w:next w:val="NoList"/>
    <w:semiHidden/>
    <w:unhideWhenUsed/>
    <w:rsid w:val="008F7DB9"/>
  </w:style>
  <w:style w:type="table" w:customStyle="1" w:styleId="TableList7321">
    <w:name w:val="Table List 73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1">
    <w:name w:val="Table Web 33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1">
    <w:name w:val="Table Elegant3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1">
    <w:name w:val="Table Web 23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1">
    <w:name w:val="Table Web 13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1">
    <w:name w:val="Table Grid 83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1">
    <w:name w:val="Table Contemporary3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1">
    <w:name w:val="Light List - Accent 14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1">
    <w:name w:val="Table Grid 73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1">
    <w:name w:val="Colorful Grid - Accent 14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1">
    <w:name w:val="Light List - Accent 54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1">
    <w:name w:val="Table Simple 33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1">
    <w:name w:val="Table Grid 53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1">
    <w:name w:val="Table Grid 33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1">
    <w:name w:val="Table Grid 13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1">
    <w:name w:val="Table Columns 53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1">
    <w:name w:val="Light List - Accent 113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1">
    <w:name w:val="Нет списка1421"/>
    <w:next w:val="NoList"/>
    <w:semiHidden/>
    <w:unhideWhenUsed/>
    <w:rsid w:val="008F7DB9"/>
  </w:style>
  <w:style w:type="table" w:customStyle="1" w:styleId="ColorfulGrid-Accent11321">
    <w:name w:val="Colorful Grid - Accent 113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1">
    <w:name w:val="Light List - Accent 513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1">
    <w:name w:val="No List4321"/>
    <w:next w:val="NoList"/>
    <w:semiHidden/>
    <w:rsid w:val="008F7DB9"/>
  </w:style>
  <w:style w:type="table" w:customStyle="1" w:styleId="Table3Deffects3321">
    <w:name w:val="Table 3D effects 33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1">
    <w:name w:val="Нет списка11321"/>
    <w:next w:val="NoList"/>
    <w:semiHidden/>
    <w:unhideWhenUsed/>
    <w:rsid w:val="008F7DB9"/>
  </w:style>
  <w:style w:type="numbering" w:customStyle="1" w:styleId="NoList5221">
    <w:name w:val="No List5221"/>
    <w:next w:val="NoList"/>
    <w:uiPriority w:val="99"/>
    <w:semiHidden/>
    <w:unhideWhenUsed/>
    <w:rsid w:val="008F7DB9"/>
  </w:style>
  <w:style w:type="numbering" w:customStyle="1" w:styleId="NoList12221">
    <w:name w:val="No List12221"/>
    <w:next w:val="NoList"/>
    <w:semiHidden/>
    <w:rsid w:val="008F7DB9"/>
  </w:style>
  <w:style w:type="numbering" w:customStyle="1" w:styleId="NoList112221">
    <w:name w:val="No List112221"/>
    <w:next w:val="NoList"/>
    <w:semiHidden/>
    <w:rsid w:val="008F7DB9"/>
  </w:style>
  <w:style w:type="numbering" w:customStyle="1" w:styleId="NoList1111221">
    <w:name w:val="No List1111221"/>
    <w:next w:val="NoList"/>
    <w:semiHidden/>
    <w:rsid w:val="008F7DB9"/>
  </w:style>
  <w:style w:type="numbering" w:customStyle="1" w:styleId="NoList21221">
    <w:name w:val="No List21221"/>
    <w:next w:val="NoList"/>
    <w:semiHidden/>
    <w:rsid w:val="008F7DB9"/>
  </w:style>
  <w:style w:type="table" w:customStyle="1" w:styleId="TableGrid2221">
    <w:name w:val="Table Grid22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1">
    <w:name w:val="No List31221"/>
    <w:next w:val="NoList"/>
    <w:uiPriority w:val="99"/>
    <w:semiHidden/>
    <w:unhideWhenUsed/>
    <w:rsid w:val="008F7DB9"/>
  </w:style>
  <w:style w:type="table" w:customStyle="1" w:styleId="LightShading-Accent1131">
    <w:name w:val="Light Shading - Accent 113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1">
    <w:name w:val="Medium Grid 2 - Accent 113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1">
    <w:name w:val="Medium List 2 - Accent 513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1">
    <w:name w:val="Light List - Accent 15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1">
    <w:name w:val="Medium Grid 3 - Accent 513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1">
    <w:name w:val="Light Shading - Accent 513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1">
    <w:name w:val="Medium Grid 2 - Accent 513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1">
    <w:name w:val="Light Grid - Accent 113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1">
    <w:name w:val="Table List 44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1">
    <w:name w:val="Table List 413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1">
    <w:name w:val="Table Theme2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1">
    <w:name w:val="Table Professional2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1">
    <w:name w:val="Table Grid 62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1">
    <w:name w:val="Table List 422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1">
    <w:name w:val="Table List 4112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1">
    <w:name w:val="Style116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1">
    <w:name w:val="Style217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1">
    <w:name w:val="Style2116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1">
    <w:name w:val="No List1621"/>
    <w:next w:val="NoList"/>
    <w:uiPriority w:val="99"/>
    <w:semiHidden/>
    <w:unhideWhenUsed/>
    <w:rsid w:val="008F7DB9"/>
  </w:style>
  <w:style w:type="table" w:customStyle="1" w:styleId="TableGrid6210">
    <w:name w:val="Table Grid62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1">
    <w:name w:val="No List1721"/>
    <w:next w:val="NoList"/>
    <w:uiPriority w:val="99"/>
    <w:semiHidden/>
    <w:unhideWhenUsed/>
    <w:rsid w:val="008F7DB9"/>
  </w:style>
  <w:style w:type="numbering" w:customStyle="1" w:styleId="NoList11621">
    <w:name w:val="No List11621"/>
    <w:next w:val="NoList"/>
    <w:semiHidden/>
    <w:rsid w:val="008F7DB9"/>
  </w:style>
  <w:style w:type="table" w:customStyle="1" w:styleId="TableGrid13210">
    <w:name w:val="Table Grid132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1">
    <w:name w:val="Light List - Accent 16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1">
    <w:name w:val="Light Shading - Accent 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1">
    <w:name w:val="Medium Grid 2 - Accent 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1">
    <w:name w:val="Medium List 2 - Accent 5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1">
    <w:name w:val="Light List - Accent 17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1">
    <w:name w:val="Medium Grid 3 - Accent 5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1">
    <w:name w:val="Light Shading - Accent 5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1">
    <w:name w:val="Medium Grid 2 - Accent 5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1">
    <w:name w:val="Light Grid - Accent 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2">
    <w:name w:val="No List1812"/>
    <w:next w:val="NoList"/>
    <w:uiPriority w:val="99"/>
    <w:semiHidden/>
    <w:unhideWhenUsed/>
    <w:rsid w:val="008F7DB9"/>
  </w:style>
  <w:style w:type="table" w:customStyle="1" w:styleId="TableGrid7130">
    <w:name w:val="Table Grid7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1">
    <w:name w:val="Table List 74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1">
    <w:name w:val="Table Web 34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1">
    <w:name w:val="Table Elegant4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1">
    <w:name w:val="Table Web 24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1">
    <w:name w:val="Table Web 14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1">
    <w:name w:val="Table Grid 84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1">
    <w:name w:val="Table Contemporary4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1">
    <w:name w:val="No List1911"/>
    <w:next w:val="NoList"/>
    <w:semiHidden/>
    <w:unhideWhenUsed/>
    <w:rsid w:val="008F7DB9"/>
  </w:style>
  <w:style w:type="numbering" w:customStyle="1" w:styleId="NoList2511">
    <w:name w:val="No List2511"/>
    <w:next w:val="NoList"/>
    <w:semiHidden/>
    <w:unhideWhenUsed/>
    <w:rsid w:val="008F7DB9"/>
  </w:style>
  <w:style w:type="numbering" w:customStyle="1" w:styleId="NoList3511">
    <w:name w:val="No List3511"/>
    <w:next w:val="NoList"/>
    <w:semiHidden/>
    <w:unhideWhenUsed/>
    <w:rsid w:val="008F7DB9"/>
  </w:style>
  <w:style w:type="table" w:customStyle="1" w:styleId="LightList-Accent1811">
    <w:name w:val="Light List - Accent 18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1">
    <w:name w:val="Table Grid 74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1">
    <w:name w:val="Colorful Grid - Accent 15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1">
    <w:name w:val="Light List - Accent 55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1">
    <w:name w:val="Table Simple 34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1">
    <w:name w:val="Table Grid 54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1">
    <w:name w:val="Table Grid 34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10">
    <w:name w:val="Table Grid 14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1">
    <w:name w:val="Table Columns 54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1">
    <w:name w:val="Light List - Accent 114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2">
    <w:name w:val="Нет списка1512"/>
    <w:next w:val="NoList"/>
    <w:semiHidden/>
    <w:unhideWhenUsed/>
    <w:rsid w:val="008F7DB9"/>
  </w:style>
  <w:style w:type="table" w:customStyle="1" w:styleId="ColorfulGrid-Accent11411">
    <w:name w:val="Colorful Grid - Accent 114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1">
    <w:name w:val="Light List - Accent 514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2">
    <w:name w:val="No List4412"/>
    <w:next w:val="NoList"/>
    <w:semiHidden/>
    <w:rsid w:val="008F7DB9"/>
  </w:style>
  <w:style w:type="numbering" w:customStyle="1" w:styleId="NoList11711">
    <w:name w:val="No List11711"/>
    <w:next w:val="NoList"/>
    <w:semiHidden/>
    <w:unhideWhenUsed/>
    <w:rsid w:val="008F7DB9"/>
  </w:style>
  <w:style w:type="table" w:customStyle="1" w:styleId="Table3Deffects3411">
    <w:name w:val="Table 3D effects 34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2">
    <w:name w:val="Нет списка11412"/>
    <w:next w:val="NoList"/>
    <w:semiHidden/>
    <w:unhideWhenUsed/>
    <w:rsid w:val="008F7DB9"/>
  </w:style>
  <w:style w:type="table" w:customStyle="1" w:styleId="Style11111">
    <w:name w:val="Style11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1">
    <w:name w:val="Style2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1">
    <w:name w:val="Style2111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1">
    <w:name w:val="Style112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1">
    <w:name w:val="Style2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1">
    <w:name w:val="Style21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1">
    <w:name w:val="No List2011"/>
    <w:next w:val="NoList"/>
    <w:uiPriority w:val="99"/>
    <w:semiHidden/>
    <w:unhideWhenUsed/>
    <w:rsid w:val="008F7DB9"/>
  </w:style>
  <w:style w:type="numbering" w:customStyle="1" w:styleId="NoList11011">
    <w:name w:val="No List11011"/>
    <w:next w:val="NoList"/>
    <w:uiPriority w:val="99"/>
    <w:semiHidden/>
    <w:unhideWhenUsed/>
    <w:rsid w:val="008F7DB9"/>
  </w:style>
  <w:style w:type="table" w:customStyle="1" w:styleId="TableGrid8130">
    <w:name w:val="Table Grid8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1">
    <w:name w:val="No List11811"/>
    <w:next w:val="NoList"/>
    <w:semiHidden/>
    <w:unhideWhenUsed/>
    <w:rsid w:val="008F7DB9"/>
  </w:style>
  <w:style w:type="numbering" w:customStyle="1" w:styleId="NoList111411">
    <w:name w:val="No List111411"/>
    <w:next w:val="NoList"/>
    <w:semiHidden/>
    <w:rsid w:val="008F7DB9"/>
  </w:style>
  <w:style w:type="table" w:customStyle="1" w:styleId="TableGrid1413">
    <w:name w:val="Table Grid14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2">
    <w:name w:val="No List1111312"/>
    <w:next w:val="NoList"/>
    <w:semiHidden/>
    <w:rsid w:val="008F7DB9"/>
  </w:style>
  <w:style w:type="numbering" w:customStyle="1" w:styleId="NoList2611">
    <w:name w:val="No List2611"/>
    <w:next w:val="NoList"/>
    <w:semiHidden/>
    <w:rsid w:val="008F7DB9"/>
  </w:style>
  <w:style w:type="numbering" w:customStyle="1" w:styleId="NoList3611">
    <w:name w:val="No List3611"/>
    <w:next w:val="NoList"/>
    <w:semiHidden/>
    <w:unhideWhenUsed/>
    <w:rsid w:val="008F7DB9"/>
  </w:style>
  <w:style w:type="table" w:customStyle="1" w:styleId="TableList7511">
    <w:name w:val="Table List 75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1">
    <w:name w:val="Table Web 35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1">
    <w:name w:val="Table Elegant5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1">
    <w:name w:val="Table Web 25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1">
    <w:name w:val="Table Web 15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1">
    <w:name w:val="Table Grid 85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1">
    <w:name w:val="Table Contemporary5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1">
    <w:name w:val="Light List - Accent 19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1">
    <w:name w:val="Table Grid 75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1">
    <w:name w:val="Colorful Grid - Accent 16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1">
    <w:name w:val="Light List - Accent 56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1">
    <w:name w:val="Table Simple 35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1">
    <w:name w:val="Table Grid 55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1">
    <w:name w:val="Table Grid 35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1">
    <w:name w:val="Table Grid 15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1">
    <w:name w:val="Table Columns 55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1">
    <w:name w:val="Light List - Accent 115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1">
    <w:name w:val="Нет списка1611"/>
    <w:next w:val="NoList"/>
    <w:semiHidden/>
    <w:unhideWhenUsed/>
    <w:rsid w:val="008F7DB9"/>
  </w:style>
  <w:style w:type="table" w:customStyle="1" w:styleId="ColorfulGrid-Accent11511">
    <w:name w:val="Colorful Grid - Accent 115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1">
    <w:name w:val="Light List - Accent 515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1">
    <w:name w:val="No List4511"/>
    <w:next w:val="NoList"/>
    <w:semiHidden/>
    <w:rsid w:val="008F7DB9"/>
  </w:style>
  <w:style w:type="table" w:customStyle="1" w:styleId="Table3Deffects3511">
    <w:name w:val="Table 3D effects 35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1">
    <w:name w:val="Нет списка11511"/>
    <w:next w:val="NoList"/>
    <w:semiHidden/>
    <w:unhideWhenUsed/>
    <w:rsid w:val="008F7DB9"/>
  </w:style>
  <w:style w:type="numbering" w:customStyle="1" w:styleId="NoList5312">
    <w:name w:val="No List5312"/>
    <w:next w:val="NoList"/>
    <w:uiPriority w:val="99"/>
    <w:semiHidden/>
    <w:unhideWhenUsed/>
    <w:rsid w:val="008F7DB9"/>
  </w:style>
  <w:style w:type="numbering" w:customStyle="1" w:styleId="NoList12312">
    <w:name w:val="No List12312"/>
    <w:next w:val="NoList"/>
    <w:semiHidden/>
    <w:rsid w:val="008F7DB9"/>
  </w:style>
  <w:style w:type="numbering" w:customStyle="1" w:styleId="NoList112311">
    <w:name w:val="No List112311"/>
    <w:next w:val="NoList"/>
    <w:semiHidden/>
    <w:rsid w:val="008F7DB9"/>
  </w:style>
  <w:style w:type="numbering" w:customStyle="1" w:styleId="NoList1111111112">
    <w:name w:val="No List1111111112"/>
    <w:next w:val="NoList"/>
    <w:semiHidden/>
    <w:rsid w:val="008F7DB9"/>
  </w:style>
  <w:style w:type="numbering" w:customStyle="1" w:styleId="NoList21312">
    <w:name w:val="No List21312"/>
    <w:next w:val="NoList"/>
    <w:semiHidden/>
    <w:rsid w:val="008F7DB9"/>
  </w:style>
  <w:style w:type="table" w:customStyle="1" w:styleId="TableGrid2311">
    <w:name w:val="Table Grid23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2">
    <w:name w:val="No List31312"/>
    <w:next w:val="NoList"/>
    <w:uiPriority w:val="99"/>
    <w:semiHidden/>
    <w:unhideWhenUsed/>
    <w:rsid w:val="008F7DB9"/>
  </w:style>
  <w:style w:type="numbering" w:customStyle="1" w:styleId="NoList6113">
    <w:name w:val="No List6113"/>
    <w:next w:val="NoList"/>
    <w:uiPriority w:val="99"/>
    <w:semiHidden/>
    <w:unhideWhenUsed/>
    <w:rsid w:val="008F7DB9"/>
  </w:style>
  <w:style w:type="numbering" w:customStyle="1" w:styleId="NoList7113">
    <w:name w:val="No List7113"/>
    <w:next w:val="NoList"/>
    <w:uiPriority w:val="99"/>
    <w:semiHidden/>
    <w:unhideWhenUsed/>
    <w:rsid w:val="008F7DB9"/>
  </w:style>
  <w:style w:type="table" w:customStyle="1" w:styleId="TableGrid31130">
    <w:name w:val="Table Grid311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3">
    <w:name w:val="No List13113"/>
    <w:next w:val="NoList"/>
    <w:semiHidden/>
    <w:unhideWhenUsed/>
    <w:rsid w:val="008F7DB9"/>
  </w:style>
  <w:style w:type="numbering" w:customStyle="1" w:styleId="NoList113112">
    <w:name w:val="No List113112"/>
    <w:next w:val="NoList"/>
    <w:semiHidden/>
    <w:rsid w:val="008F7DB9"/>
  </w:style>
  <w:style w:type="table" w:customStyle="1" w:styleId="TableGrid11113">
    <w:name w:val="Table Grid111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2">
    <w:name w:val="No List1112112"/>
    <w:next w:val="NoList"/>
    <w:semiHidden/>
    <w:rsid w:val="008F7DB9"/>
  </w:style>
  <w:style w:type="numbering" w:customStyle="1" w:styleId="NoList22112">
    <w:name w:val="No List22112"/>
    <w:next w:val="NoList"/>
    <w:semiHidden/>
    <w:rsid w:val="008F7DB9"/>
  </w:style>
  <w:style w:type="numbering" w:customStyle="1" w:styleId="NoList32112">
    <w:name w:val="No List32112"/>
    <w:next w:val="NoList"/>
    <w:semiHidden/>
    <w:unhideWhenUsed/>
    <w:rsid w:val="008F7DB9"/>
  </w:style>
  <w:style w:type="table" w:customStyle="1" w:styleId="TableList71111">
    <w:name w:val="Table List 71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1">
    <w:name w:val="Table Web 31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1">
    <w:name w:val="Table Elegant1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3">
    <w:name w:val="Table Web 2111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3">
    <w:name w:val="Table Web 1111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3">
    <w:name w:val="Table Grid 8111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3">
    <w:name w:val="Table Contemporary111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1">
    <w:name w:val="Light List - Accent 12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1">
    <w:name w:val="Table Grid 71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3">
    <w:name w:val="Colorful Grid - Accent 1211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3">
    <w:name w:val="Light List - Accent 5211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1">
    <w:name w:val="Table Simple 31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1">
    <w:name w:val="Table Grid 51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10">
    <w:name w:val="Table Grid 31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10">
    <w:name w:val="Table Grid 11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1">
    <w:name w:val="Table Columns 51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1">
    <w:name w:val="Light List - Accent 111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3">
    <w:name w:val="Нет списка12113"/>
    <w:next w:val="NoList"/>
    <w:uiPriority w:val="99"/>
    <w:semiHidden/>
    <w:unhideWhenUsed/>
    <w:rsid w:val="008F7DB9"/>
  </w:style>
  <w:style w:type="table" w:customStyle="1" w:styleId="ColorfulGrid-Accent111111">
    <w:name w:val="Colorful Grid - Accent 111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1">
    <w:name w:val="Light List - Accent 511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3">
    <w:name w:val="No List41113"/>
    <w:next w:val="NoList"/>
    <w:semiHidden/>
    <w:rsid w:val="008F7DB9"/>
  </w:style>
  <w:style w:type="table" w:customStyle="1" w:styleId="Table3Deffects31111">
    <w:name w:val="Table 3D effects 31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4">
    <w:name w:val="Нет списка111114"/>
    <w:next w:val="NoList"/>
    <w:semiHidden/>
    <w:unhideWhenUsed/>
    <w:rsid w:val="008F7DB9"/>
  </w:style>
  <w:style w:type="numbering" w:customStyle="1" w:styleId="NoList51112">
    <w:name w:val="No List51112"/>
    <w:next w:val="NoList"/>
    <w:uiPriority w:val="99"/>
    <w:semiHidden/>
    <w:unhideWhenUsed/>
    <w:rsid w:val="008F7DB9"/>
  </w:style>
  <w:style w:type="numbering" w:customStyle="1" w:styleId="NoList121112">
    <w:name w:val="No List121112"/>
    <w:next w:val="NoList"/>
    <w:semiHidden/>
    <w:rsid w:val="008F7DB9"/>
  </w:style>
  <w:style w:type="numbering" w:customStyle="1" w:styleId="NoList1121112">
    <w:name w:val="No List1121112"/>
    <w:next w:val="NoList"/>
    <w:semiHidden/>
    <w:rsid w:val="008F7DB9"/>
  </w:style>
  <w:style w:type="numbering" w:customStyle="1" w:styleId="NoList11111111112">
    <w:name w:val="No List11111111112"/>
    <w:next w:val="NoList"/>
    <w:semiHidden/>
    <w:rsid w:val="008F7DB9"/>
  </w:style>
  <w:style w:type="numbering" w:customStyle="1" w:styleId="NoList211112">
    <w:name w:val="No List211112"/>
    <w:next w:val="NoList"/>
    <w:semiHidden/>
    <w:rsid w:val="008F7DB9"/>
  </w:style>
  <w:style w:type="table" w:customStyle="1" w:styleId="TableGrid21111">
    <w:name w:val="Table Grid21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2">
    <w:name w:val="No List311112"/>
    <w:next w:val="NoList"/>
    <w:uiPriority w:val="99"/>
    <w:semiHidden/>
    <w:unhideWhenUsed/>
    <w:rsid w:val="008F7DB9"/>
  </w:style>
  <w:style w:type="numbering" w:customStyle="1" w:styleId="NoList8113">
    <w:name w:val="No List8113"/>
    <w:next w:val="NoList"/>
    <w:uiPriority w:val="99"/>
    <w:semiHidden/>
    <w:unhideWhenUsed/>
    <w:rsid w:val="008F7DB9"/>
  </w:style>
  <w:style w:type="numbering" w:customStyle="1" w:styleId="NoList9112">
    <w:name w:val="No List9112"/>
    <w:next w:val="NoList"/>
    <w:uiPriority w:val="99"/>
    <w:semiHidden/>
    <w:unhideWhenUsed/>
    <w:rsid w:val="008F7DB9"/>
  </w:style>
  <w:style w:type="table" w:customStyle="1" w:styleId="TableGrid4114">
    <w:name w:val="Table Grid41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1">
    <w:name w:val="Table List 72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1">
    <w:name w:val="Table Web 32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1">
    <w:name w:val="Table Elegant2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1">
    <w:name w:val="Table Web 22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1">
    <w:name w:val="Table Web 12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1">
    <w:name w:val="Table Grid 82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1">
    <w:name w:val="Table Contemporary2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2">
    <w:name w:val="No List14112"/>
    <w:next w:val="NoList"/>
    <w:semiHidden/>
    <w:unhideWhenUsed/>
    <w:rsid w:val="008F7DB9"/>
  </w:style>
  <w:style w:type="numbering" w:customStyle="1" w:styleId="NoList23112">
    <w:name w:val="No List23112"/>
    <w:next w:val="NoList"/>
    <w:semiHidden/>
    <w:unhideWhenUsed/>
    <w:rsid w:val="008F7DB9"/>
  </w:style>
  <w:style w:type="numbering" w:customStyle="1" w:styleId="NoList33112">
    <w:name w:val="No List33112"/>
    <w:next w:val="NoList"/>
    <w:semiHidden/>
    <w:unhideWhenUsed/>
    <w:rsid w:val="008F7DB9"/>
  </w:style>
  <w:style w:type="table" w:customStyle="1" w:styleId="LightList-Accent13111">
    <w:name w:val="Light List - Accent 13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1">
    <w:name w:val="Table Grid 72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1">
    <w:name w:val="Colorful Grid - Accent 13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1">
    <w:name w:val="Light List - Accent 53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1">
    <w:name w:val="Table Simple 32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1">
    <w:name w:val="Table Grid 52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1">
    <w:name w:val="Table Grid 32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1">
    <w:name w:val="Table Grid 12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1">
    <w:name w:val="Table Columns 52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1">
    <w:name w:val="Light List - Accent 112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2">
    <w:name w:val="Нет списка13112"/>
    <w:next w:val="NoList"/>
    <w:semiHidden/>
    <w:unhideWhenUsed/>
    <w:rsid w:val="008F7DB9"/>
  </w:style>
  <w:style w:type="table" w:customStyle="1" w:styleId="ColorfulGrid-Accent112111">
    <w:name w:val="Colorful Grid - Accent 112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1">
    <w:name w:val="Light List - Accent 512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2">
    <w:name w:val="No List42112"/>
    <w:next w:val="NoList"/>
    <w:semiHidden/>
    <w:rsid w:val="008F7DB9"/>
  </w:style>
  <w:style w:type="numbering" w:customStyle="1" w:styleId="NoList114112">
    <w:name w:val="No List114112"/>
    <w:next w:val="NoList"/>
    <w:semiHidden/>
    <w:unhideWhenUsed/>
    <w:rsid w:val="008F7DB9"/>
  </w:style>
  <w:style w:type="table" w:customStyle="1" w:styleId="Table3Deffects32111">
    <w:name w:val="Table 3D effects 32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NoList"/>
    <w:semiHidden/>
    <w:unhideWhenUsed/>
    <w:rsid w:val="008F7DB9"/>
  </w:style>
  <w:style w:type="numbering" w:customStyle="1" w:styleId="NoList10112">
    <w:name w:val="No List10112"/>
    <w:next w:val="NoList"/>
    <w:uiPriority w:val="99"/>
    <w:semiHidden/>
    <w:unhideWhenUsed/>
    <w:rsid w:val="008F7DB9"/>
  </w:style>
  <w:style w:type="table" w:customStyle="1" w:styleId="TableGrid51110">
    <w:name w:val="Table Grid511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2">
    <w:name w:val="No List15112"/>
    <w:next w:val="NoList"/>
    <w:semiHidden/>
    <w:unhideWhenUsed/>
    <w:rsid w:val="008F7DB9"/>
  </w:style>
  <w:style w:type="numbering" w:customStyle="1" w:styleId="NoList115111">
    <w:name w:val="No List115111"/>
    <w:next w:val="NoList"/>
    <w:semiHidden/>
    <w:rsid w:val="008F7DB9"/>
  </w:style>
  <w:style w:type="table" w:customStyle="1" w:styleId="TableGrid121110">
    <w:name w:val="Table Grid1211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2">
    <w:name w:val="No List1113112"/>
    <w:next w:val="NoList"/>
    <w:semiHidden/>
    <w:rsid w:val="008F7DB9"/>
  </w:style>
  <w:style w:type="numbering" w:customStyle="1" w:styleId="NoList24112">
    <w:name w:val="No List24112"/>
    <w:next w:val="NoList"/>
    <w:semiHidden/>
    <w:rsid w:val="008F7DB9"/>
  </w:style>
  <w:style w:type="numbering" w:customStyle="1" w:styleId="NoList34112">
    <w:name w:val="No List34112"/>
    <w:next w:val="NoList"/>
    <w:semiHidden/>
    <w:unhideWhenUsed/>
    <w:rsid w:val="008F7DB9"/>
  </w:style>
  <w:style w:type="table" w:customStyle="1" w:styleId="TableList73111">
    <w:name w:val="Table List 73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1">
    <w:name w:val="Table Web 33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1">
    <w:name w:val="Table Elegant3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1">
    <w:name w:val="Table Web 23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1">
    <w:name w:val="Table Web 13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1">
    <w:name w:val="Table Grid 83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1">
    <w:name w:val="Table Contemporary3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1">
    <w:name w:val="Light List - Accent 14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1">
    <w:name w:val="Table Grid 73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1">
    <w:name w:val="Colorful Grid - Accent 14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1">
    <w:name w:val="Light List - Accent 54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1">
    <w:name w:val="Table Simple 33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1">
    <w:name w:val="Table Grid 53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1">
    <w:name w:val="Table Grid 33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1">
    <w:name w:val="Table Grid 13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1">
    <w:name w:val="Table Columns 53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1">
    <w:name w:val="Light List - Accent 113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2">
    <w:name w:val="Нет списка14112"/>
    <w:next w:val="NoList"/>
    <w:semiHidden/>
    <w:unhideWhenUsed/>
    <w:rsid w:val="008F7DB9"/>
  </w:style>
  <w:style w:type="table" w:customStyle="1" w:styleId="ColorfulGrid-Accent113111">
    <w:name w:val="Colorful Grid - Accent 113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1">
    <w:name w:val="Light List - Accent 513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2">
    <w:name w:val="No List43112"/>
    <w:next w:val="NoList"/>
    <w:semiHidden/>
    <w:rsid w:val="008F7DB9"/>
  </w:style>
  <w:style w:type="table" w:customStyle="1" w:styleId="Table3Deffects33111">
    <w:name w:val="Table 3D effects 33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NoList"/>
    <w:semiHidden/>
    <w:unhideWhenUsed/>
    <w:rsid w:val="008F7DB9"/>
  </w:style>
  <w:style w:type="numbering" w:customStyle="1" w:styleId="NoList52112">
    <w:name w:val="No List52112"/>
    <w:next w:val="NoList"/>
    <w:uiPriority w:val="99"/>
    <w:semiHidden/>
    <w:unhideWhenUsed/>
    <w:rsid w:val="008F7DB9"/>
  </w:style>
  <w:style w:type="numbering" w:customStyle="1" w:styleId="NoList122112">
    <w:name w:val="No List122112"/>
    <w:next w:val="NoList"/>
    <w:semiHidden/>
    <w:rsid w:val="008F7DB9"/>
  </w:style>
  <w:style w:type="numbering" w:customStyle="1" w:styleId="NoList1122112">
    <w:name w:val="No List1122112"/>
    <w:next w:val="NoList"/>
    <w:semiHidden/>
    <w:rsid w:val="008F7DB9"/>
  </w:style>
  <w:style w:type="numbering" w:customStyle="1" w:styleId="NoList11112112">
    <w:name w:val="No List11112112"/>
    <w:next w:val="NoList"/>
    <w:semiHidden/>
    <w:rsid w:val="008F7DB9"/>
  </w:style>
  <w:style w:type="numbering" w:customStyle="1" w:styleId="NoList212112">
    <w:name w:val="No List212112"/>
    <w:next w:val="NoList"/>
    <w:semiHidden/>
    <w:rsid w:val="008F7DB9"/>
  </w:style>
  <w:style w:type="table" w:customStyle="1" w:styleId="TableGrid22111">
    <w:name w:val="Table Grid22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2">
    <w:name w:val="No List312112"/>
    <w:next w:val="NoList"/>
    <w:uiPriority w:val="99"/>
    <w:semiHidden/>
    <w:unhideWhenUsed/>
    <w:rsid w:val="008F7DB9"/>
  </w:style>
  <w:style w:type="table" w:customStyle="1" w:styleId="LightShading-Accent11111">
    <w:name w:val="Light Shading - Accent 111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1">
    <w:name w:val="Medium Grid 2 - Accent 111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1">
    <w:name w:val="Medium List 2 - Accent 511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1">
    <w:name w:val="Light List - Accent 15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1">
    <w:name w:val="Medium Grid 3 - Accent 511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1">
    <w:name w:val="Light Shading - Accent 511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1">
    <w:name w:val="Medium Grid 2 - Accent 511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1">
    <w:name w:val="Light Grid - Accent 111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1">
    <w:name w:val="Table List 43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1">
    <w:name w:val="Table List 412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1">
    <w:name w:val="Table Theme11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1">
    <w:name w:val="Table Professional11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1">
    <w:name w:val="Table Grid 611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1">
    <w:name w:val="Table List 421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1">
    <w:name w:val="Table List 4111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1">
    <w:name w:val="Style113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1">
    <w:name w:val="Style2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1">
    <w:name w:val="Style21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2">
    <w:name w:val="No List16112"/>
    <w:next w:val="NoList"/>
    <w:uiPriority w:val="99"/>
    <w:semiHidden/>
    <w:unhideWhenUsed/>
    <w:rsid w:val="008F7DB9"/>
  </w:style>
  <w:style w:type="table" w:customStyle="1" w:styleId="TableGrid61110">
    <w:name w:val="Table Grid61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2">
    <w:name w:val="No List17112"/>
    <w:next w:val="NoList"/>
    <w:uiPriority w:val="99"/>
    <w:semiHidden/>
    <w:unhideWhenUsed/>
    <w:rsid w:val="008F7DB9"/>
  </w:style>
  <w:style w:type="numbering" w:customStyle="1" w:styleId="NoList116111">
    <w:name w:val="No List116111"/>
    <w:next w:val="NoList"/>
    <w:semiHidden/>
    <w:rsid w:val="008F7DB9"/>
  </w:style>
  <w:style w:type="table" w:customStyle="1" w:styleId="TableGrid131110">
    <w:name w:val="Table Grid131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1">
    <w:name w:val="Light List - Accent 16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
    <w:name w:val="Light Shading - Accent 131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1">
    <w:name w:val="Medium Grid 2 - Accent 131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1">
    <w:name w:val="Medium List 2 - Accent 531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1">
    <w:name w:val="Medium Grid 3 - Accent 531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1">
    <w:name w:val="Light Shading - Accent 531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1">
    <w:name w:val="Medium Grid 2 - Accent 531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1">
    <w:name w:val="Light Grid - Accent 131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1">
    <w:name w:val="Light Shading - Accent 14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1">
    <w:name w:val="Medium Grid 2 - Accent 14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1">
    <w:name w:val="Medium List 2 - Accent 54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1">
    <w:name w:val="Light List - Accent 11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1">
    <w:name w:val="Medium Grid 3 - Accent 54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1">
    <w:name w:val="Light Shading - Accent 54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1">
    <w:name w:val="Medium Grid 2 - Accent 54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1">
    <w:name w:val="Light Grid - Accent 14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1">
    <w:name w:val="Light Shading - Accent 15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1">
    <w:name w:val="Medium Grid 2 - Accent 15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1">
    <w:name w:val="Medium List 2 - Accent 55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1">
    <w:name w:val="Light List - Accent 116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1">
    <w:name w:val="Medium Grid 3 - Accent 55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1">
    <w:name w:val="Light Shading - Accent 55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1">
    <w:name w:val="Medium Grid 2 - Accent 55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1">
    <w:name w:val="Light Grid - Accent 15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1">
    <w:name w:val="No List2711"/>
    <w:next w:val="NoList"/>
    <w:uiPriority w:val="99"/>
    <w:semiHidden/>
    <w:unhideWhenUsed/>
    <w:rsid w:val="008F7DB9"/>
  </w:style>
  <w:style w:type="table" w:customStyle="1" w:styleId="TableGrid913">
    <w:name w:val="Table Grid9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1">
    <w:name w:val="Table List 76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1">
    <w:name w:val="Table Web 36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1">
    <w:name w:val="Table Elegant6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1">
    <w:name w:val="Table Web 26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1">
    <w:name w:val="Table Web 16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1">
    <w:name w:val="Table Grid 86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1">
    <w:name w:val="Table Contemporary6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1">
    <w:name w:val="No List11911"/>
    <w:next w:val="NoList"/>
    <w:semiHidden/>
    <w:unhideWhenUsed/>
    <w:rsid w:val="008F7DB9"/>
  </w:style>
  <w:style w:type="numbering" w:customStyle="1" w:styleId="NoList2811">
    <w:name w:val="No List2811"/>
    <w:next w:val="NoList"/>
    <w:semiHidden/>
    <w:unhideWhenUsed/>
    <w:rsid w:val="008F7DB9"/>
  </w:style>
  <w:style w:type="numbering" w:customStyle="1" w:styleId="NoList3711">
    <w:name w:val="No List3711"/>
    <w:next w:val="NoList"/>
    <w:semiHidden/>
    <w:unhideWhenUsed/>
    <w:rsid w:val="008F7DB9"/>
  </w:style>
  <w:style w:type="table" w:customStyle="1" w:styleId="LightList-Accent11711">
    <w:name w:val="Light List - Accent 117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1">
    <w:name w:val="Table Grid 76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1">
    <w:name w:val="Colorful Grid - Accent 17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1">
    <w:name w:val="Light List - Accent 57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1">
    <w:name w:val="Table Simple 36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1">
    <w:name w:val="Table Grid 56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1">
    <w:name w:val="Table Grid 36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1">
    <w:name w:val="Table Grid 16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1">
    <w:name w:val="Table Columns 56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1">
    <w:name w:val="Light List - Accent 118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1">
    <w:name w:val="Нет списка1711"/>
    <w:next w:val="NoList"/>
    <w:semiHidden/>
    <w:unhideWhenUsed/>
    <w:rsid w:val="008F7DB9"/>
  </w:style>
  <w:style w:type="table" w:customStyle="1" w:styleId="ColorfulGrid-Accent11611">
    <w:name w:val="Colorful Grid - Accent 116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1">
    <w:name w:val="Light List - Accent 516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1">
    <w:name w:val="No List4611"/>
    <w:next w:val="NoList"/>
    <w:semiHidden/>
    <w:rsid w:val="008F7DB9"/>
  </w:style>
  <w:style w:type="numbering" w:customStyle="1" w:styleId="NoList111011">
    <w:name w:val="No List111011"/>
    <w:next w:val="NoList"/>
    <w:semiHidden/>
    <w:unhideWhenUsed/>
    <w:rsid w:val="008F7DB9"/>
  </w:style>
  <w:style w:type="table" w:customStyle="1" w:styleId="Table3Deffects3611">
    <w:name w:val="Table 3D effects 36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
    <w:name w:val="Нет списка11611"/>
    <w:next w:val="NoList"/>
    <w:semiHidden/>
    <w:unhideWhenUsed/>
    <w:rsid w:val="008F7DB9"/>
  </w:style>
  <w:style w:type="table" w:customStyle="1" w:styleId="LightShading-Accent1611">
    <w:name w:val="Light Shading - Accent 16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1">
    <w:name w:val="Medium Grid 2 - Accent 16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1">
    <w:name w:val="Medium List 2 - Accent 56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1">
    <w:name w:val="Light List - Accent 15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1">
    <w:name w:val="Medium Grid 3 - Accent 56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1">
    <w:name w:val="Light Shading - Accent 56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1">
    <w:name w:val="Medium Grid 2 - Accent 56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1">
    <w:name w:val="Light Grid - Accent 16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1">
    <w:name w:val="Style114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1">
    <w:name w:val="Style2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1">
    <w:name w:val="Style21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1">
    <w:name w:val="Light Shading - Accent 1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1">
    <w:name w:val="Medium Grid 2 - Accent 1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1">
    <w:name w:val="Medium List 2 - Accent 51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1">
    <w:name w:val="Light List - Accent 16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1">
    <w:name w:val="Medium Grid 3 - Accent 51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1">
    <w:name w:val="Light Shading - Accent 51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1">
    <w:name w:val="Medium Grid 2 - Accent 51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1">
    <w:name w:val="Light Grid - Accent 1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1">
    <w:name w:val="No List2911"/>
    <w:next w:val="NoList"/>
    <w:uiPriority w:val="99"/>
    <w:semiHidden/>
    <w:unhideWhenUsed/>
    <w:rsid w:val="008F7DB9"/>
  </w:style>
  <w:style w:type="table" w:customStyle="1" w:styleId="TableGrid1013">
    <w:name w:val="Table Grid10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1">
    <w:name w:val="No List12011"/>
    <w:next w:val="NoList"/>
    <w:uiPriority w:val="99"/>
    <w:semiHidden/>
    <w:unhideWhenUsed/>
    <w:rsid w:val="008F7DB9"/>
  </w:style>
  <w:style w:type="numbering" w:customStyle="1" w:styleId="NoList111511">
    <w:name w:val="No List111511"/>
    <w:next w:val="NoList"/>
    <w:semiHidden/>
    <w:rsid w:val="008F7DB9"/>
  </w:style>
  <w:style w:type="table" w:customStyle="1" w:styleId="TableGrid15110">
    <w:name w:val="Table Grid15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1">
    <w:name w:val="No List3011"/>
    <w:next w:val="NoList"/>
    <w:uiPriority w:val="99"/>
    <w:semiHidden/>
    <w:unhideWhenUsed/>
    <w:rsid w:val="008F7DB9"/>
  </w:style>
  <w:style w:type="table" w:customStyle="1" w:styleId="LightShading-Accent1711">
    <w:name w:val="Light Shading - Accent 17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1">
    <w:name w:val="Medium Grid 2 - Accent 17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1">
    <w:name w:val="Medium List 2 - Accent 57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1">
    <w:name w:val="Light List - Accent 119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1">
    <w:name w:val="Medium Grid 3 - Accent 57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1">
    <w:name w:val="Light Shading - Accent 57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1">
    <w:name w:val="Medium Grid 2 - Accent 57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1">
    <w:name w:val="Light Grid - Accent 17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1">
    <w:name w:val="No List3811"/>
    <w:next w:val="NoList"/>
    <w:uiPriority w:val="99"/>
    <w:semiHidden/>
    <w:unhideWhenUsed/>
    <w:rsid w:val="008F7DB9"/>
  </w:style>
  <w:style w:type="table" w:customStyle="1" w:styleId="TableGrid16110">
    <w:name w:val="Table Grid16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8F7DB9"/>
  </w:style>
  <w:style w:type="numbering" w:customStyle="1" w:styleId="NoList111611">
    <w:name w:val="No List111611"/>
    <w:next w:val="NoList"/>
    <w:semiHidden/>
    <w:rsid w:val="008F7DB9"/>
  </w:style>
  <w:style w:type="table" w:customStyle="1" w:styleId="TableGrid1711">
    <w:name w:val="Table Grid17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1">
    <w:name w:val="Light Shading - Accent 18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1">
    <w:name w:val="Medium Grid 2 - Accent 18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1">
    <w:name w:val="Medium List 2 - Accent 58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1">
    <w:name w:val="Light List - Accent 12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1">
    <w:name w:val="Medium Grid 3 - Accent 58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1">
    <w:name w:val="Light Shading - Accent 58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1">
    <w:name w:val="Medium Grid 2 - Accent 58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1">
    <w:name w:val="Light Grid - Accent 18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1">
    <w:name w:val="Light Shading - Accent 19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1">
    <w:name w:val="Medium Grid 2 - Accent 19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1">
    <w:name w:val="Medium List 2 - Accent 59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2">
    <w:name w:val="Light List - Accent 122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1">
    <w:name w:val="Medium Grid 3 - Accent 59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1">
    <w:name w:val="Light Shading - Accent 59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1">
    <w:name w:val="Medium Grid 2 - Accent 59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1">
    <w:name w:val="Light Grid - Accent 19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1">
    <w:name w:val="Style1152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1">
    <w:name w:val="Style21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1">
    <w:name w:val="No List3911"/>
    <w:next w:val="NoList"/>
    <w:uiPriority w:val="99"/>
    <w:semiHidden/>
    <w:unhideWhenUsed/>
    <w:rsid w:val="008F7DB9"/>
  </w:style>
  <w:style w:type="table" w:customStyle="1" w:styleId="TableGrid1811">
    <w:name w:val="Table Grid18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1">
    <w:name w:val="No List12511"/>
    <w:next w:val="NoList"/>
    <w:uiPriority w:val="99"/>
    <w:semiHidden/>
    <w:unhideWhenUsed/>
    <w:rsid w:val="008F7DB9"/>
  </w:style>
  <w:style w:type="numbering" w:customStyle="1" w:styleId="NoList111711">
    <w:name w:val="No List111711"/>
    <w:next w:val="NoList"/>
    <w:semiHidden/>
    <w:rsid w:val="008F7DB9"/>
  </w:style>
  <w:style w:type="table" w:customStyle="1" w:styleId="TableGrid1911">
    <w:name w:val="Table Grid19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1">
    <w:name w:val="Style115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1">
    <w:name w:val="Style216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1">
    <w:name w:val="No List4011"/>
    <w:next w:val="NoList"/>
    <w:uiPriority w:val="99"/>
    <w:semiHidden/>
    <w:unhideWhenUsed/>
    <w:rsid w:val="008F7DB9"/>
  </w:style>
  <w:style w:type="table" w:customStyle="1" w:styleId="TableGrid2011">
    <w:name w:val="Table Grid2011"/>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1">
    <w:name w:val="Light Shading - Accent 110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1">
    <w:name w:val="Light List - Accent 5811"/>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11">
    <w:name w:val="Medium List 2 - Accent 1111"/>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1">
    <w:name w:val="Medium Grid 2 - Accent 110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11">
    <w:name w:val="Medium Grid 3 - Accent 6111"/>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1">
    <w:name w:val="Medium List 2 - Accent 510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1">
    <w:name w:val="Light List - Accent 123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11">
    <w:name w:val="Medium List 1 - Accent 5111"/>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1">
    <w:name w:val="Medium Grid 3 - Accent 510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1">
    <w:name w:val="Light Shading - Accent 510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1">
    <w:name w:val="Medium Grid 2 - Accent 510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11">
    <w:name w:val="Light List - Accent 3111"/>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1">
    <w:name w:val="Medium List 2 - Accent 3111"/>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1">
    <w:name w:val="Medium List 2 - Accent 4111"/>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1">
    <w:name w:val="Light Grid - Accent 110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1">
    <w:name w:val="No List4711"/>
    <w:next w:val="NoList"/>
    <w:uiPriority w:val="99"/>
    <w:semiHidden/>
    <w:unhideWhenUsed/>
    <w:rsid w:val="008F7DB9"/>
  </w:style>
  <w:style w:type="table" w:customStyle="1" w:styleId="TableGrid2411">
    <w:name w:val="Table Grid24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1">
    <w:name w:val="No List12611"/>
    <w:next w:val="NoList"/>
    <w:uiPriority w:val="99"/>
    <w:semiHidden/>
    <w:unhideWhenUsed/>
    <w:rsid w:val="008F7DB9"/>
  </w:style>
  <w:style w:type="numbering" w:customStyle="1" w:styleId="NoList111811">
    <w:name w:val="No List111811"/>
    <w:next w:val="NoList"/>
    <w:semiHidden/>
    <w:rsid w:val="008F7DB9"/>
  </w:style>
  <w:style w:type="table" w:customStyle="1" w:styleId="TableGrid11011">
    <w:name w:val="Table Grid110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1">
    <w:name w:val="Medium Grid 2 - Accent 114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1">
    <w:name w:val="Medium List 2 - Accent 514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1">
    <w:name w:val="Medium Grid 3 - Accent 514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1">
    <w:name w:val="Light Shading - Accent 514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1">
    <w:name w:val="Medium Grid 2 - Accent 514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1">
    <w:name w:val="Light Grid - Accent 114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1">
    <w:name w:val="Medium List 2 - Accent 121"/>
    <w:basedOn w:val="TableNormal"/>
    <w:next w:val="MediumList2-Accent1"/>
    <w:uiPriority w:val="66"/>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1">
    <w:name w:val="Medium Grid 3 - Accent 621"/>
    <w:basedOn w:val="TableNormal"/>
    <w:next w:val="MediumGrid3-Accent6"/>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1">
    <w:name w:val="Medium List 1 - Accent 521"/>
    <w:basedOn w:val="TableNormal"/>
    <w:next w:val="MediumList1-Accent5"/>
    <w:uiPriority w:val="65"/>
    <w:semiHidden/>
    <w:unhideWhenUsed/>
    <w:rsid w:val="008F7DB9"/>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1">
    <w:name w:val="Light List - Accent 321"/>
    <w:basedOn w:val="TableNormal"/>
    <w:next w:val="LightList-Accent3"/>
    <w:uiPriority w:val="61"/>
    <w:semiHidden/>
    <w:unhideWhenUsed/>
    <w:rsid w:val="008F7DB9"/>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1">
    <w:name w:val="Medium List 2 - Accent 321"/>
    <w:basedOn w:val="TableNormal"/>
    <w:next w:val="MediumList2-Accent3"/>
    <w:uiPriority w:val="66"/>
    <w:semiHidden/>
    <w:unhideWhenUsed/>
    <w:rsid w:val="008F7DB9"/>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1">
    <w:name w:val="Medium List 2 - Accent 421"/>
    <w:basedOn w:val="TableNormal"/>
    <w:next w:val="MediumList2-Accent4"/>
    <w:uiPriority w:val="66"/>
    <w:semiHidden/>
    <w:unhideWhenUsed/>
    <w:rsid w:val="008F7DB9"/>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1">
    <w:name w:val="No List551"/>
    <w:next w:val="NoList"/>
    <w:uiPriority w:val="99"/>
    <w:semiHidden/>
    <w:unhideWhenUsed/>
    <w:rsid w:val="008F7DB9"/>
  </w:style>
  <w:style w:type="table" w:customStyle="1" w:styleId="TableGrid291">
    <w:name w:val="Table Grid29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1">
    <w:name w:val="Medium Grid 3 - Accent 111"/>
    <w:basedOn w:val="TableNormal"/>
    <w:next w:val="MediumGrid3-Accent1"/>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01">
    <w:name w:val="No List1301"/>
    <w:next w:val="NoList"/>
    <w:uiPriority w:val="99"/>
    <w:semiHidden/>
    <w:unhideWhenUsed/>
    <w:rsid w:val="008F7DB9"/>
  </w:style>
  <w:style w:type="table" w:customStyle="1" w:styleId="TableGrid1141">
    <w:name w:val="Table Grid1141"/>
    <w:basedOn w:val="TableNormal"/>
    <w:next w:val="TableGrid"/>
    <w:uiPriority w:val="39"/>
    <w:rsid w:val="008F7DB9"/>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32">
    <w:name w:val="Table List 7132"/>
    <w:basedOn w:val="TableNormal"/>
    <w:next w:val="TableList7"/>
    <w:rsid w:val="008F7DB9"/>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2">
    <w:name w:val="Table Web 3132"/>
    <w:basedOn w:val="TableNormal"/>
    <w:next w:val="TableWeb3"/>
    <w:rsid w:val="008F7DB9"/>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2">
    <w:name w:val="Table Elegant132"/>
    <w:basedOn w:val="TableNormal"/>
    <w:next w:val="TableElegant"/>
    <w:rsid w:val="008F7DB9"/>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2">
    <w:name w:val="Table Web 2132"/>
    <w:basedOn w:val="TableNormal"/>
    <w:next w:val="TableWeb2"/>
    <w:rsid w:val="008F7DB9"/>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2">
    <w:name w:val="Table Web 1132"/>
    <w:basedOn w:val="TableNormal"/>
    <w:next w:val="TableWeb1"/>
    <w:rsid w:val="008F7DB9"/>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2">
    <w:name w:val="Table Grid 8132"/>
    <w:basedOn w:val="TableNormal"/>
    <w:next w:val="TableGrid8"/>
    <w:rsid w:val="008F7DB9"/>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2">
    <w:name w:val="Table Contemporary132"/>
    <w:basedOn w:val="TableNormal"/>
    <w:next w:val="TableContemporary"/>
    <w:rsid w:val="008F7DB9"/>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01">
    <w:name w:val="No List11201"/>
    <w:next w:val="NoList"/>
    <w:semiHidden/>
    <w:unhideWhenUsed/>
    <w:rsid w:val="008F7DB9"/>
  </w:style>
  <w:style w:type="numbering" w:customStyle="1" w:styleId="NoList2161">
    <w:name w:val="No List2161"/>
    <w:next w:val="NoList"/>
    <w:semiHidden/>
    <w:unhideWhenUsed/>
    <w:rsid w:val="008F7DB9"/>
  </w:style>
  <w:style w:type="numbering" w:customStyle="1" w:styleId="NoList3151">
    <w:name w:val="No List3151"/>
    <w:next w:val="NoList"/>
    <w:semiHidden/>
    <w:unhideWhenUsed/>
    <w:rsid w:val="008F7DB9"/>
  </w:style>
  <w:style w:type="table" w:customStyle="1" w:styleId="LightList-Accent11131">
    <w:name w:val="Light List - Accent 11131"/>
    <w:basedOn w:val="TableNormal"/>
    <w:next w:val="LightList-Accent1"/>
    <w:uiPriority w:val="61"/>
    <w:rsid w:val="008F7DB9"/>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2">
    <w:name w:val="Table Grid 7132"/>
    <w:basedOn w:val="TableNormal"/>
    <w:next w:val="TableGrid7"/>
    <w:rsid w:val="008F7DB9"/>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1">
    <w:name w:val="Colorful Grid - Accent 1181"/>
    <w:basedOn w:val="TableNormal"/>
    <w:next w:val="ColorfulGrid-Accent1"/>
    <w:rsid w:val="008F7DB9"/>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1">
    <w:name w:val="Light List - Accent 5181"/>
    <w:basedOn w:val="TableNormal"/>
    <w:next w:val="LightList-Accent5"/>
    <w:rsid w:val="008F7DB9"/>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2">
    <w:name w:val="Table Simple 3132"/>
    <w:basedOn w:val="TableNormal"/>
    <w:next w:val="TableSimple3"/>
    <w:rsid w:val="008F7DB9"/>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2">
    <w:name w:val="Table Grid 5132"/>
    <w:basedOn w:val="TableNormal"/>
    <w:next w:val="TableGrid5"/>
    <w:rsid w:val="008F7DB9"/>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2">
    <w:name w:val="Table Grid 3132"/>
    <w:basedOn w:val="TableNormal"/>
    <w:next w:val="TableGrid3"/>
    <w:rsid w:val="008F7DB9"/>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2">
    <w:name w:val="Table Grid 1132"/>
    <w:basedOn w:val="TableNormal"/>
    <w:next w:val="TableGrid10"/>
    <w:rsid w:val="008F7DB9"/>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2">
    <w:name w:val="Table Columns 5132"/>
    <w:basedOn w:val="TableNormal"/>
    <w:next w:val="TableColumns5"/>
    <w:rsid w:val="008F7DB9"/>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1">
    <w:name w:val="Нет списка191"/>
    <w:next w:val="NoList"/>
    <w:semiHidden/>
    <w:unhideWhenUsed/>
    <w:rsid w:val="008F7DB9"/>
  </w:style>
  <w:style w:type="numbering" w:customStyle="1" w:styleId="NoList4132">
    <w:name w:val="No List4132"/>
    <w:next w:val="NoList"/>
    <w:semiHidden/>
    <w:rsid w:val="008F7DB9"/>
  </w:style>
  <w:style w:type="numbering" w:customStyle="1" w:styleId="NoList111151">
    <w:name w:val="No List111151"/>
    <w:next w:val="NoList"/>
    <w:semiHidden/>
    <w:unhideWhenUsed/>
    <w:rsid w:val="008F7DB9"/>
  </w:style>
  <w:style w:type="table" w:customStyle="1" w:styleId="Table3Deffects3132">
    <w:name w:val="Table 3D effects 3132"/>
    <w:basedOn w:val="TableNormal"/>
    <w:next w:val="Table3Deffects3"/>
    <w:rsid w:val="008F7DB9"/>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81">
    <w:name w:val="Нет списка1181"/>
    <w:next w:val="NoList"/>
    <w:semiHidden/>
    <w:unhideWhenUsed/>
    <w:rsid w:val="008F7DB9"/>
  </w:style>
  <w:style w:type="table" w:customStyle="1" w:styleId="TableGrid1151">
    <w:name w:val="Table Grid1151"/>
    <w:basedOn w:val="TableNormal"/>
    <w:next w:val="TableGrid"/>
    <w:rsid w:val="008F7DB9"/>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1">
    <w:name w:val="No List561"/>
    <w:next w:val="NoList"/>
    <w:uiPriority w:val="99"/>
    <w:semiHidden/>
    <w:rsid w:val="008F7DB9"/>
  </w:style>
  <w:style w:type="numbering" w:customStyle="1" w:styleId="NoList632">
    <w:name w:val="No List632"/>
    <w:next w:val="NoList"/>
    <w:uiPriority w:val="99"/>
    <w:semiHidden/>
    <w:unhideWhenUsed/>
    <w:rsid w:val="008F7DB9"/>
  </w:style>
  <w:style w:type="table" w:customStyle="1" w:styleId="TableGrid2101">
    <w:name w:val="Table Grid2101"/>
    <w:basedOn w:val="TableNormal"/>
    <w:next w:val="TableGrid"/>
    <w:rsid w:val="008F7DB9"/>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32">
    <w:name w:val="No List732"/>
    <w:next w:val="NoList"/>
    <w:uiPriority w:val="99"/>
    <w:semiHidden/>
    <w:unhideWhenUsed/>
    <w:rsid w:val="008F7DB9"/>
  </w:style>
  <w:style w:type="numbering" w:customStyle="1" w:styleId="NoList12101">
    <w:name w:val="No List12101"/>
    <w:next w:val="NoList"/>
    <w:uiPriority w:val="99"/>
    <w:semiHidden/>
    <w:unhideWhenUsed/>
    <w:rsid w:val="008F7DB9"/>
  </w:style>
  <w:style w:type="table" w:customStyle="1" w:styleId="TableGrid3320">
    <w:name w:val="Table Grid332"/>
    <w:basedOn w:val="TableNormal"/>
    <w:next w:val="TableGrid"/>
    <w:rsid w:val="008F7DB9"/>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2">
    <w:name w:val="Colorful Grid - Accent 1232"/>
    <w:basedOn w:val="TableNormal"/>
    <w:next w:val="ColorfulGrid-Accent1"/>
    <w:uiPriority w:val="73"/>
    <w:rsid w:val="008F7DB9"/>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2">
    <w:name w:val="Light List - Accent 5232"/>
    <w:basedOn w:val="TableNormal"/>
    <w:next w:val="LightList-Accent5"/>
    <w:uiPriority w:val="61"/>
    <w:rsid w:val="008F7DB9"/>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2">
    <w:name w:val="No List832"/>
    <w:next w:val="NoList"/>
    <w:uiPriority w:val="99"/>
    <w:semiHidden/>
    <w:unhideWhenUsed/>
    <w:rsid w:val="008F7DB9"/>
  </w:style>
  <w:style w:type="numbering" w:customStyle="1" w:styleId="1232">
    <w:name w:val="Нет списка1232"/>
    <w:next w:val="NoList"/>
    <w:semiHidden/>
    <w:unhideWhenUsed/>
    <w:rsid w:val="008F7DB9"/>
  </w:style>
  <w:style w:type="numbering" w:customStyle="1" w:styleId="NoList1332">
    <w:name w:val="No List1332"/>
    <w:next w:val="NoList"/>
    <w:semiHidden/>
    <w:unhideWhenUsed/>
    <w:rsid w:val="008F7DB9"/>
  </w:style>
  <w:style w:type="numbering" w:customStyle="1" w:styleId="NoList2171">
    <w:name w:val="No List2171"/>
    <w:next w:val="NoList"/>
    <w:semiHidden/>
    <w:unhideWhenUsed/>
    <w:rsid w:val="008F7DB9"/>
  </w:style>
  <w:style w:type="numbering" w:customStyle="1" w:styleId="NoList3161">
    <w:name w:val="No List3161"/>
    <w:next w:val="NoList"/>
    <w:semiHidden/>
    <w:unhideWhenUsed/>
    <w:rsid w:val="008F7DB9"/>
  </w:style>
  <w:style w:type="numbering" w:customStyle="1" w:styleId="11133">
    <w:name w:val="Нет списка11133"/>
    <w:next w:val="NoList"/>
    <w:semiHidden/>
    <w:unhideWhenUsed/>
    <w:rsid w:val="008F7DB9"/>
  </w:style>
  <w:style w:type="numbering" w:customStyle="1" w:styleId="NoList4141">
    <w:name w:val="No List4141"/>
    <w:next w:val="NoList"/>
    <w:semiHidden/>
    <w:rsid w:val="008F7DB9"/>
  </w:style>
  <w:style w:type="numbering" w:customStyle="1" w:styleId="NoList111161">
    <w:name w:val="No List111161"/>
    <w:next w:val="NoList"/>
    <w:semiHidden/>
    <w:unhideWhenUsed/>
    <w:rsid w:val="008F7DB9"/>
  </w:style>
  <w:style w:type="numbering" w:customStyle="1" w:styleId="111123">
    <w:name w:val="Нет списка111123"/>
    <w:next w:val="NoList"/>
    <w:semiHidden/>
    <w:unhideWhenUsed/>
    <w:rsid w:val="008F7DB9"/>
  </w:style>
  <w:style w:type="numbering" w:customStyle="1" w:styleId="NoList931">
    <w:name w:val="No List931"/>
    <w:next w:val="NoList"/>
    <w:uiPriority w:val="99"/>
    <w:semiHidden/>
    <w:unhideWhenUsed/>
    <w:rsid w:val="008F7DB9"/>
  </w:style>
  <w:style w:type="table" w:customStyle="1" w:styleId="TableGrid432">
    <w:name w:val="Table Grid432"/>
    <w:basedOn w:val="TableNormal"/>
    <w:next w:val="TableGrid"/>
    <w:rsid w:val="008F7DB9"/>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5">
    <w:name w:val="Grid Table 1 Light - Accent 515"/>
    <w:basedOn w:val="TableNormal"/>
    <w:uiPriority w:val="46"/>
    <w:rsid w:val="008F7DB9"/>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4">
    <w:name w:val="Plain Table 314"/>
    <w:basedOn w:val="TableNormal"/>
    <w:uiPriority w:val="43"/>
    <w:rsid w:val="008F7DB9"/>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2">
    <w:name w:val="Grid Table 4 - Accent 1112"/>
    <w:basedOn w:val="TableNormal"/>
    <w:uiPriority w:val="49"/>
    <w:rsid w:val="008F7DB9"/>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31">
    <w:name w:val="No List1031"/>
    <w:next w:val="NoList"/>
    <w:uiPriority w:val="99"/>
    <w:semiHidden/>
    <w:unhideWhenUsed/>
    <w:rsid w:val="008F7DB9"/>
  </w:style>
  <w:style w:type="table" w:customStyle="1" w:styleId="TableGrid5310">
    <w:name w:val="Table Grid531"/>
    <w:basedOn w:val="TableNormal"/>
    <w:next w:val="TableGrid"/>
    <w:uiPriority w:val="39"/>
    <w:rsid w:val="008F7DB9"/>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1">
    <w:name w:val="Table List 71121"/>
    <w:basedOn w:val="TableNormal"/>
    <w:next w:val="TableList7"/>
    <w:rsid w:val="008F7DB9"/>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1">
    <w:name w:val="Table Web 31121"/>
    <w:basedOn w:val="TableNormal"/>
    <w:next w:val="TableWeb3"/>
    <w:rsid w:val="008F7DB9"/>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1">
    <w:name w:val="Table Elegant1121"/>
    <w:basedOn w:val="TableNormal"/>
    <w:next w:val="TableElegant"/>
    <w:rsid w:val="008F7DB9"/>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1">
    <w:name w:val="Table Web 2231"/>
    <w:basedOn w:val="TableNormal"/>
    <w:next w:val="TableWeb2"/>
    <w:rsid w:val="008F7DB9"/>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1">
    <w:name w:val="Table Web 1231"/>
    <w:basedOn w:val="TableNormal"/>
    <w:next w:val="TableWeb1"/>
    <w:rsid w:val="008F7DB9"/>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1">
    <w:name w:val="Table Grid 8231"/>
    <w:basedOn w:val="TableNormal"/>
    <w:next w:val="TableGrid8"/>
    <w:rsid w:val="008F7DB9"/>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1">
    <w:name w:val="Table Contemporary231"/>
    <w:basedOn w:val="TableNormal"/>
    <w:next w:val="TableContemporary"/>
    <w:rsid w:val="008F7DB9"/>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1">
    <w:name w:val="No List1431"/>
    <w:next w:val="NoList"/>
    <w:semiHidden/>
    <w:unhideWhenUsed/>
    <w:rsid w:val="008F7DB9"/>
  </w:style>
  <w:style w:type="numbering" w:customStyle="1" w:styleId="NoList2231">
    <w:name w:val="No List2231"/>
    <w:next w:val="NoList"/>
    <w:semiHidden/>
    <w:unhideWhenUsed/>
    <w:rsid w:val="008F7DB9"/>
  </w:style>
  <w:style w:type="numbering" w:customStyle="1" w:styleId="NoList3231">
    <w:name w:val="No List3231"/>
    <w:next w:val="NoList"/>
    <w:semiHidden/>
    <w:unhideWhenUsed/>
    <w:rsid w:val="008F7DB9"/>
  </w:style>
  <w:style w:type="table" w:customStyle="1" w:styleId="LightList-Accent1261">
    <w:name w:val="Light List - Accent 1261"/>
    <w:basedOn w:val="TableNormal"/>
    <w:uiPriority w:val="61"/>
    <w:rsid w:val="008F7DB9"/>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1">
    <w:name w:val="Table Grid 71121"/>
    <w:basedOn w:val="TableNormal"/>
    <w:next w:val="TableGrid7"/>
    <w:rsid w:val="008F7DB9"/>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1">
    <w:name w:val="Colorful Grid - Accent 1331"/>
    <w:basedOn w:val="TableNormal"/>
    <w:next w:val="ColorfulGrid-Accent1"/>
    <w:uiPriority w:val="73"/>
    <w:rsid w:val="008F7DB9"/>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1">
    <w:name w:val="Light List - Accent 5331"/>
    <w:basedOn w:val="TableNormal"/>
    <w:next w:val="LightList-Accent5"/>
    <w:uiPriority w:val="61"/>
    <w:rsid w:val="008F7DB9"/>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1">
    <w:name w:val="Table Simple 31121"/>
    <w:basedOn w:val="TableNormal"/>
    <w:next w:val="TableSimple3"/>
    <w:rsid w:val="008F7DB9"/>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1">
    <w:name w:val="Table Grid 51121"/>
    <w:basedOn w:val="TableNormal"/>
    <w:next w:val="TableGrid5"/>
    <w:rsid w:val="008F7DB9"/>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1">
    <w:name w:val="Table Grid 31121"/>
    <w:basedOn w:val="TableNormal"/>
    <w:next w:val="TableGrid3"/>
    <w:rsid w:val="008F7DB9"/>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10">
    <w:name w:val="Table Grid 11121"/>
    <w:basedOn w:val="TableNormal"/>
    <w:next w:val="TableGrid10"/>
    <w:rsid w:val="008F7DB9"/>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1">
    <w:name w:val="Table Columns 51121"/>
    <w:basedOn w:val="TableNormal"/>
    <w:next w:val="TableColumns5"/>
    <w:rsid w:val="008F7DB9"/>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1">
    <w:name w:val="Light List - Accent 11141"/>
    <w:basedOn w:val="TableNormal"/>
    <w:uiPriority w:val="61"/>
    <w:rsid w:val="008F7DB9"/>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1">
    <w:name w:val="Нет списка1331"/>
    <w:next w:val="NoList"/>
    <w:semiHidden/>
    <w:unhideWhenUsed/>
    <w:rsid w:val="008F7DB9"/>
  </w:style>
  <w:style w:type="table" w:customStyle="1" w:styleId="ColorfulGrid-Accent11131">
    <w:name w:val="Colorful Grid - Accent 11131"/>
    <w:basedOn w:val="TableNormal"/>
    <w:rsid w:val="008F7DB9"/>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1">
    <w:name w:val="Light List - Accent 51131"/>
    <w:basedOn w:val="TableNormal"/>
    <w:rsid w:val="008F7DB9"/>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1">
    <w:name w:val="No List4231"/>
    <w:next w:val="NoList"/>
    <w:semiHidden/>
    <w:rsid w:val="008F7DB9"/>
  </w:style>
  <w:style w:type="numbering" w:customStyle="1" w:styleId="NoList11251">
    <w:name w:val="No List11251"/>
    <w:next w:val="NoList"/>
    <w:semiHidden/>
    <w:unhideWhenUsed/>
    <w:rsid w:val="008F7DB9"/>
  </w:style>
  <w:style w:type="table" w:customStyle="1" w:styleId="Table3Deffects31121">
    <w:name w:val="Table 3D effects 31121"/>
    <w:basedOn w:val="TableNormal"/>
    <w:next w:val="Table3Deffects3"/>
    <w:rsid w:val="008F7DB9"/>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1">
    <w:name w:val="Нет списка11231"/>
    <w:next w:val="NoList"/>
    <w:semiHidden/>
    <w:unhideWhenUsed/>
    <w:rsid w:val="008F7DB9"/>
  </w:style>
  <w:style w:type="table" w:customStyle="1" w:styleId="TableGrid11123">
    <w:name w:val="Table Grid11123"/>
    <w:basedOn w:val="TableNormal"/>
    <w:next w:val="TableGrid"/>
    <w:uiPriority w:val="39"/>
    <w:rsid w:val="008F7DB9"/>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1">
    <w:name w:val="No List5131"/>
    <w:next w:val="NoList"/>
    <w:uiPriority w:val="99"/>
    <w:semiHidden/>
    <w:rsid w:val="008F7DB9"/>
  </w:style>
  <w:style w:type="numbering" w:customStyle="1" w:styleId="NoList6122">
    <w:name w:val="No List6122"/>
    <w:next w:val="NoList"/>
    <w:uiPriority w:val="99"/>
    <w:semiHidden/>
    <w:unhideWhenUsed/>
    <w:rsid w:val="008F7DB9"/>
  </w:style>
  <w:style w:type="table" w:customStyle="1" w:styleId="TableGrid2131">
    <w:name w:val="Table Grid2131"/>
    <w:basedOn w:val="TableNormal"/>
    <w:next w:val="TableGrid"/>
    <w:rsid w:val="008F7DB9"/>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2">
    <w:name w:val="No List7122"/>
    <w:next w:val="NoList"/>
    <w:uiPriority w:val="99"/>
    <w:semiHidden/>
    <w:unhideWhenUsed/>
    <w:rsid w:val="008F7DB9"/>
  </w:style>
  <w:style w:type="numbering" w:customStyle="1" w:styleId="NoList12131">
    <w:name w:val="No List12131"/>
    <w:next w:val="NoList"/>
    <w:uiPriority w:val="99"/>
    <w:semiHidden/>
    <w:unhideWhenUsed/>
    <w:rsid w:val="008F7DB9"/>
  </w:style>
  <w:style w:type="table" w:customStyle="1" w:styleId="TableGrid31220">
    <w:name w:val="Table Grid3122"/>
    <w:basedOn w:val="TableNormal"/>
    <w:next w:val="TableGrid"/>
    <w:rsid w:val="008F7DB9"/>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2">
    <w:name w:val="Table Web 21122"/>
    <w:basedOn w:val="TableNormal"/>
    <w:next w:val="TableWeb2"/>
    <w:rsid w:val="008F7DB9"/>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2">
    <w:name w:val="Table Web 11122"/>
    <w:basedOn w:val="TableNormal"/>
    <w:next w:val="TableWeb1"/>
    <w:rsid w:val="008F7DB9"/>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2">
    <w:name w:val="Table Grid 81122"/>
    <w:basedOn w:val="TableNormal"/>
    <w:next w:val="TableGrid8"/>
    <w:rsid w:val="008F7DB9"/>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2">
    <w:name w:val="Table Contemporary1122"/>
    <w:basedOn w:val="TableNormal"/>
    <w:next w:val="TableContemporary"/>
    <w:rsid w:val="008F7DB9"/>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2">
    <w:name w:val="Colorful Grid - Accent 12122"/>
    <w:basedOn w:val="TableNormal"/>
    <w:next w:val="ColorfulGrid-Accent1"/>
    <w:uiPriority w:val="73"/>
    <w:rsid w:val="008F7DB9"/>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2">
    <w:name w:val="Light List - Accent 52122"/>
    <w:basedOn w:val="TableNormal"/>
    <w:next w:val="LightList-Accent5"/>
    <w:uiPriority w:val="61"/>
    <w:rsid w:val="008F7DB9"/>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2">
    <w:name w:val="No List8122"/>
    <w:next w:val="NoList"/>
    <w:uiPriority w:val="99"/>
    <w:semiHidden/>
    <w:unhideWhenUsed/>
    <w:rsid w:val="008F7DB9"/>
  </w:style>
  <w:style w:type="numbering" w:customStyle="1" w:styleId="12122">
    <w:name w:val="Нет списка12122"/>
    <w:next w:val="NoList"/>
    <w:semiHidden/>
    <w:unhideWhenUsed/>
    <w:rsid w:val="008F7DB9"/>
  </w:style>
  <w:style w:type="numbering" w:customStyle="1" w:styleId="NoList13122">
    <w:name w:val="No List13122"/>
    <w:next w:val="NoList"/>
    <w:semiHidden/>
    <w:unhideWhenUsed/>
    <w:rsid w:val="008F7DB9"/>
  </w:style>
  <w:style w:type="numbering" w:customStyle="1" w:styleId="NoList21131">
    <w:name w:val="No List21131"/>
    <w:next w:val="NoList"/>
    <w:semiHidden/>
    <w:unhideWhenUsed/>
    <w:rsid w:val="008F7DB9"/>
  </w:style>
  <w:style w:type="numbering" w:customStyle="1" w:styleId="NoList31131">
    <w:name w:val="No List31131"/>
    <w:next w:val="NoList"/>
    <w:semiHidden/>
    <w:unhideWhenUsed/>
    <w:rsid w:val="008F7DB9"/>
  </w:style>
  <w:style w:type="numbering" w:customStyle="1" w:styleId="111213">
    <w:name w:val="Нет списка111213"/>
    <w:next w:val="NoList"/>
    <w:semiHidden/>
    <w:unhideWhenUsed/>
    <w:rsid w:val="008F7DB9"/>
  </w:style>
  <w:style w:type="numbering" w:customStyle="1" w:styleId="NoList41122">
    <w:name w:val="No List41122"/>
    <w:next w:val="NoList"/>
    <w:semiHidden/>
    <w:rsid w:val="008F7DB9"/>
  </w:style>
  <w:style w:type="numbering" w:customStyle="1" w:styleId="NoList1111131">
    <w:name w:val="No List1111131"/>
    <w:next w:val="NoList"/>
    <w:semiHidden/>
    <w:unhideWhenUsed/>
    <w:rsid w:val="008F7DB9"/>
  </w:style>
  <w:style w:type="numbering" w:customStyle="1" w:styleId="1111113">
    <w:name w:val="Нет списка1111113"/>
    <w:next w:val="NoList"/>
    <w:semiHidden/>
    <w:unhideWhenUsed/>
    <w:rsid w:val="008F7DB9"/>
  </w:style>
  <w:style w:type="table" w:customStyle="1" w:styleId="TableGrid631">
    <w:name w:val="Table Grid631"/>
    <w:basedOn w:val="TableNormal"/>
    <w:next w:val="TableGrid"/>
    <w:uiPriority w:val="39"/>
    <w:rsid w:val="008F7DB9"/>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4">
    <w:name w:val="Grid Table 1 Light - Accent 5114"/>
    <w:basedOn w:val="TableNormal"/>
    <w:uiPriority w:val="46"/>
    <w:rsid w:val="008F7DB9"/>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1">
    <w:name w:val="Table Grid223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0">
    <w:name w:val="Table Grid7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 Grid8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4">
    <w:name w:val="Grid Table 1 Light - Accent 114"/>
    <w:basedOn w:val="TableNormal"/>
    <w:uiPriority w:val="46"/>
    <w:rsid w:val="008F7DB9"/>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81">
    <w:name w:val="Table List 781"/>
    <w:basedOn w:val="TableNormal"/>
    <w:next w:val="TableList7"/>
    <w:uiPriority w:val="99"/>
    <w:semiHidden/>
    <w:unhideWhenUsed/>
    <w:rsid w:val="008F7DB9"/>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1">
    <w:name w:val="Table Web 381"/>
    <w:basedOn w:val="TableNormal"/>
    <w:next w:val="TableWeb3"/>
    <w:uiPriority w:val="99"/>
    <w:semiHidden/>
    <w:unhideWhenUsed/>
    <w:rsid w:val="008F7DB9"/>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1">
    <w:name w:val="Table Elegant81"/>
    <w:basedOn w:val="TableNormal"/>
    <w:next w:val="TableElegant"/>
    <w:uiPriority w:val="99"/>
    <w:semiHidden/>
    <w:unhideWhenUsed/>
    <w:rsid w:val="008F7DB9"/>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81">
    <w:name w:val="Table Web 281"/>
    <w:basedOn w:val="TableNormal"/>
    <w:next w:val="TableWeb2"/>
    <w:uiPriority w:val="99"/>
    <w:semiHidden/>
    <w:unhideWhenUsed/>
    <w:rsid w:val="008F7DB9"/>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1">
    <w:name w:val="Table Web 181"/>
    <w:basedOn w:val="TableNormal"/>
    <w:next w:val="TableWeb1"/>
    <w:uiPriority w:val="99"/>
    <w:semiHidden/>
    <w:unhideWhenUsed/>
    <w:rsid w:val="008F7DB9"/>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81">
    <w:name w:val="Table Grid 881"/>
    <w:basedOn w:val="TableNormal"/>
    <w:next w:val="TableGrid8"/>
    <w:uiPriority w:val="99"/>
    <w:semiHidden/>
    <w:unhideWhenUsed/>
    <w:rsid w:val="008F7DB9"/>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1">
    <w:name w:val="Table Contemporary81"/>
    <w:basedOn w:val="TableNormal"/>
    <w:next w:val="TableContemporary"/>
    <w:uiPriority w:val="99"/>
    <w:semiHidden/>
    <w:unhideWhenUsed/>
    <w:rsid w:val="008F7DB9"/>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71">
    <w:name w:val="Light List - Accent 1271"/>
    <w:basedOn w:val="TableNormal"/>
    <w:next w:val="LightList-Accent1"/>
    <w:uiPriority w:val="61"/>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1">
    <w:name w:val="Table Grid 781"/>
    <w:basedOn w:val="TableNormal"/>
    <w:next w:val="TableGrid7"/>
    <w:uiPriority w:val="99"/>
    <w:semiHidden/>
    <w:unhideWhenUsed/>
    <w:rsid w:val="008F7DB9"/>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1">
    <w:name w:val="Colorful Grid - Accent 191"/>
    <w:basedOn w:val="TableNormal"/>
    <w:next w:val="ColorfulGrid-Accent1"/>
    <w:uiPriority w:val="73"/>
    <w:semiHidden/>
    <w:unhideWhenUsed/>
    <w:rsid w:val="008F7DB9"/>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1">
    <w:name w:val="Light List - Accent 5101"/>
    <w:basedOn w:val="TableNormal"/>
    <w:next w:val="LightList-Accent5"/>
    <w:uiPriority w:val="61"/>
    <w:semiHidden/>
    <w:unhideWhenUsed/>
    <w:rsid w:val="008F7DB9"/>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1">
    <w:name w:val="Table Simple 381"/>
    <w:basedOn w:val="TableNormal"/>
    <w:next w:val="TableSimple3"/>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1">
    <w:name w:val="Table Grid 581"/>
    <w:basedOn w:val="TableNormal"/>
    <w:next w:val="TableGrid5"/>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1">
    <w:name w:val="Table Grid 381"/>
    <w:basedOn w:val="TableNormal"/>
    <w:next w:val="TableGrid3"/>
    <w:uiPriority w:val="99"/>
    <w:semiHidden/>
    <w:unhideWhenUsed/>
    <w:rsid w:val="008F7DB9"/>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10">
    <w:name w:val="Table Grid 181"/>
    <w:basedOn w:val="TableNormal"/>
    <w:next w:val="TableGrid10"/>
    <w:uiPriority w:val="99"/>
    <w:semiHidden/>
    <w:unhideWhenUsed/>
    <w:rsid w:val="008F7DB9"/>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1">
    <w:name w:val="Table Columns 581"/>
    <w:basedOn w:val="TableNormal"/>
    <w:next w:val="TableColumns5"/>
    <w:uiPriority w:val="99"/>
    <w:semiHidden/>
    <w:unhideWhenUsed/>
    <w:rsid w:val="008F7DB9"/>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Light1">
    <w:name w:val="Table Grid Light1"/>
    <w:basedOn w:val="TableNormal"/>
    <w:uiPriority w:val="40"/>
    <w:rsid w:val="00352DBB"/>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Основной текст"/>
    <w:basedOn w:val="Normal"/>
    <w:rsid w:val="00352DBB"/>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table" w:customStyle="1" w:styleId="GridTable4-Accent52">
    <w:name w:val="Grid Table 4 - Accent 52"/>
    <w:basedOn w:val="TableNormal"/>
    <w:uiPriority w:val="49"/>
    <w:rsid w:val="00352DBB"/>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3Deffects381">
    <w:name w:val="Table 3D effects 381"/>
    <w:basedOn w:val="TableNormal"/>
    <w:next w:val="Table3Deffects3"/>
    <w:uiPriority w:val="99"/>
    <w:semiHidden/>
    <w:unhideWhenUsed/>
    <w:rsid w:val="00352DBB"/>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31">
    <w:name w:val="No List1531"/>
    <w:next w:val="NoList"/>
    <w:uiPriority w:val="99"/>
    <w:semiHidden/>
    <w:unhideWhenUsed/>
    <w:rsid w:val="00352DBB"/>
  </w:style>
  <w:style w:type="table" w:customStyle="1" w:styleId="TableGrid1231">
    <w:name w:val="Table Grid1231"/>
    <w:basedOn w:val="TableNormal"/>
    <w:next w:val="TableGrid"/>
    <w:uiPriority w:val="39"/>
    <w:rsid w:val="00352DBB"/>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69543490">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145555845">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272060592">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13533215">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495145514">
      <w:bodyDiv w:val="1"/>
      <w:marLeft w:val="0"/>
      <w:marRight w:val="0"/>
      <w:marTop w:val="0"/>
      <w:marBottom w:val="0"/>
      <w:divBdr>
        <w:top w:val="none" w:sz="0" w:space="0" w:color="auto"/>
        <w:left w:val="none" w:sz="0" w:space="0" w:color="auto"/>
        <w:bottom w:val="none" w:sz="0" w:space="0" w:color="auto"/>
        <w:right w:val="none" w:sz="0" w:space="0" w:color="auto"/>
      </w:divBdr>
    </w:div>
    <w:div w:id="545262789">
      <w:bodyDiv w:val="1"/>
      <w:marLeft w:val="0"/>
      <w:marRight w:val="0"/>
      <w:marTop w:val="0"/>
      <w:marBottom w:val="0"/>
      <w:divBdr>
        <w:top w:val="none" w:sz="0" w:space="0" w:color="auto"/>
        <w:left w:val="none" w:sz="0" w:space="0" w:color="auto"/>
        <w:bottom w:val="none" w:sz="0" w:space="0" w:color="auto"/>
        <w:right w:val="none" w:sz="0" w:space="0" w:color="auto"/>
      </w:divBdr>
    </w:div>
    <w:div w:id="607200544">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16927086">
      <w:bodyDiv w:val="1"/>
      <w:marLeft w:val="0"/>
      <w:marRight w:val="0"/>
      <w:marTop w:val="0"/>
      <w:marBottom w:val="0"/>
      <w:divBdr>
        <w:top w:val="none" w:sz="0" w:space="0" w:color="auto"/>
        <w:left w:val="none" w:sz="0" w:space="0" w:color="auto"/>
        <w:bottom w:val="none" w:sz="0" w:space="0" w:color="auto"/>
        <w:right w:val="none" w:sz="0" w:space="0" w:color="auto"/>
      </w:divBdr>
    </w:div>
    <w:div w:id="723942746">
      <w:bodyDiv w:val="1"/>
      <w:marLeft w:val="0"/>
      <w:marRight w:val="0"/>
      <w:marTop w:val="0"/>
      <w:marBottom w:val="0"/>
      <w:divBdr>
        <w:top w:val="none" w:sz="0" w:space="0" w:color="auto"/>
        <w:left w:val="none" w:sz="0" w:space="0" w:color="auto"/>
        <w:bottom w:val="none" w:sz="0" w:space="0" w:color="auto"/>
        <w:right w:val="none" w:sz="0" w:space="0" w:color="auto"/>
      </w:divBdr>
    </w:div>
    <w:div w:id="726100770">
      <w:bodyDiv w:val="1"/>
      <w:marLeft w:val="0"/>
      <w:marRight w:val="0"/>
      <w:marTop w:val="0"/>
      <w:marBottom w:val="0"/>
      <w:divBdr>
        <w:top w:val="none" w:sz="0" w:space="0" w:color="auto"/>
        <w:left w:val="none" w:sz="0" w:space="0" w:color="auto"/>
        <w:bottom w:val="none" w:sz="0" w:space="0" w:color="auto"/>
        <w:right w:val="none" w:sz="0" w:space="0" w:color="auto"/>
      </w:divBdr>
    </w:div>
    <w:div w:id="730081290">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4619232">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37840740">
      <w:bodyDiv w:val="1"/>
      <w:marLeft w:val="0"/>
      <w:marRight w:val="0"/>
      <w:marTop w:val="0"/>
      <w:marBottom w:val="0"/>
      <w:divBdr>
        <w:top w:val="none" w:sz="0" w:space="0" w:color="auto"/>
        <w:left w:val="none" w:sz="0" w:space="0" w:color="auto"/>
        <w:bottom w:val="none" w:sz="0" w:space="0" w:color="auto"/>
        <w:right w:val="none" w:sz="0" w:space="0" w:color="auto"/>
      </w:divBdr>
    </w:div>
    <w:div w:id="860893093">
      <w:bodyDiv w:val="1"/>
      <w:marLeft w:val="0"/>
      <w:marRight w:val="0"/>
      <w:marTop w:val="0"/>
      <w:marBottom w:val="0"/>
      <w:divBdr>
        <w:top w:val="none" w:sz="0" w:space="0" w:color="auto"/>
        <w:left w:val="none" w:sz="0" w:space="0" w:color="auto"/>
        <w:bottom w:val="none" w:sz="0" w:space="0" w:color="auto"/>
        <w:right w:val="none" w:sz="0" w:space="0" w:color="auto"/>
      </w:divBdr>
    </w:div>
    <w:div w:id="865677390">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82208889">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0793711">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084644819">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3545497">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09239260">
      <w:bodyDiv w:val="1"/>
      <w:marLeft w:val="0"/>
      <w:marRight w:val="0"/>
      <w:marTop w:val="0"/>
      <w:marBottom w:val="0"/>
      <w:divBdr>
        <w:top w:val="none" w:sz="0" w:space="0" w:color="auto"/>
        <w:left w:val="none" w:sz="0" w:space="0" w:color="auto"/>
        <w:bottom w:val="none" w:sz="0" w:space="0" w:color="auto"/>
        <w:right w:val="none" w:sz="0" w:space="0" w:color="auto"/>
      </w:divBdr>
    </w:div>
    <w:div w:id="1338272255">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394505736">
      <w:bodyDiv w:val="1"/>
      <w:marLeft w:val="0"/>
      <w:marRight w:val="0"/>
      <w:marTop w:val="0"/>
      <w:marBottom w:val="0"/>
      <w:divBdr>
        <w:top w:val="none" w:sz="0" w:space="0" w:color="auto"/>
        <w:left w:val="none" w:sz="0" w:space="0" w:color="auto"/>
        <w:bottom w:val="none" w:sz="0" w:space="0" w:color="auto"/>
        <w:right w:val="none" w:sz="0" w:space="0" w:color="auto"/>
      </w:divBdr>
    </w:div>
    <w:div w:id="1402023537">
      <w:bodyDiv w:val="1"/>
      <w:marLeft w:val="0"/>
      <w:marRight w:val="0"/>
      <w:marTop w:val="0"/>
      <w:marBottom w:val="0"/>
      <w:divBdr>
        <w:top w:val="none" w:sz="0" w:space="0" w:color="auto"/>
        <w:left w:val="none" w:sz="0" w:space="0" w:color="auto"/>
        <w:bottom w:val="none" w:sz="0" w:space="0" w:color="auto"/>
        <w:right w:val="none" w:sz="0" w:space="0" w:color="auto"/>
      </w:divBdr>
    </w:div>
    <w:div w:id="1404796487">
      <w:bodyDiv w:val="1"/>
      <w:marLeft w:val="0"/>
      <w:marRight w:val="0"/>
      <w:marTop w:val="0"/>
      <w:marBottom w:val="0"/>
      <w:divBdr>
        <w:top w:val="none" w:sz="0" w:space="0" w:color="auto"/>
        <w:left w:val="none" w:sz="0" w:space="0" w:color="auto"/>
        <w:bottom w:val="none" w:sz="0" w:space="0" w:color="auto"/>
        <w:right w:val="none" w:sz="0" w:space="0" w:color="auto"/>
      </w:divBdr>
    </w:div>
    <w:div w:id="1425154574">
      <w:bodyDiv w:val="1"/>
      <w:marLeft w:val="0"/>
      <w:marRight w:val="0"/>
      <w:marTop w:val="0"/>
      <w:marBottom w:val="0"/>
      <w:divBdr>
        <w:top w:val="none" w:sz="0" w:space="0" w:color="auto"/>
        <w:left w:val="none" w:sz="0" w:space="0" w:color="auto"/>
        <w:bottom w:val="none" w:sz="0" w:space="0" w:color="auto"/>
        <w:right w:val="none" w:sz="0" w:space="0" w:color="auto"/>
      </w:divBdr>
    </w:div>
    <w:div w:id="1461876761">
      <w:bodyDiv w:val="1"/>
      <w:marLeft w:val="0"/>
      <w:marRight w:val="0"/>
      <w:marTop w:val="0"/>
      <w:marBottom w:val="0"/>
      <w:divBdr>
        <w:top w:val="none" w:sz="0" w:space="0" w:color="auto"/>
        <w:left w:val="none" w:sz="0" w:space="0" w:color="auto"/>
        <w:bottom w:val="none" w:sz="0" w:space="0" w:color="auto"/>
        <w:right w:val="none" w:sz="0" w:space="0" w:color="auto"/>
      </w:divBdr>
    </w:div>
    <w:div w:id="1468086967">
      <w:bodyDiv w:val="1"/>
      <w:marLeft w:val="0"/>
      <w:marRight w:val="0"/>
      <w:marTop w:val="0"/>
      <w:marBottom w:val="0"/>
      <w:divBdr>
        <w:top w:val="none" w:sz="0" w:space="0" w:color="auto"/>
        <w:left w:val="none" w:sz="0" w:space="0" w:color="auto"/>
        <w:bottom w:val="none" w:sz="0" w:space="0" w:color="auto"/>
        <w:right w:val="none" w:sz="0" w:space="0" w:color="auto"/>
      </w:divBdr>
    </w:div>
    <w:div w:id="1482695752">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12405994">
      <w:bodyDiv w:val="1"/>
      <w:marLeft w:val="0"/>
      <w:marRight w:val="0"/>
      <w:marTop w:val="0"/>
      <w:marBottom w:val="0"/>
      <w:divBdr>
        <w:top w:val="none" w:sz="0" w:space="0" w:color="auto"/>
        <w:left w:val="none" w:sz="0" w:space="0" w:color="auto"/>
        <w:bottom w:val="none" w:sz="0" w:space="0" w:color="auto"/>
        <w:right w:val="none" w:sz="0" w:space="0" w:color="auto"/>
      </w:divBdr>
    </w:div>
    <w:div w:id="1512603500">
      <w:bodyDiv w:val="1"/>
      <w:marLeft w:val="0"/>
      <w:marRight w:val="0"/>
      <w:marTop w:val="0"/>
      <w:marBottom w:val="0"/>
      <w:divBdr>
        <w:top w:val="none" w:sz="0" w:space="0" w:color="auto"/>
        <w:left w:val="none" w:sz="0" w:space="0" w:color="auto"/>
        <w:bottom w:val="none" w:sz="0" w:space="0" w:color="auto"/>
        <w:right w:val="none" w:sz="0" w:space="0" w:color="auto"/>
      </w:divBdr>
    </w:div>
    <w:div w:id="154371473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582518203">
      <w:bodyDiv w:val="1"/>
      <w:marLeft w:val="0"/>
      <w:marRight w:val="0"/>
      <w:marTop w:val="0"/>
      <w:marBottom w:val="0"/>
      <w:divBdr>
        <w:top w:val="none" w:sz="0" w:space="0" w:color="auto"/>
        <w:left w:val="none" w:sz="0" w:space="0" w:color="auto"/>
        <w:bottom w:val="none" w:sz="0" w:space="0" w:color="auto"/>
        <w:right w:val="none" w:sz="0" w:space="0" w:color="auto"/>
      </w:divBdr>
    </w:div>
    <w:div w:id="1602687862">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256338">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92947657">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29835609">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776637366">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1990860506">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69262735">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127769506">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 w:id="214283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chart" Target="charts/chart48.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chart" Target="charts/chart5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61" Type="http://schemas.openxmlformats.org/officeDocument/2006/relationships/image" Target="media/image1.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64"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chart" Target="charts/chart44.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2.xml"/></Relationships>
</file>

<file path=word/_rels/footnotes.xml.rels><?xml version="1.0" encoding="UTF-8" standalone="yes"?>
<Relationships xmlns="http://schemas.openxmlformats.org/package/2006/relationships"><Relationship Id="rId2" Type="http://schemas.openxmlformats.org/officeDocument/2006/relationships/hyperlink" Target="https://www.imf.org/en/Topics/imf-and-covid19/Fiscal-Policies-Database-in-Response-to-COVID-19" TargetMode="External"/><Relationship Id="rId1" Type="http://schemas.openxmlformats.org/officeDocument/2006/relationships/hyperlink" Target="https://www.unwto.org/international-travel-largely-on-hold-despite-uptick-in-may"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9.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31.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32.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38.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42.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43.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44.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45.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46.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47.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NULL" TargetMode="External"/><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1" Type="http://schemas.openxmlformats.org/officeDocument/2006/relationships/oleObject" Target="file:///\\172.20.215.254\Share\macroeconomic\Armine\2021\09\&#1356;&#1387;&#1405;&#1391;&#1381;&#1408;%20&#1330;&#1397;&#1400;&#1410;&#1403;&#1381;%202022\Risks_for_Budget%202022.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4258002232482"/>
          <c:y val="7.1301466104615782E-2"/>
          <c:w val="0.81655410095014735"/>
          <c:h val="0.63586107292144023"/>
        </c:manualLayout>
      </c:layout>
      <c:barChart>
        <c:barDir val="col"/>
        <c:grouping val="clustered"/>
        <c:varyColors val="0"/>
        <c:ser>
          <c:idx val="1"/>
          <c:order val="1"/>
          <c:tx>
            <c:strRef>
              <c:f>Sheet1!$C$1</c:f>
              <c:strCache>
                <c:ptCount val="1"/>
                <c:pt idx="0">
                  <c:v>ՌԴ</c:v>
                </c:pt>
              </c:strCache>
            </c:strRef>
          </c:tx>
          <c:spPr>
            <a:solidFill>
              <a:schemeClr val="accent2"/>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Sheet1!$C$2:$C$7</c:f>
              <c:numCache>
                <c:formatCode>#,##0.0;"–"#,##0.0</c:formatCode>
                <c:ptCount val="5"/>
                <c:pt idx="0">
                  <c:v>2.5</c:v>
                </c:pt>
                <c:pt idx="1">
                  <c:v>1.3</c:v>
                </c:pt>
                <c:pt idx="2">
                  <c:v>-3</c:v>
                </c:pt>
                <c:pt idx="3">
                  <c:v>4.4000000000000004</c:v>
                </c:pt>
                <c:pt idx="4">
                  <c:v>3.1</c:v>
                </c:pt>
              </c:numCache>
            </c:numRef>
          </c:val>
          <c:extLst>
            <c:ext xmlns:c16="http://schemas.microsoft.com/office/drawing/2014/chart" uri="{C3380CC4-5D6E-409C-BE32-E72D297353CC}">
              <c16:uniqueId val="{00000000-ADCA-4D70-91C0-E59C89E51EAC}"/>
            </c:ext>
          </c:extLst>
        </c:ser>
        <c:ser>
          <c:idx val="2"/>
          <c:order val="2"/>
          <c:tx>
            <c:strRef>
              <c:f>Sheet1!$D$1</c:f>
              <c:strCache>
                <c:ptCount val="1"/>
                <c:pt idx="0">
                  <c:v>Եվրոգոտի</c:v>
                </c:pt>
              </c:strCache>
            </c:strRef>
          </c:tx>
          <c:spPr>
            <a:solidFill>
              <a:schemeClr val="accent3"/>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Sheet1!$D$2:$D$7</c:f>
              <c:numCache>
                <c:formatCode>#,##0.0;"–"#,##0.0</c:formatCode>
                <c:ptCount val="5"/>
                <c:pt idx="0">
                  <c:v>1.9245307253744466</c:v>
                </c:pt>
                <c:pt idx="1">
                  <c:v>1.2783448122809844</c:v>
                </c:pt>
                <c:pt idx="2">
                  <c:v>-6.5</c:v>
                </c:pt>
                <c:pt idx="3">
                  <c:v>4.5999999999999996</c:v>
                </c:pt>
                <c:pt idx="4">
                  <c:v>4.3</c:v>
                </c:pt>
              </c:numCache>
            </c:numRef>
          </c:val>
          <c:extLst>
            <c:ext xmlns:c16="http://schemas.microsoft.com/office/drawing/2014/chart" uri="{C3380CC4-5D6E-409C-BE32-E72D297353CC}">
              <c16:uniqueId val="{00000001-ADCA-4D70-91C0-E59C89E51EAC}"/>
            </c:ext>
          </c:extLst>
        </c:ser>
        <c:ser>
          <c:idx val="3"/>
          <c:order val="3"/>
          <c:tx>
            <c:strRef>
              <c:f>Sheet1!$E$1</c:f>
              <c:strCache>
                <c:ptCount val="1"/>
                <c:pt idx="0">
                  <c:v>Չինաստան</c:v>
                </c:pt>
              </c:strCache>
            </c:strRef>
          </c:tx>
          <c:spPr>
            <a:solidFill>
              <a:schemeClr val="accent4"/>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Sheet1!$E$2:$E$7</c:f>
              <c:numCache>
                <c:formatCode>#,##0.0;"–"#,##0.0</c:formatCode>
                <c:ptCount val="5"/>
                <c:pt idx="0">
                  <c:v>6.7</c:v>
                </c:pt>
                <c:pt idx="1">
                  <c:v>6.1</c:v>
                </c:pt>
                <c:pt idx="2">
                  <c:v>2.2999999999999998</c:v>
                </c:pt>
                <c:pt idx="3">
                  <c:v>8.1</c:v>
                </c:pt>
                <c:pt idx="4">
                  <c:v>5.7</c:v>
                </c:pt>
              </c:numCache>
            </c:numRef>
          </c:val>
          <c:extLst>
            <c:ext xmlns:c16="http://schemas.microsoft.com/office/drawing/2014/chart" uri="{C3380CC4-5D6E-409C-BE32-E72D297353CC}">
              <c16:uniqueId val="{00000002-ADCA-4D70-91C0-E59C89E51EAC}"/>
            </c:ext>
          </c:extLst>
        </c:ser>
        <c:ser>
          <c:idx val="4"/>
          <c:order val="4"/>
          <c:tx>
            <c:strRef>
              <c:f>Sheet1!$F$1</c:f>
              <c:strCache>
                <c:ptCount val="1"/>
                <c:pt idx="0">
                  <c:v>ԱՄՆ</c:v>
                </c:pt>
              </c:strCache>
            </c:strRef>
          </c:tx>
          <c:spPr>
            <a:solidFill>
              <a:schemeClr val="accent5"/>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Sheet1!$F$2:$F$7</c:f>
              <c:numCache>
                <c:formatCode>#,##0.0;"–"#,##0.0</c:formatCode>
                <c:ptCount val="5"/>
                <c:pt idx="0">
                  <c:v>2.9</c:v>
                </c:pt>
                <c:pt idx="1">
                  <c:v>2.2000000000000002</c:v>
                </c:pt>
                <c:pt idx="2">
                  <c:v>-3.5</c:v>
                </c:pt>
                <c:pt idx="3">
                  <c:v>7</c:v>
                </c:pt>
                <c:pt idx="4">
                  <c:v>4.9000000000000004</c:v>
                </c:pt>
              </c:numCache>
            </c:numRef>
          </c:val>
          <c:extLst>
            <c:ext xmlns:c16="http://schemas.microsoft.com/office/drawing/2014/chart" uri="{C3380CC4-5D6E-409C-BE32-E72D297353CC}">
              <c16:uniqueId val="{00000003-ADCA-4D70-91C0-E59C89E51EAC}"/>
            </c:ext>
          </c:extLst>
        </c:ser>
        <c:dLbls>
          <c:showLegendKey val="0"/>
          <c:showVal val="0"/>
          <c:showCatName val="0"/>
          <c:showSerName val="0"/>
          <c:showPercent val="0"/>
          <c:showBubbleSize val="0"/>
        </c:dLbls>
        <c:gapWidth val="150"/>
        <c:axId val="165114240"/>
        <c:axId val="165115776"/>
      </c:barChart>
      <c:lineChart>
        <c:grouping val="standard"/>
        <c:varyColors val="0"/>
        <c:ser>
          <c:idx val="0"/>
          <c:order val="0"/>
          <c:tx>
            <c:strRef>
              <c:f>Sheet1!$B$1</c:f>
              <c:strCache>
                <c:ptCount val="1"/>
                <c:pt idx="0">
                  <c:v>Աշխարը</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2018</c:v>
                </c:pt>
                <c:pt idx="1">
                  <c:v>2019</c:v>
                </c:pt>
                <c:pt idx="2">
                  <c:v>2020</c:v>
                </c:pt>
                <c:pt idx="3">
                  <c:v>2021</c:v>
                </c:pt>
                <c:pt idx="4">
                  <c:v>2022</c:v>
                </c:pt>
              </c:numCache>
            </c:numRef>
          </c:cat>
          <c:val>
            <c:numRef>
              <c:f>Sheet1!$B$2:$B$7</c:f>
              <c:numCache>
                <c:formatCode>#,##0.0;"–"#,##0.0</c:formatCode>
                <c:ptCount val="5"/>
                <c:pt idx="0">
                  <c:v>3.5852566282283198</c:v>
                </c:pt>
                <c:pt idx="1">
                  <c:v>2.8161521911176002</c:v>
                </c:pt>
                <c:pt idx="2">
                  <c:v>-3.2</c:v>
                </c:pt>
                <c:pt idx="3">
                  <c:v>6</c:v>
                </c:pt>
                <c:pt idx="4">
                  <c:v>4.9000000000000004</c:v>
                </c:pt>
              </c:numCache>
            </c:numRef>
          </c:val>
          <c:smooth val="0"/>
          <c:extLst>
            <c:ext xmlns:c16="http://schemas.microsoft.com/office/drawing/2014/chart" uri="{C3380CC4-5D6E-409C-BE32-E72D297353CC}">
              <c16:uniqueId val="{00000004-ADCA-4D70-91C0-E59C89E51EAC}"/>
            </c:ext>
          </c:extLst>
        </c:ser>
        <c:dLbls>
          <c:showLegendKey val="0"/>
          <c:showVal val="0"/>
          <c:showCatName val="0"/>
          <c:showSerName val="0"/>
          <c:showPercent val="0"/>
          <c:showBubbleSize val="0"/>
        </c:dLbls>
        <c:marker val="1"/>
        <c:smooth val="0"/>
        <c:axId val="165114240"/>
        <c:axId val="165115776"/>
      </c:lineChart>
      <c:catAx>
        <c:axId val="1651142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115776"/>
        <c:crosses val="autoZero"/>
        <c:auto val="1"/>
        <c:lblAlgn val="ctr"/>
        <c:lblOffset val="100"/>
        <c:noMultiLvlLbl val="0"/>
      </c:catAx>
      <c:valAx>
        <c:axId val="16511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layout/>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114240"/>
        <c:crosses val="autoZero"/>
        <c:crossBetween val="between"/>
      </c:valAx>
      <c:spPr>
        <a:noFill/>
        <a:ln>
          <a:noFill/>
        </a:ln>
        <a:effectLst/>
      </c:spPr>
    </c:plotArea>
    <c:legend>
      <c:legendPos val="b"/>
      <c:layout>
        <c:manualLayout>
          <c:xMode val="edge"/>
          <c:yMode val="edge"/>
          <c:x val="9.0876097384378726E-2"/>
          <c:y val="0.83979280367731957"/>
          <c:w val="0.74601823708206683"/>
          <c:h val="0.1602071963226818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0033979737642"/>
          <c:y val="6.6493995043935883E-2"/>
          <c:w val="0.86270095598017105"/>
          <c:h val="0.72872079514650834"/>
        </c:manualLayout>
      </c:layout>
      <c:barChart>
        <c:barDir val="col"/>
        <c:grouping val="stacked"/>
        <c:varyColors val="0"/>
        <c:ser>
          <c:idx val="1"/>
          <c:order val="1"/>
          <c:tx>
            <c:strRef>
              <c:f>Sheet1!$C$1</c:f>
              <c:strCache>
                <c:ptCount val="1"/>
                <c:pt idx="0">
                  <c:v>Զուտ հարկեր</c:v>
                </c:pt>
              </c:strCache>
            </c:strRef>
          </c:tx>
          <c:spPr>
            <a:solidFill>
              <a:schemeClr val="accent2"/>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Sheet1!$C$2:$C$7</c:f>
              <c:numCache>
                <c:formatCode>0.0</c:formatCode>
                <c:ptCount val="6"/>
                <c:pt idx="0">
                  <c:v>0.10513439319595831</c:v>
                </c:pt>
                <c:pt idx="1">
                  <c:v>-1.3395221221487805</c:v>
                </c:pt>
                <c:pt idx="2">
                  <c:v>-1.2439671159377241</c:v>
                </c:pt>
                <c:pt idx="3">
                  <c:v>-1.1492890620555209</c:v>
                </c:pt>
                <c:pt idx="4">
                  <c:v>-0.60528177647684145</c:v>
                </c:pt>
                <c:pt idx="5">
                  <c:v>0.87563074285572129</c:v>
                </c:pt>
              </c:numCache>
            </c:numRef>
          </c:val>
          <c:extLst>
            <c:ext xmlns:c16="http://schemas.microsoft.com/office/drawing/2014/chart" uri="{C3380CC4-5D6E-409C-BE32-E72D297353CC}">
              <c16:uniqueId val="{00000000-B2C3-436F-BFD0-8E5EC3D0C5B6}"/>
            </c:ext>
          </c:extLst>
        </c:ser>
        <c:ser>
          <c:idx val="2"/>
          <c:order val="2"/>
          <c:tx>
            <c:strRef>
              <c:f>Sheet1!$D$1</c:f>
              <c:strCache>
                <c:ptCount val="1"/>
                <c:pt idx="0">
                  <c:v>Արդյունաբերություն</c:v>
                </c:pt>
              </c:strCache>
            </c:strRef>
          </c:tx>
          <c:spPr>
            <a:solidFill>
              <a:schemeClr val="accent3"/>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Sheet1!$D$2:$D$7</c:f>
              <c:numCache>
                <c:formatCode>0.0</c:formatCode>
                <c:ptCount val="6"/>
                <c:pt idx="0">
                  <c:v>0.61375152498404462</c:v>
                </c:pt>
                <c:pt idx="1">
                  <c:v>-0.31986461436202185</c:v>
                </c:pt>
                <c:pt idx="2">
                  <c:v>-0.3814651100430656</c:v>
                </c:pt>
                <c:pt idx="3">
                  <c:v>-0.31349257135824771</c:v>
                </c:pt>
                <c:pt idx="4">
                  <c:v>-0.72229427255206557</c:v>
                </c:pt>
                <c:pt idx="5">
                  <c:v>0.26675195195303247</c:v>
                </c:pt>
              </c:numCache>
            </c:numRef>
          </c:val>
          <c:extLst>
            <c:ext xmlns:c16="http://schemas.microsoft.com/office/drawing/2014/chart" uri="{C3380CC4-5D6E-409C-BE32-E72D297353CC}">
              <c16:uniqueId val="{00000001-B2C3-436F-BFD0-8E5EC3D0C5B6}"/>
            </c:ext>
          </c:extLst>
        </c:ser>
        <c:ser>
          <c:idx val="3"/>
          <c:order val="3"/>
          <c:tx>
            <c:strRef>
              <c:f>Sheet1!$E$1</c:f>
              <c:strCache>
                <c:ptCount val="1"/>
                <c:pt idx="0">
                  <c:v>Գյուղատնտեսություն</c:v>
                </c:pt>
              </c:strCache>
            </c:strRef>
          </c:tx>
          <c:spPr>
            <a:solidFill>
              <a:schemeClr val="accent4"/>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Sheet1!$E$2:$E$7</c:f>
              <c:numCache>
                <c:formatCode>0.0</c:formatCode>
                <c:ptCount val="6"/>
                <c:pt idx="0">
                  <c:v>0.28597042474452383</c:v>
                </c:pt>
                <c:pt idx="1">
                  <c:v>0.13849542858424765</c:v>
                </c:pt>
                <c:pt idx="2">
                  <c:v>-0.19233652712748164</c:v>
                </c:pt>
                <c:pt idx="3">
                  <c:v>-0.47428700859768752</c:v>
                </c:pt>
                <c:pt idx="4">
                  <c:v>6.5569307576807553E-2</c:v>
                </c:pt>
                <c:pt idx="5">
                  <c:v>0.53050328577073314</c:v>
                </c:pt>
              </c:numCache>
            </c:numRef>
          </c:val>
          <c:extLst>
            <c:ext xmlns:c16="http://schemas.microsoft.com/office/drawing/2014/chart" uri="{C3380CC4-5D6E-409C-BE32-E72D297353CC}">
              <c16:uniqueId val="{00000002-B2C3-436F-BFD0-8E5EC3D0C5B6}"/>
            </c:ext>
          </c:extLst>
        </c:ser>
        <c:ser>
          <c:idx val="4"/>
          <c:order val="4"/>
          <c:tx>
            <c:strRef>
              <c:f>Sheet1!$F$1</c:f>
              <c:strCache>
                <c:ptCount val="1"/>
                <c:pt idx="0">
                  <c:v>Շինարարություն</c:v>
                </c:pt>
              </c:strCache>
            </c:strRef>
          </c:tx>
          <c:spPr>
            <a:solidFill>
              <a:schemeClr val="accent5"/>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Sheet1!$F$2:$F$7</c:f>
              <c:numCache>
                <c:formatCode>0.0</c:formatCode>
                <c:ptCount val="6"/>
                <c:pt idx="0">
                  <c:v>-0.52656625296272364</c:v>
                </c:pt>
                <c:pt idx="1">
                  <c:v>-1.4600274442612291</c:v>
                </c:pt>
                <c:pt idx="2">
                  <c:v>-1.104763552087904</c:v>
                </c:pt>
                <c:pt idx="3">
                  <c:v>-0.42846070196442121</c:v>
                </c:pt>
                <c:pt idx="4">
                  <c:v>0.11687356814094271</c:v>
                </c:pt>
                <c:pt idx="5">
                  <c:v>0.22537752359982316</c:v>
                </c:pt>
              </c:numCache>
            </c:numRef>
          </c:val>
          <c:extLst>
            <c:ext xmlns:c16="http://schemas.microsoft.com/office/drawing/2014/chart" uri="{C3380CC4-5D6E-409C-BE32-E72D297353CC}">
              <c16:uniqueId val="{00000003-B2C3-436F-BFD0-8E5EC3D0C5B6}"/>
            </c:ext>
          </c:extLst>
        </c:ser>
        <c:ser>
          <c:idx val="5"/>
          <c:order val="5"/>
          <c:tx>
            <c:strRef>
              <c:f>Sheet1!$G$1</c:f>
              <c:strCache>
                <c:ptCount val="1"/>
                <c:pt idx="0">
                  <c:v>Ծառայություններ</c:v>
                </c:pt>
              </c:strCache>
            </c:strRef>
          </c:tx>
          <c:spPr>
            <a:solidFill>
              <a:schemeClr val="accent6"/>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Sheet1!$G$2:$G$7</c:f>
              <c:numCache>
                <c:formatCode>0.0</c:formatCode>
                <c:ptCount val="6"/>
                <c:pt idx="0">
                  <c:v>3.7162969068174192</c:v>
                </c:pt>
                <c:pt idx="1">
                  <c:v>-2.5346965506532286</c:v>
                </c:pt>
                <c:pt idx="2">
                  <c:v>-3.9423436582872395</c:v>
                </c:pt>
                <c:pt idx="3">
                  <c:v>-5.0598792681469451</c:v>
                </c:pt>
                <c:pt idx="4">
                  <c:v>-2.125060525873403</c:v>
                </c:pt>
                <c:pt idx="5">
                  <c:v>3.0744179925736312</c:v>
                </c:pt>
              </c:numCache>
            </c:numRef>
          </c:val>
          <c:extLst>
            <c:ext xmlns:c16="http://schemas.microsoft.com/office/drawing/2014/chart" uri="{C3380CC4-5D6E-409C-BE32-E72D297353CC}">
              <c16:uniqueId val="{00000004-B2C3-436F-BFD0-8E5EC3D0C5B6}"/>
            </c:ext>
          </c:extLst>
        </c:ser>
        <c:dLbls>
          <c:showLegendKey val="0"/>
          <c:showVal val="0"/>
          <c:showCatName val="0"/>
          <c:showSerName val="0"/>
          <c:showPercent val="0"/>
          <c:showBubbleSize val="0"/>
        </c:dLbls>
        <c:gapWidth val="219"/>
        <c:overlap val="100"/>
        <c:axId val="311699712"/>
        <c:axId val="311726080"/>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5911489466957993E-2"/>
                  <c:y val="-4.54645714583347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2C3-436F-BFD0-8E5EC3D0C5B6}"/>
                </c:ext>
              </c:extLst>
            </c:dLbl>
            <c:dLbl>
              <c:idx val="1"/>
              <c:layout>
                <c:manualLayout>
                  <c:x val="-5.5868409119017227E-2"/>
                  <c:y val="4.08167055045643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2C3-436F-BFD0-8E5EC3D0C5B6}"/>
                </c:ext>
              </c:extLst>
            </c:dLbl>
            <c:dLbl>
              <c:idx val="2"/>
              <c:layout>
                <c:manualLayout>
                  <c:x val="-6.97180195407512E-2"/>
                  <c:y val="3.74207106769117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2C3-436F-BFD0-8E5EC3D0C5B6}"/>
                </c:ext>
              </c:extLst>
            </c:dLbl>
            <c:dLbl>
              <c:idx val="3"/>
              <c:layout>
                <c:manualLayout>
                  <c:x val="-5.6629014305149106E-2"/>
                  <c:y val="3.16686255460517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2C3-436F-BFD0-8E5EC3D0C5B6}"/>
                </c:ext>
              </c:extLst>
            </c:dLbl>
            <c:dLbl>
              <c:idx val="4"/>
              <c:layout>
                <c:manualLayout>
                  <c:x val="-4.2895178024212943E-2"/>
                  <c:y val="3.25722011236947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2C3-436F-BFD0-8E5EC3D0C5B6}"/>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Sheet1!$B$2:$B$7</c:f>
              <c:numCache>
                <c:formatCode>0.0</c:formatCode>
                <c:ptCount val="6"/>
                <c:pt idx="0">
                  <c:v>4.194586996779222</c:v>
                </c:pt>
                <c:pt idx="1">
                  <c:v>-5.5156153028410131</c:v>
                </c:pt>
                <c:pt idx="2">
                  <c:v>-6.8648759634834144</c:v>
                </c:pt>
                <c:pt idx="3">
                  <c:v>-7.4254086121228227</c:v>
                </c:pt>
                <c:pt idx="4">
                  <c:v>-3.2701936991845599</c:v>
                </c:pt>
                <c:pt idx="5">
                  <c:v>4.9726814967529407</c:v>
                </c:pt>
              </c:numCache>
            </c:numRef>
          </c:val>
          <c:smooth val="0"/>
          <c:extLst>
            <c:ext xmlns:c16="http://schemas.microsoft.com/office/drawing/2014/chart" uri="{C3380CC4-5D6E-409C-BE32-E72D297353CC}">
              <c16:uniqueId val="{0000000A-B2C3-436F-BFD0-8E5EC3D0C5B6}"/>
            </c:ext>
          </c:extLst>
        </c:ser>
        <c:dLbls>
          <c:showLegendKey val="0"/>
          <c:showVal val="0"/>
          <c:showCatName val="0"/>
          <c:showSerName val="0"/>
          <c:showPercent val="0"/>
          <c:showBubbleSize val="0"/>
        </c:dLbls>
        <c:marker val="1"/>
        <c:smooth val="0"/>
        <c:axId val="311699712"/>
        <c:axId val="311726080"/>
      </c:lineChart>
      <c:catAx>
        <c:axId val="31169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311726080"/>
        <c:crosses val="autoZero"/>
        <c:auto val="1"/>
        <c:lblAlgn val="ctr"/>
        <c:lblOffset val="100"/>
        <c:noMultiLvlLbl val="0"/>
      </c:catAx>
      <c:valAx>
        <c:axId val="311726080"/>
        <c:scaling>
          <c:orientation val="minMax"/>
          <c:max val="5"/>
          <c:min val="-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311699712"/>
        <c:crosses val="autoZero"/>
        <c:crossBetween val="between"/>
        <c:majorUnit val="2"/>
        <c:minorUnit val="2"/>
      </c:valAx>
      <c:spPr>
        <a:noFill/>
        <a:ln>
          <a:noFill/>
        </a:ln>
        <a:effectLst/>
      </c:spPr>
    </c:plotArea>
    <c:legend>
      <c:legendPos val="b"/>
      <c:layout>
        <c:manualLayout>
          <c:xMode val="edge"/>
          <c:yMode val="edge"/>
          <c:x val="4.8648018769902046E-2"/>
          <c:y val="0.83925459317585294"/>
          <c:w val="0.95135189902732742"/>
          <c:h val="0.15626745406824169"/>
        </c:manualLayout>
      </c:layout>
      <c:overlay val="0"/>
      <c:spPr>
        <a:noFill/>
        <a:ln>
          <a:noFill/>
        </a:ln>
        <a:effectLst/>
      </c:spPr>
      <c:txPr>
        <a:bodyPr rot="0" vert="horz"/>
        <a:lstStyle/>
        <a:p>
          <a:pPr>
            <a:defRPr sz="5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7611554748301"/>
          <c:y val="7.0365212113800715E-2"/>
          <c:w val="0.87260540551091115"/>
          <c:h val="0.65950464129861253"/>
        </c:manualLayout>
      </c:layout>
      <c:barChart>
        <c:barDir val="col"/>
        <c:grouping val="stacked"/>
        <c:varyColors val="0"/>
        <c:ser>
          <c:idx val="1"/>
          <c:order val="1"/>
          <c:tx>
            <c:strRef>
              <c:f>Sheet1!$C$1</c:f>
              <c:strCache>
                <c:ptCount val="1"/>
                <c:pt idx="0">
                  <c:v>Սպառում</c:v>
                </c:pt>
              </c:strCache>
            </c:strRef>
          </c:tx>
          <c:spPr>
            <a:solidFill>
              <a:schemeClr val="accent2"/>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Sheet1!$C$2:$C$7</c:f>
              <c:numCache>
                <c:formatCode>0.0</c:formatCode>
                <c:ptCount val="6"/>
                <c:pt idx="0">
                  <c:v>1.9182532030876893</c:v>
                </c:pt>
                <c:pt idx="1">
                  <c:v>-6.7118940924474257</c:v>
                </c:pt>
                <c:pt idx="2">
                  <c:v>-6.7161879233366655</c:v>
                </c:pt>
                <c:pt idx="3">
                  <c:v>-9.6621603376249023</c:v>
                </c:pt>
                <c:pt idx="4">
                  <c:v>-1.051751056489413</c:v>
                </c:pt>
                <c:pt idx="5">
                  <c:v>5.4265122328947255</c:v>
                </c:pt>
              </c:numCache>
            </c:numRef>
          </c:val>
          <c:extLst>
            <c:ext xmlns:c16="http://schemas.microsoft.com/office/drawing/2014/chart" uri="{C3380CC4-5D6E-409C-BE32-E72D297353CC}">
              <c16:uniqueId val="{00000000-D626-477A-A2A7-48DC4DFE1501}"/>
            </c:ext>
          </c:extLst>
        </c:ser>
        <c:ser>
          <c:idx val="2"/>
          <c:order val="2"/>
          <c:tx>
            <c:strRef>
              <c:f>Sheet1!$D$1</c:f>
              <c:strCache>
                <c:ptCount val="1"/>
                <c:pt idx="0">
                  <c:v>Հիմնական միջոցների համախառն կուտակում</c:v>
                </c:pt>
              </c:strCache>
            </c:strRef>
          </c:tx>
          <c:spPr>
            <a:solidFill>
              <a:schemeClr val="accent3"/>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Sheet1!$D$2:$D$7</c:f>
              <c:numCache>
                <c:formatCode>0.0</c:formatCode>
                <c:ptCount val="6"/>
                <c:pt idx="0">
                  <c:v>-0.81570423869976305</c:v>
                </c:pt>
                <c:pt idx="1">
                  <c:v>-2.4230908925865666</c:v>
                </c:pt>
                <c:pt idx="2">
                  <c:v>-1.9066487214759491</c:v>
                </c:pt>
                <c:pt idx="3">
                  <c:v>-1.3615586733604275</c:v>
                </c:pt>
                <c:pt idx="4">
                  <c:v>0.44598242734524018</c:v>
                </c:pt>
                <c:pt idx="5">
                  <c:v>1.0494236518593478</c:v>
                </c:pt>
              </c:numCache>
            </c:numRef>
          </c:val>
          <c:extLst>
            <c:ext xmlns:c16="http://schemas.microsoft.com/office/drawing/2014/chart" uri="{C3380CC4-5D6E-409C-BE32-E72D297353CC}">
              <c16:uniqueId val="{00000001-D626-477A-A2A7-48DC4DFE1501}"/>
            </c:ext>
          </c:extLst>
        </c:ser>
        <c:ser>
          <c:idx val="3"/>
          <c:order val="3"/>
          <c:tx>
            <c:strRef>
              <c:f>Sheet1!$E$1</c:f>
              <c:strCache>
                <c:ptCount val="1"/>
                <c:pt idx="0">
                  <c:v>Զուտ արտահանում</c:v>
                </c:pt>
              </c:strCache>
            </c:strRef>
          </c:tx>
          <c:spPr>
            <a:solidFill>
              <a:schemeClr val="accent4"/>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Sheet1!$E$2:$E$7</c:f>
              <c:numCache>
                <c:formatCode>0.0</c:formatCode>
                <c:ptCount val="6"/>
                <c:pt idx="0">
                  <c:v>2.8090001745157323</c:v>
                </c:pt>
                <c:pt idx="1">
                  <c:v>3.3276338947452171</c:v>
                </c:pt>
                <c:pt idx="2">
                  <c:v>0.80039226873209657</c:v>
                </c:pt>
                <c:pt idx="3">
                  <c:v>3.3962372635644904</c:v>
                </c:pt>
                <c:pt idx="4">
                  <c:v>1.6177271859574347</c:v>
                </c:pt>
                <c:pt idx="5">
                  <c:v>-0.59779108469248765</c:v>
                </c:pt>
              </c:numCache>
            </c:numRef>
          </c:val>
          <c:extLst>
            <c:ext xmlns:c16="http://schemas.microsoft.com/office/drawing/2014/chart" uri="{C3380CC4-5D6E-409C-BE32-E72D297353CC}">
              <c16:uniqueId val="{00000002-D626-477A-A2A7-48DC4DFE1501}"/>
            </c:ext>
          </c:extLst>
        </c:ser>
        <c:ser>
          <c:idx val="4"/>
          <c:order val="4"/>
          <c:tx>
            <c:strRef>
              <c:f>Sheet1!$F$1</c:f>
              <c:strCache>
                <c:ptCount val="1"/>
                <c:pt idx="0">
                  <c:v>Վիճակագրական շեղում</c:v>
                </c:pt>
              </c:strCache>
            </c:strRef>
          </c:tx>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Sheet1!$F$2:$F$7</c:f>
              <c:numCache>
                <c:formatCode>0.0</c:formatCode>
                <c:ptCount val="6"/>
                <c:pt idx="0">
                  <c:v>0.29013153336526232</c:v>
                </c:pt>
                <c:pt idx="1">
                  <c:v>0.29142146594259</c:v>
                </c:pt>
                <c:pt idx="2">
                  <c:v>0.95263828189768351</c:v>
                </c:pt>
                <c:pt idx="3">
                  <c:v>0.19595521993567822</c:v>
                </c:pt>
                <c:pt idx="4">
                  <c:v>-4.3385714600390557</c:v>
                </c:pt>
                <c:pt idx="5">
                  <c:v>-0.89575929427393852</c:v>
                </c:pt>
              </c:numCache>
            </c:numRef>
          </c:val>
          <c:extLst>
            <c:ext xmlns:c16="http://schemas.microsoft.com/office/drawing/2014/chart" uri="{C3380CC4-5D6E-409C-BE32-E72D297353CC}">
              <c16:uniqueId val="{00000003-D626-477A-A2A7-48DC4DFE1501}"/>
            </c:ext>
          </c:extLst>
        </c:ser>
        <c:dLbls>
          <c:showLegendKey val="0"/>
          <c:showVal val="0"/>
          <c:showCatName val="0"/>
          <c:showSerName val="0"/>
          <c:showPercent val="0"/>
          <c:showBubbleSize val="0"/>
        </c:dLbls>
        <c:gapWidth val="150"/>
        <c:overlap val="100"/>
        <c:axId val="315232640"/>
        <c:axId val="315234176"/>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9585960115114231E-2"/>
                  <c:y val="-7.10409890352490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626-477A-A2A7-48DC4DFE1501}"/>
                </c:ext>
              </c:extLst>
            </c:dLbl>
            <c:dLbl>
              <c:idx val="1"/>
              <c:layout>
                <c:manualLayout>
                  <c:x val="-2.8601977027207442E-2"/>
                  <c:y val="-2.37722082295694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626-477A-A2A7-48DC4DFE1501}"/>
                </c:ext>
              </c:extLst>
            </c:dLbl>
            <c:dLbl>
              <c:idx val="2"/>
              <c:layout>
                <c:manualLayout>
                  <c:x val="-1.0981451868644954E-2"/>
                  <c:y val="-2.68921302869928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626-477A-A2A7-48DC4DFE1501}"/>
                </c:ext>
              </c:extLst>
            </c:dLbl>
            <c:dLbl>
              <c:idx val="3"/>
              <c:layout>
                <c:manualLayout>
                  <c:x val="-4.8242684317432332E-4"/>
                  <c:y val="1.33724656290267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626-477A-A2A7-48DC4DFE1501}"/>
                </c:ext>
              </c:extLst>
            </c:dLbl>
            <c:dLbl>
              <c:idx val="4"/>
              <c:layout>
                <c:manualLayout>
                  <c:x val="-3.4247582805362851E-2"/>
                  <c:y val="1.53159457311149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626-477A-A2A7-48DC4DFE1501}"/>
                </c:ext>
              </c:extLst>
            </c:dLbl>
            <c:dLbl>
              <c:idx val="5"/>
              <c:layout>
                <c:manualLayout>
                  <c:x val="0"/>
                  <c:y val="-4.4859813084112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626-477A-A2A7-48DC4DFE1501}"/>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Sheet1!$B$2:$B$7</c:f>
              <c:numCache>
                <c:formatCode>0.0</c:formatCode>
                <c:ptCount val="6"/>
                <c:pt idx="0">
                  <c:v>4.2016806722689211</c:v>
                </c:pt>
                <c:pt idx="1">
                  <c:v>-5.5159296243461853</c:v>
                </c:pt>
                <c:pt idx="2">
                  <c:v>-6.8698060941828345</c:v>
                </c:pt>
                <c:pt idx="3">
                  <c:v>-7.4315265274851612</c:v>
                </c:pt>
                <c:pt idx="4">
                  <c:v>-3.3266129032257936</c:v>
                </c:pt>
                <c:pt idx="5">
                  <c:v>4.9823855057876472</c:v>
                </c:pt>
              </c:numCache>
            </c:numRef>
          </c:val>
          <c:smooth val="0"/>
          <c:extLst>
            <c:ext xmlns:c16="http://schemas.microsoft.com/office/drawing/2014/chart" uri="{C3380CC4-5D6E-409C-BE32-E72D297353CC}">
              <c16:uniqueId val="{0000000A-D626-477A-A2A7-48DC4DFE1501}"/>
            </c:ext>
          </c:extLst>
        </c:ser>
        <c:dLbls>
          <c:showLegendKey val="0"/>
          <c:showVal val="0"/>
          <c:showCatName val="0"/>
          <c:showSerName val="0"/>
          <c:showPercent val="0"/>
          <c:showBubbleSize val="0"/>
        </c:dLbls>
        <c:marker val="1"/>
        <c:smooth val="0"/>
        <c:axId val="315232640"/>
        <c:axId val="315234176"/>
      </c:lineChart>
      <c:catAx>
        <c:axId val="31523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315234176"/>
        <c:crosses val="autoZero"/>
        <c:auto val="1"/>
        <c:lblAlgn val="ctr"/>
        <c:lblOffset val="100"/>
        <c:noMultiLvlLbl val="0"/>
      </c:catAx>
      <c:valAx>
        <c:axId val="315234176"/>
        <c:scaling>
          <c:orientation val="minMax"/>
          <c:max val="7"/>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sz="700"/>
            </a:pPr>
            <a:endParaRPr lang="en-US"/>
          </a:p>
        </c:txPr>
        <c:crossAx val="315232640"/>
        <c:crosses val="autoZero"/>
        <c:crossBetween val="between"/>
        <c:majorUnit val="3"/>
      </c:valAx>
      <c:spPr>
        <a:noFill/>
        <a:ln w="25400">
          <a:noFill/>
        </a:ln>
        <a:effectLst/>
      </c:spPr>
    </c:plotArea>
    <c:legend>
      <c:legendPos val="b"/>
      <c:layout>
        <c:manualLayout>
          <c:xMode val="edge"/>
          <c:yMode val="edge"/>
          <c:x val="0"/>
          <c:y val="0.76134644084071024"/>
          <c:w val="0.97208671538165703"/>
          <c:h val="0.23865355915928974"/>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7687837896831341E-2"/>
          <c:w val="0.87658476118247253"/>
          <c:h val="0.6148588444244294"/>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Sheet1!$B$3:$I$3</c:f>
              <c:numCache>
                <c:formatCode>0.0</c:formatCode>
                <c:ptCount val="8"/>
                <c:pt idx="0">
                  <c:v>-10.799999999999997</c:v>
                </c:pt>
                <c:pt idx="1">
                  <c:v>-7.9000000000000057</c:v>
                </c:pt>
                <c:pt idx="2">
                  <c:v>-3.9000000000000057</c:v>
                </c:pt>
                <c:pt idx="3">
                  <c:v>0.90000000000000568</c:v>
                </c:pt>
                <c:pt idx="4">
                  <c:v>2.2999999999999972</c:v>
                </c:pt>
                <c:pt idx="5">
                  <c:v>2.0999999999999943</c:v>
                </c:pt>
                <c:pt idx="6">
                  <c:v>2.0999999999999943</c:v>
                </c:pt>
                <c:pt idx="7">
                  <c:v>1</c:v>
                </c:pt>
              </c:numCache>
            </c:numRef>
          </c:val>
          <c:extLst>
            <c:ext xmlns:c16="http://schemas.microsoft.com/office/drawing/2014/chart" uri="{C3380CC4-5D6E-409C-BE32-E72D297353CC}">
              <c16:uniqueId val="{00000000-96D4-447B-8F23-4C66FE62F867}"/>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Sheet1!$B$4:$I$4</c:f>
              <c:numCache>
                <c:formatCode>0.0</c:formatCode>
                <c:ptCount val="8"/>
                <c:pt idx="0">
                  <c:v>0</c:v>
                </c:pt>
                <c:pt idx="1">
                  <c:v>0</c:v>
                </c:pt>
                <c:pt idx="2">
                  <c:v>-1</c:v>
                </c:pt>
                <c:pt idx="3">
                  <c:v>0</c:v>
                </c:pt>
                <c:pt idx="4">
                  <c:v>0</c:v>
                </c:pt>
                <c:pt idx="5">
                  <c:v>6.7999999999999972</c:v>
                </c:pt>
                <c:pt idx="6">
                  <c:v>0</c:v>
                </c:pt>
                <c:pt idx="7">
                  <c:v>0</c:v>
                </c:pt>
              </c:numCache>
            </c:numRef>
          </c:val>
          <c:extLst>
            <c:ext xmlns:c16="http://schemas.microsoft.com/office/drawing/2014/chart" uri="{C3380CC4-5D6E-409C-BE32-E72D297353CC}">
              <c16:uniqueId val="{00000001-96D4-447B-8F23-4C66FE62F867}"/>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Sheet1!$B$5:$I$5</c:f>
              <c:numCache>
                <c:formatCode>0.0</c:formatCode>
                <c:ptCount val="8"/>
                <c:pt idx="0">
                  <c:v>0.79999999999999716</c:v>
                </c:pt>
                <c:pt idx="1">
                  <c:v>1</c:v>
                </c:pt>
                <c:pt idx="2">
                  <c:v>4.7000000000000028</c:v>
                </c:pt>
                <c:pt idx="3">
                  <c:v>20.299999999999997</c:v>
                </c:pt>
                <c:pt idx="4">
                  <c:v>14.299999999999997</c:v>
                </c:pt>
                <c:pt idx="5">
                  <c:v>10.799999999999997</c:v>
                </c:pt>
                <c:pt idx="6">
                  <c:v>8.7999999999999972</c:v>
                </c:pt>
                <c:pt idx="7">
                  <c:v>7.2999999999999972</c:v>
                </c:pt>
              </c:numCache>
            </c:numRef>
          </c:val>
          <c:extLst>
            <c:ext xmlns:c16="http://schemas.microsoft.com/office/drawing/2014/chart" uri="{C3380CC4-5D6E-409C-BE32-E72D297353CC}">
              <c16:uniqueId val="{00000002-96D4-447B-8F23-4C66FE62F867}"/>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Sheet1!$B$6:$I$6</c:f>
              <c:numCache>
                <c:formatCode>0.0</c:formatCode>
                <c:ptCount val="8"/>
                <c:pt idx="0">
                  <c:v>-12.5</c:v>
                </c:pt>
                <c:pt idx="1">
                  <c:v>-12.398255551476083</c:v>
                </c:pt>
                <c:pt idx="2">
                  <c:v>-8.0310705725455023</c:v>
                </c:pt>
                <c:pt idx="3">
                  <c:v>-2.7655481804455206</c:v>
                </c:pt>
                <c:pt idx="4">
                  <c:v>0.97422366662934223</c:v>
                </c:pt>
                <c:pt idx="5">
                  <c:v>2.8485068635894635</c:v>
                </c:pt>
                <c:pt idx="6">
                  <c:v>4.5153118805703087</c:v>
                </c:pt>
                <c:pt idx="7">
                  <c:v>5.2999999999999972</c:v>
                </c:pt>
              </c:numCache>
            </c:numRef>
          </c:val>
          <c:extLst>
            <c:ext xmlns:c16="http://schemas.microsoft.com/office/drawing/2014/chart" uri="{C3380CC4-5D6E-409C-BE32-E72D297353CC}">
              <c16:uniqueId val="{00000003-96D4-447B-8F23-4C66FE62F867}"/>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Sheet1!$B$7:$I$7</c:f>
              <c:numCache>
                <c:formatCode>0.0</c:formatCode>
                <c:ptCount val="8"/>
                <c:pt idx="0">
                  <c:v>-14.200000000000003</c:v>
                </c:pt>
                <c:pt idx="1">
                  <c:v>-10.846408716233185</c:v>
                </c:pt>
                <c:pt idx="2">
                  <c:v>-5.5999999999999943</c:v>
                </c:pt>
                <c:pt idx="3">
                  <c:v>4.7999999999999972</c:v>
                </c:pt>
                <c:pt idx="4">
                  <c:v>7.4000000000000057</c:v>
                </c:pt>
                <c:pt idx="5">
                  <c:v>8</c:v>
                </c:pt>
                <c:pt idx="6">
                  <c:v>7.5</c:v>
                </c:pt>
                <c:pt idx="7">
                  <c:v>7.0999999999999943</c:v>
                </c:pt>
              </c:numCache>
            </c:numRef>
          </c:val>
          <c:extLst>
            <c:ext xmlns:c16="http://schemas.microsoft.com/office/drawing/2014/chart" uri="{C3380CC4-5D6E-409C-BE32-E72D297353CC}">
              <c16:uniqueId val="{00000004-96D4-447B-8F23-4C66FE62F867}"/>
            </c:ext>
          </c:extLst>
        </c:ser>
        <c:dLbls>
          <c:showLegendKey val="0"/>
          <c:showVal val="0"/>
          <c:showCatName val="0"/>
          <c:showSerName val="0"/>
          <c:showPercent val="0"/>
          <c:showBubbleSize val="0"/>
        </c:dLbls>
        <c:gapWidth val="150"/>
        <c:axId val="315274368"/>
        <c:axId val="315275904"/>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4340432891392097E-2"/>
                  <c:y val="-3.9567668246725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6D4-447B-8F23-4C66FE62F867}"/>
                </c:ext>
              </c:extLst>
            </c:dLbl>
            <c:dLbl>
              <c:idx val="1"/>
              <c:layout>
                <c:manualLayout>
                  <c:x val="-7.8465072719619125E-2"/>
                  <c:y val="-3.9567668246725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6D4-447B-8F23-4C66FE62F867}"/>
                </c:ext>
              </c:extLst>
            </c:dLbl>
            <c:dLbl>
              <c:idx val="2"/>
              <c:layout>
                <c:manualLayout>
                  <c:x val="-7.428136961537081E-2"/>
                  <c:y val="5.83411350802677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6D4-447B-8F23-4C66FE62F867}"/>
                </c:ext>
              </c:extLst>
            </c:dLbl>
            <c:dLbl>
              <c:idx val="3"/>
              <c:layout>
                <c:manualLayout>
                  <c:x val="-6.1868292157636798E-2"/>
                  <c:y val="-4.06014407773496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6D4-447B-8F23-4C66FE62F867}"/>
                </c:ext>
              </c:extLst>
            </c:dLbl>
            <c:dLbl>
              <c:idx val="4"/>
              <c:layout>
                <c:manualLayout>
                  <c:x val="-6.5992931985864117E-2"/>
                  <c:y val="-4.06014407773496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6D4-447B-8F23-4C66FE62F867}"/>
                </c:ext>
              </c:extLst>
            </c:dLbl>
            <c:dLbl>
              <c:idx val="5"/>
              <c:layout>
                <c:manualLayout>
                  <c:x val="-5.8019063406547867E-2"/>
                  <c:y val="-4.0852057192880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6D4-447B-8F23-4C66FE62F867}"/>
                </c:ext>
              </c:extLst>
            </c:dLbl>
            <c:dLbl>
              <c:idx val="6"/>
              <c:layout>
                <c:manualLayout>
                  <c:x val="-5.3874844591794445E-2"/>
                  <c:y val="-4.66880653632915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6D4-447B-8F23-4C66FE62F867}"/>
                </c:ext>
              </c:extLst>
            </c:dLbl>
            <c:dLbl>
              <c:idx val="7"/>
              <c:layout>
                <c:manualLayout>
                  <c:x val="-4.9730625777041182E-2"/>
                  <c:y val="-4.08520571928800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6D4-447B-8F23-4C66FE62F867}"/>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Sheet1!$B$2:$I$2</c:f>
              <c:numCache>
                <c:formatCode>0.0</c:formatCode>
                <c:ptCount val="8"/>
                <c:pt idx="0">
                  <c:v>-8.4097295421886855</c:v>
                </c:pt>
                <c:pt idx="1">
                  <c:v>-7.2873162388730464</c:v>
                </c:pt>
                <c:pt idx="2">
                  <c:v>-3.4614825571698304</c:v>
                </c:pt>
                <c:pt idx="3">
                  <c:v>2.6757228183570447</c:v>
                </c:pt>
                <c:pt idx="4">
                  <c:v>4.4078401781489021</c:v>
                </c:pt>
                <c:pt idx="5">
                  <c:v>5.126609590810375</c:v>
                </c:pt>
                <c:pt idx="6">
                  <c:v>5.3110243717503067</c:v>
                </c:pt>
                <c:pt idx="7">
                  <c:v>4.9000000000000057</c:v>
                </c:pt>
              </c:numCache>
            </c:numRef>
          </c:val>
          <c:smooth val="0"/>
          <c:extLst>
            <c:ext xmlns:c16="http://schemas.microsoft.com/office/drawing/2014/chart" uri="{C3380CC4-5D6E-409C-BE32-E72D297353CC}">
              <c16:uniqueId val="{0000000D-96D4-447B-8F23-4C66FE62F867}"/>
            </c:ext>
          </c:extLst>
        </c:ser>
        <c:dLbls>
          <c:showLegendKey val="0"/>
          <c:showVal val="0"/>
          <c:showCatName val="0"/>
          <c:showSerName val="0"/>
          <c:showPercent val="0"/>
          <c:showBubbleSize val="0"/>
        </c:dLbls>
        <c:marker val="1"/>
        <c:smooth val="0"/>
        <c:axId val="315340672"/>
        <c:axId val="315339136"/>
      </c:lineChart>
      <c:catAx>
        <c:axId val="315274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275904"/>
        <c:crosses val="autoZero"/>
        <c:auto val="1"/>
        <c:lblAlgn val="ctr"/>
        <c:lblOffset val="100"/>
        <c:noMultiLvlLbl val="0"/>
      </c:catAx>
      <c:valAx>
        <c:axId val="315275904"/>
        <c:scaling>
          <c:orientation val="minMax"/>
          <c:max val="3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274368"/>
        <c:crosses val="autoZero"/>
        <c:crossBetween val="between"/>
      </c:valAx>
      <c:valAx>
        <c:axId val="315339136"/>
        <c:scaling>
          <c:orientation val="minMax"/>
        </c:scaling>
        <c:delete val="0"/>
        <c:axPos val="r"/>
        <c:numFmt formatCode="0.0" sourceLinked="1"/>
        <c:majorTickMark val="out"/>
        <c:minorTickMark val="none"/>
        <c:tickLblPos val="nextTo"/>
        <c:crossAx val="315340672"/>
        <c:crosses val="max"/>
        <c:crossBetween val="between"/>
      </c:valAx>
      <c:catAx>
        <c:axId val="315340672"/>
        <c:scaling>
          <c:orientation val="minMax"/>
        </c:scaling>
        <c:delete val="1"/>
        <c:axPos val="b"/>
        <c:numFmt formatCode="General" sourceLinked="1"/>
        <c:majorTickMark val="out"/>
        <c:minorTickMark val="none"/>
        <c:tickLblPos val="none"/>
        <c:crossAx val="315339136"/>
        <c:crosses val="autoZero"/>
        <c:auto val="1"/>
        <c:lblAlgn val="ctr"/>
        <c:lblOffset val="100"/>
        <c:noMultiLvlLbl val="0"/>
      </c:catAx>
      <c:spPr>
        <a:no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-10.799999999999997</c:v>
                </c:pt>
                <c:pt idx="1">
                  <c:v>-5.0999999999999943</c:v>
                </c:pt>
                <c:pt idx="2">
                  <c:v>3.7999999999999972</c:v>
                </c:pt>
                <c:pt idx="3">
                  <c:v>16.900000000000006</c:v>
                </c:pt>
                <c:pt idx="4">
                  <c:v>7.9000000000000057</c:v>
                </c:pt>
                <c:pt idx="5">
                  <c:v>1.2999999999999972</c:v>
                </c:pt>
                <c:pt idx="6">
                  <c:v>1.7000000000000028</c:v>
                </c:pt>
                <c:pt idx="7">
                  <c:v>-5.2000000000000028</c:v>
                </c:pt>
              </c:numCache>
            </c:numRef>
          </c:val>
          <c:extLst>
            <c:ext xmlns:c16="http://schemas.microsoft.com/office/drawing/2014/chart" uri="{C3380CC4-5D6E-409C-BE32-E72D297353CC}">
              <c16:uniqueId val="{00000000-05EE-4B1C-9E72-1699FD1F9F2C}"/>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Sheet1!$B$4:$I$4</c:f>
              <c:numCache>
                <c:formatCode>0.0</c:formatCode>
                <c:ptCount val="8"/>
                <c:pt idx="0">
                  <c:v>0.79999999999999716</c:v>
                </c:pt>
                <c:pt idx="1">
                  <c:v>1.0999999999999943</c:v>
                </c:pt>
                <c:pt idx="2">
                  <c:v>10.799999999999997</c:v>
                </c:pt>
                <c:pt idx="3">
                  <c:v>87.699999999999989</c:v>
                </c:pt>
                <c:pt idx="4">
                  <c:v>0.5</c:v>
                </c:pt>
                <c:pt idx="5">
                  <c:v>1.2999999999999972</c:v>
                </c:pt>
                <c:pt idx="6">
                  <c:v>2.2000000000000028</c:v>
                </c:pt>
                <c:pt idx="7">
                  <c:v>2.2999999999999972</c:v>
                </c:pt>
              </c:numCache>
            </c:numRef>
          </c:val>
          <c:extLst>
            <c:ext xmlns:c16="http://schemas.microsoft.com/office/drawing/2014/chart" uri="{C3380CC4-5D6E-409C-BE32-E72D297353CC}">
              <c16:uniqueId val="{00000001-05EE-4B1C-9E72-1699FD1F9F2C}"/>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Sheet1!$B$5:$I$5</c:f>
              <c:numCache>
                <c:formatCode>0.0</c:formatCode>
                <c:ptCount val="8"/>
                <c:pt idx="0">
                  <c:v>-12.5</c:v>
                </c:pt>
                <c:pt idx="1">
                  <c:v>-12.299999999999997</c:v>
                </c:pt>
                <c:pt idx="2">
                  <c:v>1</c:v>
                </c:pt>
                <c:pt idx="3">
                  <c:v>15.5</c:v>
                </c:pt>
                <c:pt idx="4">
                  <c:v>17.5</c:v>
                </c:pt>
                <c:pt idx="5">
                  <c:v>12.200000000000003</c:v>
                </c:pt>
                <c:pt idx="6">
                  <c:v>14.400000000000006</c:v>
                </c:pt>
                <c:pt idx="7">
                  <c:v>10.799999999999997</c:v>
                </c:pt>
              </c:numCache>
            </c:numRef>
          </c:val>
          <c:extLst>
            <c:ext xmlns:c16="http://schemas.microsoft.com/office/drawing/2014/chart" uri="{C3380CC4-5D6E-409C-BE32-E72D297353CC}">
              <c16:uniqueId val="{00000002-05EE-4B1C-9E72-1699FD1F9F2C}"/>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Sheet1!$B$6:$I$6</c:f>
              <c:numCache>
                <c:formatCode>0.0</c:formatCode>
                <c:ptCount val="8"/>
                <c:pt idx="0">
                  <c:v>-14.200000000000003</c:v>
                </c:pt>
                <c:pt idx="1">
                  <c:v>-7.7999999999999972</c:v>
                </c:pt>
                <c:pt idx="2">
                  <c:v>4.5999999999999943</c:v>
                </c:pt>
                <c:pt idx="3">
                  <c:v>47.800000000000011</c:v>
                </c:pt>
                <c:pt idx="4">
                  <c:v>17.599999999999994</c:v>
                </c:pt>
                <c:pt idx="5">
                  <c:v>10.299999999999997</c:v>
                </c:pt>
                <c:pt idx="6">
                  <c:v>5.2000000000000028</c:v>
                </c:pt>
                <c:pt idx="7">
                  <c:v>5</c:v>
                </c:pt>
              </c:numCache>
            </c:numRef>
          </c:val>
          <c:extLst>
            <c:ext xmlns:c16="http://schemas.microsoft.com/office/drawing/2014/chart" uri="{C3380CC4-5D6E-409C-BE32-E72D297353CC}">
              <c16:uniqueId val="{00000003-05EE-4B1C-9E72-1699FD1F9F2C}"/>
            </c:ext>
          </c:extLst>
        </c:ser>
        <c:dLbls>
          <c:showLegendKey val="0"/>
          <c:showVal val="0"/>
          <c:showCatName val="0"/>
          <c:showSerName val="0"/>
          <c:showPercent val="0"/>
          <c:showBubbleSize val="0"/>
        </c:dLbls>
        <c:gapWidth val="219"/>
        <c:overlap val="-27"/>
        <c:axId val="315420672"/>
        <c:axId val="315422208"/>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0390729460704182E-2"/>
                  <c:y val="-5.20832688475174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5EE-4B1C-9E72-1699FD1F9F2C}"/>
                </c:ext>
              </c:extLst>
            </c:dLbl>
            <c:dLbl>
              <c:idx val="1"/>
              <c:layout>
                <c:manualLayout>
                  <c:x val="-7.4515261064065141E-2"/>
                  <c:y val="-4.60355353158911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5EE-4B1C-9E72-1699FD1F9F2C}"/>
                </c:ext>
              </c:extLst>
            </c:dLbl>
            <c:dLbl>
              <c:idx val="2"/>
              <c:layout>
                <c:manualLayout>
                  <c:x val="-7.8571452153386484E-2"/>
                  <c:y val="-3.88452975330228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5EE-4B1C-9E72-1699FD1F9F2C}"/>
                </c:ext>
              </c:extLst>
            </c:dLbl>
            <c:dLbl>
              <c:idx val="3"/>
              <c:layout>
                <c:manualLayout>
                  <c:x val="-6.6061176315224748E-2"/>
                  <c:y val="-4.28647907193684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5EE-4B1C-9E72-1699FD1F9F2C}"/>
                </c:ext>
              </c:extLst>
            </c:dLbl>
            <c:dLbl>
              <c:idx val="4"/>
              <c:layout>
                <c:manualLayout>
                  <c:x val="-3.2449858861981873E-2"/>
                  <c:y val="-3.9688531784416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5EE-4B1C-9E72-1699FD1F9F2C}"/>
                </c:ext>
              </c:extLst>
            </c:dLbl>
            <c:dLbl>
              <c:idx val="5"/>
              <c:layout>
                <c:manualLayout>
                  <c:x val="-5.0314465408805187E-2"/>
                  <c:y val="-3.50160490224686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5EE-4B1C-9E72-1699FD1F9F2C}"/>
                </c:ext>
              </c:extLst>
            </c:dLbl>
            <c:dLbl>
              <c:idx val="6"/>
              <c:layout>
                <c:manualLayout>
                  <c:x val="-5.0314465408805034E-2"/>
                  <c:y val="-4.0852057192880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5EE-4B1C-9E72-1699FD1F9F2C}"/>
                </c:ext>
              </c:extLst>
            </c:dLbl>
            <c:dLbl>
              <c:idx val="7"/>
              <c:layout>
                <c:manualLayout>
                  <c:x val="-4.6121593291404611E-2"/>
                  <c:y val="-5.83600817041144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5EE-4B1C-9E72-1699FD1F9F2C}"/>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-8.4097295421886855</c:v>
                </c:pt>
                <c:pt idx="1">
                  <c:v>-6.2633073826779793</c:v>
                </c:pt>
                <c:pt idx="2">
                  <c:v>3.9353930794852943</c:v>
                </c:pt>
                <c:pt idx="3">
                  <c:v>23.356149985997021</c:v>
                </c:pt>
                <c:pt idx="4">
                  <c:v>11.086522476462449</c:v>
                </c:pt>
                <c:pt idx="5">
                  <c:v>8.1606857558619481</c:v>
                </c:pt>
                <c:pt idx="6">
                  <c:v>6.1902771593338173</c:v>
                </c:pt>
                <c:pt idx="7">
                  <c:v>2.2999999999999972</c:v>
                </c:pt>
              </c:numCache>
            </c:numRef>
          </c:val>
          <c:smooth val="0"/>
          <c:extLst>
            <c:ext xmlns:c16="http://schemas.microsoft.com/office/drawing/2014/chart" uri="{C3380CC4-5D6E-409C-BE32-E72D297353CC}">
              <c16:uniqueId val="{0000000C-05EE-4B1C-9E72-1699FD1F9F2C}"/>
            </c:ext>
          </c:extLst>
        </c:ser>
        <c:dLbls>
          <c:showLegendKey val="0"/>
          <c:showVal val="0"/>
          <c:showCatName val="0"/>
          <c:showSerName val="0"/>
          <c:showPercent val="0"/>
          <c:showBubbleSize val="0"/>
        </c:dLbls>
        <c:marker val="1"/>
        <c:smooth val="0"/>
        <c:axId val="315564800"/>
        <c:axId val="315423744"/>
      </c:lineChart>
      <c:catAx>
        <c:axId val="3154206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422208"/>
        <c:crosses val="autoZero"/>
        <c:auto val="1"/>
        <c:lblAlgn val="ctr"/>
        <c:lblOffset val="100"/>
        <c:noMultiLvlLbl val="0"/>
      </c:catAx>
      <c:valAx>
        <c:axId val="315422208"/>
        <c:scaling>
          <c:orientation val="minMax"/>
          <c:max val="95"/>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420672"/>
        <c:crosses val="autoZero"/>
        <c:crossBetween val="between"/>
      </c:valAx>
      <c:valAx>
        <c:axId val="315423744"/>
        <c:scaling>
          <c:orientation val="minMax"/>
        </c:scaling>
        <c:delete val="0"/>
        <c:axPos val="r"/>
        <c:numFmt formatCode="0.0" sourceLinked="1"/>
        <c:majorTickMark val="out"/>
        <c:minorTickMark val="none"/>
        <c:tickLblPos val="nextTo"/>
        <c:crossAx val="315564800"/>
        <c:crosses val="max"/>
        <c:crossBetween val="between"/>
      </c:valAx>
      <c:catAx>
        <c:axId val="315564800"/>
        <c:scaling>
          <c:orientation val="minMax"/>
        </c:scaling>
        <c:delete val="1"/>
        <c:axPos val="b"/>
        <c:numFmt formatCode="General" sourceLinked="1"/>
        <c:majorTickMark val="out"/>
        <c:minorTickMark val="none"/>
        <c:tickLblPos val="none"/>
        <c:crossAx val="315423744"/>
        <c:crosses val="autoZero"/>
        <c:auto val="1"/>
        <c:lblAlgn val="ctr"/>
        <c:lblOffset val="100"/>
        <c:noMultiLvlLbl val="0"/>
      </c:catAx>
      <c:spPr>
        <a:noFill/>
        <a:ln>
          <a:noFill/>
        </a:ln>
        <a:effectLst/>
      </c:spPr>
    </c:plotArea>
    <c:legend>
      <c:legendPos val="b"/>
      <c:layout>
        <c:manualLayout>
          <c:xMode val="edge"/>
          <c:yMode val="edge"/>
          <c:x val="3.9212598425196851E-2"/>
          <c:y val="0.79446551510904051"/>
          <c:w val="0.92687606666201161"/>
          <c:h val="0.205534484890959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377"/>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Sheet1!$B$3:$I$3</c:f>
              <c:numCache>
                <c:formatCode>0.0</c:formatCode>
                <c:ptCount val="8"/>
                <c:pt idx="0">
                  <c:v>-2.3716259878127546</c:v>
                </c:pt>
                <c:pt idx="1">
                  <c:v>-1.7348004910852575</c:v>
                </c:pt>
                <c:pt idx="2">
                  <c:v>-0.85642049559905187</c:v>
                </c:pt>
                <c:pt idx="3">
                  <c:v>0.19763549898439753</c:v>
                </c:pt>
                <c:pt idx="4">
                  <c:v>0.50506849740456761</c:v>
                </c:pt>
                <c:pt idx="5">
                  <c:v>0.46114949763025675</c:v>
                </c:pt>
                <c:pt idx="6">
                  <c:v>0.46114949763025675</c:v>
                </c:pt>
                <c:pt idx="7">
                  <c:v>0.21959499887155143</c:v>
                </c:pt>
              </c:numCache>
            </c:numRef>
          </c:val>
          <c:extLst>
            <c:ext xmlns:c16="http://schemas.microsoft.com/office/drawing/2014/chart" uri="{C3380CC4-5D6E-409C-BE32-E72D297353CC}">
              <c16:uniqueId val="{00000000-A0D3-4BE9-9681-4C420B9A66A4}"/>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Sheet1!$B$4:$I$4</c:f>
              <c:numCache>
                <c:formatCode>0.0</c:formatCode>
                <c:ptCount val="8"/>
                <c:pt idx="0">
                  <c:v>0</c:v>
                </c:pt>
                <c:pt idx="1">
                  <c:v>0</c:v>
                </c:pt>
                <c:pt idx="2">
                  <c:v>-0.12265209040788619</c:v>
                </c:pt>
                <c:pt idx="3">
                  <c:v>0</c:v>
                </c:pt>
                <c:pt idx="4">
                  <c:v>0</c:v>
                </c:pt>
                <c:pt idx="5">
                  <c:v>0.83403421477362572</c:v>
                </c:pt>
                <c:pt idx="6">
                  <c:v>0</c:v>
                </c:pt>
                <c:pt idx="7">
                  <c:v>0</c:v>
                </c:pt>
              </c:numCache>
            </c:numRef>
          </c:val>
          <c:extLst>
            <c:ext xmlns:c16="http://schemas.microsoft.com/office/drawing/2014/chart" uri="{C3380CC4-5D6E-409C-BE32-E72D297353CC}">
              <c16:uniqueId val="{00000001-A0D3-4BE9-9681-4C420B9A66A4}"/>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Sheet1!$B$5:$I$5</c:f>
              <c:numCache>
                <c:formatCode>0.0</c:formatCode>
                <c:ptCount val="8"/>
                <c:pt idx="0">
                  <c:v>6.1067394701060013E-2</c:v>
                </c:pt>
                <c:pt idx="1">
                  <c:v>7.6334243376325286E-2</c:v>
                </c:pt>
                <c:pt idx="2">
                  <c:v>0.35877094386872904</c:v>
                </c:pt>
                <c:pt idx="3">
                  <c:v>1.549585140539403</c:v>
                </c:pt>
                <c:pt idx="4">
                  <c:v>1.0915796802814515</c:v>
                </c:pt>
                <c:pt idx="5">
                  <c:v>0.82440982846431288</c:v>
                </c:pt>
                <c:pt idx="6">
                  <c:v>0.67174134171166233</c:v>
                </c:pt>
                <c:pt idx="7">
                  <c:v>0.5572399766471744</c:v>
                </c:pt>
              </c:numCache>
            </c:numRef>
          </c:val>
          <c:extLst>
            <c:ext xmlns:c16="http://schemas.microsoft.com/office/drawing/2014/chart" uri="{C3380CC4-5D6E-409C-BE32-E72D297353CC}">
              <c16:uniqueId val="{00000002-A0D3-4BE9-9681-4C420B9A66A4}"/>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Sheet1!$B$6:$I$6</c:f>
              <c:numCache>
                <c:formatCode>0.0</c:formatCode>
                <c:ptCount val="8"/>
                <c:pt idx="0">
                  <c:v>-5.7947100311780932</c:v>
                </c:pt>
                <c:pt idx="1">
                  <c:v>-5.7475436650598359</c:v>
                </c:pt>
                <c:pt idx="2">
                  <c:v>-3.7230180166262894</c:v>
                </c:pt>
                <c:pt idx="3">
                  <c:v>-1.2820439826347185</c:v>
                </c:pt>
                <c:pt idx="4">
                  <c:v>0.45162749229025217</c:v>
                </c:pt>
                <c:pt idx="5">
                  <c:v>1.3205017037057212</c:v>
                </c:pt>
                <c:pt idx="6">
                  <c:v>2.0931938438590714</c:v>
                </c:pt>
                <c:pt idx="7">
                  <c:v>2.4569570532195102</c:v>
                </c:pt>
              </c:numCache>
            </c:numRef>
          </c:val>
          <c:extLst>
            <c:ext xmlns:c16="http://schemas.microsoft.com/office/drawing/2014/chart" uri="{C3380CC4-5D6E-409C-BE32-E72D297353CC}">
              <c16:uniqueId val="{00000003-A0D3-4BE9-9681-4C420B9A66A4}"/>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Sheet1!$B$7:$I$7</c:f>
              <c:numCache>
                <c:formatCode>0.0</c:formatCode>
                <c:ptCount val="8"/>
                <c:pt idx="0">
                  <c:v>-1.6733544808698553</c:v>
                </c:pt>
                <c:pt idx="1">
                  <c:v>-1.2781610300461024</c:v>
                </c:pt>
                <c:pt idx="2">
                  <c:v>-0.65991444315994219</c:v>
                </c:pt>
                <c:pt idx="3">
                  <c:v>0.56564095127995062</c:v>
                </c:pt>
                <c:pt idx="4">
                  <c:v>0.87202979988992513</c:v>
                </c:pt>
                <c:pt idx="5">
                  <c:v>0.94273491879991833</c:v>
                </c:pt>
                <c:pt idx="6">
                  <c:v>0.88381398637492348</c:v>
                </c:pt>
                <c:pt idx="7">
                  <c:v>0.83667724043492686</c:v>
                </c:pt>
              </c:numCache>
            </c:numRef>
          </c:val>
          <c:extLst>
            <c:ext xmlns:c16="http://schemas.microsoft.com/office/drawing/2014/chart" uri="{C3380CC4-5D6E-409C-BE32-E72D297353CC}">
              <c16:uniqueId val="{00000004-A0D3-4BE9-9681-4C420B9A66A4}"/>
            </c:ext>
          </c:extLst>
        </c:ser>
        <c:ser>
          <c:idx val="6"/>
          <c:order val="6"/>
          <c:tx>
            <c:strRef>
              <c:f>Sheet1!$A$8</c:f>
              <c:strCache>
                <c:ptCount val="1"/>
                <c:pt idx="0">
                  <c:v>այլ </c:v>
                </c:pt>
              </c:strCache>
            </c:strRef>
          </c:tx>
          <c:spPr>
            <a:solidFill>
              <a:srgbClr val="5B9BD5">
                <a:lumMod val="40000"/>
                <a:lumOff val="60000"/>
              </a:srgbClr>
            </a:solidFill>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Sheet1!$B$8:$I$8</c:f>
              <c:numCache>
                <c:formatCode>0.0</c:formatCode>
                <c:ptCount val="8"/>
                <c:pt idx="0">
                  <c:v>1.3688935629709587</c:v>
                </c:pt>
                <c:pt idx="1">
                  <c:v>1.3968547039418233</c:v>
                </c:pt>
                <c:pt idx="2">
                  <c:v>1.54175154475461</c:v>
                </c:pt>
                <c:pt idx="3">
                  <c:v>1.6449052101880119</c:v>
                </c:pt>
                <c:pt idx="4">
                  <c:v>1.4875347082827055</c:v>
                </c:pt>
                <c:pt idx="5">
                  <c:v>0.74377942743653946</c:v>
                </c:pt>
                <c:pt idx="6">
                  <c:v>1.2011257021743926</c:v>
                </c:pt>
                <c:pt idx="7">
                  <c:v>0.8295307308268427</c:v>
                </c:pt>
              </c:numCache>
            </c:numRef>
          </c:val>
          <c:extLst>
            <c:ext xmlns:c16="http://schemas.microsoft.com/office/drawing/2014/chart" uri="{C3380CC4-5D6E-409C-BE32-E72D297353CC}">
              <c16:uniqueId val="{00000005-A0D3-4BE9-9681-4C420B9A66A4}"/>
            </c:ext>
          </c:extLst>
        </c:ser>
        <c:dLbls>
          <c:showLegendKey val="0"/>
          <c:showVal val="0"/>
          <c:showCatName val="0"/>
          <c:showSerName val="0"/>
          <c:showPercent val="0"/>
          <c:showBubbleSize val="0"/>
        </c:dLbls>
        <c:gapWidth val="150"/>
        <c:overlap val="100"/>
        <c:axId val="315673984"/>
        <c:axId val="315675776"/>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4.5370159499293398E-2"/>
                  <c:y val="-4.550030324550444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0D3-4BE9-9681-4C420B9A66A4}"/>
                </c:ext>
              </c:extLst>
            </c:dLbl>
            <c:dLbl>
              <c:idx val="1"/>
              <c:layout>
                <c:manualLayout>
                  <c:x val="-6.5948879466989699E-2"/>
                  <c:y val="-5.208358171818384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0D3-4BE9-9681-4C420B9A66A4}"/>
                </c:ext>
              </c:extLst>
            </c:dLbl>
            <c:dLbl>
              <c:idx val="2"/>
              <c:layout>
                <c:manualLayout>
                  <c:x val="-5.7435897435897512E-2"/>
                  <c:y val="-5.03688191049851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0D3-4BE9-9681-4C420B9A66A4}"/>
                </c:ext>
              </c:extLst>
            </c:dLbl>
            <c:dLbl>
              <c:idx val="3"/>
              <c:layout>
                <c:manualLayout>
                  <c:x val="-5.7699818291944274E-2"/>
                  <c:y val="-4.2529056078641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0D3-4BE9-9681-4C420B9A66A4}"/>
                </c:ext>
              </c:extLst>
            </c:dLbl>
            <c:dLbl>
              <c:idx val="4"/>
              <c:layout>
                <c:manualLayout>
                  <c:x val="-5.7457863920856195E-2"/>
                  <c:y val="-4.322485574456421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0D3-4BE9-9681-4C420B9A66A4}"/>
                </c:ext>
              </c:extLst>
            </c:dLbl>
            <c:dLbl>
              <c:idx val="5"/>
              <c:layout>
                <c:manualLayout>
                  <c:x val="-6.1538461538461542E-2"/>
                  <c:y val="-4.165426956263017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0D3-4BE9-9681-4C420B9A66A4}"/>
                </c:ext>
              </c:extLst>
            </c:dLbl>
            <c:dLbl>
              <c:idx val="6"/>
              <c:layout>
                <c:manualLayout>
                  <c:x val="-4.9230769230769231E-2"/>
                  <c:y val="-4.760487950014876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0D3-4BE9-9681-4C420B9A66A4}"/>
                </c:ext>
              </c:extLst>
            </c:dLbl>
            <c:dLbl>
              <c:idx val="7"/>
              <c:layout>
                <c:manualLayout>
                  <c:x val="-3.282051282051282E-2"/>
                  <c:y val="-4.165426956263017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0D3-4BE9-9681-4C420B9A66A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Sheet1!$B$2:$I$2</c:f>
              <c:numCache>
                <c:formatCode>0.0</c:formatCode>
                <c:ptCount val="8"/>
                <c:pt idx="0">
                  <c:v>-8.4097295421886855</c:v>
                </c:pt>
                <c:pt idx="1">
                  <c:v>-7.2873162388730464</c:v>
                </c:pt>
                <c:pt idx="2">
                  <c:v>-3.4614825571698304</c:v>
                </c:pt>
                <c:pt idx="3">
                  <c:v>2.6757228183570447</c:v>
                </c:pt>
                <c:pt idx="4">
                  <c:v>4.4078401781489021</c:v>
                </c:pt>
                <c:pt idx="5">
                  <c:v>5.126609590810375</c:v>
                </c:pt>
                <c:pt idx="6">
                  <c:v>5.3110243717503067</c:v>
                </c:pt>
                <c:pt idx="7">
                  <c:v>4.9000000000000057</c:v>
                </c:pt>
              </c:numCache>
            </c:numRef>
          </c:val>
          <c:smooth val="0"/>
          <c:extLst>
            <c:ext xmlns:c16="http://schemas.microsoft.com/office/drawing/2014/chart" uri="{C3380CC4-5D6E-409C-BE32-E72D297353CC}">
              <c16:uniqueId val="{0000000E-A0D3-4BE9-9681-4C420B9A66A4}"/>
            </c:ext>
          </c:extLst>
        </c:ser>
        <c:dLbls>
          <c:showLegendKey val="0"/>
          <c:showVal val="0"/>
          <c:showCatName val="0"/>
          <c:showSerName val="0"/>
          <c:showPercent val="0"/>
          <c:showBubbleSize val="0"/>
        </c:dLbls>
        <c:marker val="1"/>
        <c:smooth val="0"/>
        <c:axId val="315673984"/>
        <c:axId val="315675776"/>
      </c:lineChart>
      <c:catAx>
        <c:axId val="31567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675776"/>
        <c:crosses val="autoZero"/>
        <c:auto val="1"/>
        <c:lblAlgn val="ctr"/>
        <c:lblOffset val="100"/>
        <c:noMultiLvlLbl val="0"/>
      </c:catAx>
      <c:valAx>
        <c:axId val="315675776"/>
        <c:scaling>
          <c:orientation val="minMax"/>
          <c:max val="6"/>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673984"/>
        <c:crosses val="autoZero"/>
        <c:crossBetween val="between"/>
      </c:valAx>
      <c:spPr>
        <a:noFill/>
        <a:ln>
          <a:noFill/>
        </a:ln>
        <a:effectLst/>
      </c:spPr>
    </c:plotArea>
    <c:legend>
      <c:legendPos val="b"/>
      <c:layout>
        <c:manualLayout>
          <c:xMode val="edge"/>
          <c:yMode val="edge"/>
          <c:x val="3.9212662156607202E-2"/>
          <c:y val="0.77063982271677356"/>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-2.3716259878127546</c:v>
                </c:pt>
                <c:pt idx="1">
                  <c:v>-1.119934494244911</c:v>
                </c:pt>
                <c:pt idx="2">
                  <c:v>0.8344609957118948</c:v>
                </c:pt>
                <c:pt idx="3">
                  <c:v>3.7111554809292202</c:v>
                </c:pt>
                <c:pt idx="4">
                  <c:v>1.7348004910852575</c:v>
                </c:pt>
                <c:pt idx="5">
                  <c:v>0.28547349853301623</c:v>
                </c:pt>
                <c:pt idx="6">
                  <c:v>0.37331149808163805</c:v>
                </c:pt>
                <c:pt idx="7">
                  <c:v>-1.141893994132068</c:v>
                </c:pt>
              </c:numCache>
            </c:numRef>
          </c:val>
          <c:extLst>
            <c:ext xmlns:c16="http://schemas.microsoft.com/office/drawing/2014/chart" uri="{C3380CC4-5D6E-409C-BE32-E72D297353CC}">
              <c16:uniqueId val="{00000000-2DEA-47DA-B22C-2F0015DBC3E2}"/>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Sheet1!$B$4:$I$4</c:f>
              <c:numCache>
                <c:formatCode>0.0</c:formatCode>
                <c:ptCount val="8"/>
                <c:pt idx="0">
                  <c:v>6.1067394701060013E-2</c:v>
                </c:pt>
                <c:pt idx="1">
                  <c:v>8.3967667713957375E-2</c:v>
                </c:pt>
                <c:pt idx="2">
                  <c:v>0.82440982846431288</c:v>
                </c:pt>
                <c:pt idx="3">
                  <c:v>6.6945131441037269</c:v>
                </c:pt>
                <c:pt idx="4">
                  <c:v>3.8167121688162643E-2</c:v>
                </c:pt>
                <c:pt idx="5">
                  <c:v>9.9234516389222649E-2</c:v>
                </c:pt>
                <c:pt idx="6">
                  <c:v>0.16793533542791586</c:v>
                </c:pt>
                <c:pt idx="7">
                  <c:v>0.17556875976554795</c:v>
                </c:pt>
              </c:numCache>
            </c:numRef>
          </c:val>
          <c:extLst>
            <c:ext xmlns:c16="http://schemas.microsoft.com/office/drawing/2014/chart" uri="{C3380CC4-5D6E-409C-BE32-E72D297353CC}">
              <c16:uniqueId val="{00000001-2DEA-47DA-B22C-2F0015DBC3E2}"/>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Sheet1!$B$5:$I$5</c:f>
              <c:numCache>
                <c:formatCode>0.0</c:formatCode>
                <c:ptCount val="8"/>
                <c:pt idx="0">
                  <c:v>-5.7947100311780932</c:v>
                </c:pt>
                <c:pt idx="1">
                  <c:v>-5.7019946706792428</c:v>
                </c:pt>
                <c:pt idx="2">
                  <c:v>0.46357680249424749</c:v>
                </c:pt>
                <c:pt idx="3">
                  <c:v>7.1854404386608364</c:v>
                </c:pt>
                <c:pt idx="4">
                  <c:v>8.1125940436493309</c:v>
                </c:pt>
                <c:pt idx="5">
                  <c:v>5.6556369904298203</c:v>
                </c:pt>
                <c:pt idx="6">
                  <c:v>6.6755059559171661</c:v>
                </c:pt>
                <c:pt idx="7">
                  <c:v>5.0066294669378717</c:v>
                </c:pt>
              </c:numCache>
            </c:numRef>
          </c:val>
          <c:extLst>
            <c:ext xmlns:c16="http://schemas.microsoft.com/office/drawing/2014/chart" uri="{C3380CC4-5D6E-409C-BE32-E72D297353CC}">
              <c16:uniqueId val="{00000002-2DEA-47DA-B22C-2F0015DBC3E2}"/>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Sheet1!$B$6:$I$6</c:f>
              <c:numCache>
                <c:formatCode>0.0</c:formatCode>
                <c:ptCount val="8"/>
                <c:pt idx="0">
                  <c:v>-1.6733544808698553</c:v>
                </c:pt>
                <c:pt idx="1">
                  <c:v>-0.91916654582992008</c:v>
                </c:pt>
                <c:pt idx="2">
                  <c:v>0.54207257830995237</c:v>
                </c:pt>
                <c:pt idx="3">
                  <c:v>5.6328411398295133</c:v>
                </c:pt>
                <c:pt idx="4">
                  <c:v>2.0740168213598196</c:v>
                </c:pt>
                <c:pt idx="5">
                  <c:v>1.2137712079548946</c:v>
                </c:pt>
                <c:pt idx="6">
                  <c:v>0.61277769721994724</c:v>
                </c:pt>
                <c:pt idx="7">
                  <c:v>0.58920932424994898</c:v>
                </c:pt>
              </c:numCache>
            </c:numRef>
          </c:val>
          <c:extLst>
            <c:ext xmlns:c16="http://schemas.microsoft.com/office/drawing/2014/chart" uri="{C3380CC4-5D6E-409C-BE32-E72D297353CC}">
              <c16:uniqueId val="{00000003-2DEA-47DA-B22C-2F0015DBC3E2}"/>
            </c:ext>
          </c:extLst>
        </c:ser>
        <c:ser>
          <c:idx val="5"/>
          <c:order val="5"/>
          <c:tx>
            <c:strRef>
              <c:f>Sheet1!$A$7</c:f>
              <c:strCache>
                <c:ptCount val="1"/>
                <c:pt idx="0">
                  <c:v>այլ </c:v>
                </c:pt>
              </c:strCache>
            </c:strRef>
          </c:tx>
          <c:spPr>
            <a:solidFill>
              <a:srgbClr val="5B9BD5">
                <a:lumMod val="40000"/>
                <a:lumOff val="60000"/>
              </a:srgbClr>
            </a:solidFill>
            <a:ln>
              <a:solidFill>
                <a:srgbClr val="5B9BD5">
                  <a:lumMod val="40000"/>
                  <a:lumOff val="60000"/>
                </a:srgbClr>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Sheet1!$B$7:$I$7</c:f>
              <c:numCache>
                <c:formatCode>0.0</c:formatCode>
                <c:ptCount val="8"/>
                <c:pt idx="0">
                  <c:v>1.3688935629709587</c:v>
                </c:pt>
                <c:pt idx="1">
                  <c:v>1.3938206603621381</c:v>
                </c:pt>
                <c:pt idx="2">
                  <c:v>1.2708728745048865</c:v>
                </c:pt>
                <c:pt idx="3">
                  <c:v>0.13219978247372666</c:v>
                </c:pt>
                <c:pt idx="4">
                  <c:v>-0.87305600132012273</c:v>
                </c:pt>
                <c:pt idx="5">
                  <c:v>0.906569542554994</c:v>
                </c:pt>
                <c:pt idx="6">
                  <c:v>-1.6392533273128498</c:v>
                </c:pt>
                <c:pt idx="7">
                  <c:v>-2.3295135568213032</c:v>
                </c:pt>
              </c:numCache>
            </c:numRef>
          </c:val>
          <c:extLst>
            <c:ext xmlns:c16="http://schemas.microsoft.com/office/drawing/2014/chart" uri="{C3380CC4-5D6E-409C-BE32-E72D297353CC}">
              <c16:uniqueId val="{00000004-2DEA-47DA-B22C-2F0015DBC3E2}"/>
            </c:ext>
          </c:extLst>
        </c:ser>
        <c:dLbls>
          <c:showLegendKey val="0"/>
          <c:showVal val="0"/>
          <c:showCatName val="0"/>
          <c:showSerName val="0"/>
          <c:showPercent val="0"/>
          <c:showBubbleSize val="0"/>
        </c:dLbls>
        <c:gapWidth val="219"/>
        <c:overlap val="100"/>
        <c:axId val="319237120"/>
        <c:axId val="319361792"/>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6.6237445871316594E-2"/>
                  <c:y val="-4.5600377748567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DEA-47DA-B22C-2F0015DBC3E2}"/>
                </c:ext>
              </c:extLst>
            </c:dLbl>
            <c:dLbl>
              <c:idx val="1"/>
              <c:layout>
                <c:manualLayout>
                  <c:x val="-6.6155973405532517E-2"/>
                  <c:y val="-4.5600377748567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DEA-47DA-B22C-2F0015DBC3E2}"/>
                </c:ext>
              </c:extLst>
            </c:dLbl>
            <c:dLbl>
              <c:idx val="2"/>
              <c:layout>
                <c:manualLayout>
                  <c:x val="-7.8611325003932864E-2"/>
                  <c:y val="-4.51613726566189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DEA-47DA-B22C-2F0015DBC3E2}"/>
                </c:ext>
              </c:extLst>
            </c:dLbl>
            <c:dLbl>
              <c:idx val="3"/>
              <c:layout>
                <c:manualLayout>
                  <c:x val="-7.8692797469716913E-2"/>
                  <c:y val="-4.4203728990926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DEA-47DA-B22C-2F0015DBC3E2}"/>
                </c:ext>
              </c:extLst>
            </c:dLbl>
            <c:dLbl>
              <c:idx val="4"/>
              <c:layout>
                <c:manualLayout>
                  <c:x val="-5.3374731943995959E-2"/>
                  <c:y val="-5.7169693334524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DEA-47DA-B22C-2F0015DBC3E2}"/>
                </c:ext>
              </c:extLst>
            </c:dLbl>
            <c:dLbl>
              <c:idx val="5"/>
              <c:layout>
                <c:manualLayout>
                  <c:x val="-2.5236593059937064E-2"/>
                  <c:y val="-3.88978930307941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DEA-47DA-B22C-2F0015DBC3E2}"/>
                </c:ext>
              </c:extLst>
            </c:dLbl>
            <c:dLbl>
              <c:idx val="6"/>
              <c:layout>
                <c:manualLayout>
                  <c:x val="-3.4091955859284047E-2"/>
                  <c:y val="-5.18636514865859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DEA-47DA-B22C-2F0015DBC3E2}"/>
                </c:ext>
              </c:extLst>
            </c:dLbl>
            <c:dLbl>
              <c:idx val="7"/>
              <c:layout>
                <c:manualLayout>
                  <c:x val="0"/>
                  <c:y val="-4.48143405889885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DEA-47DA-B22C-2F0015DBC3E2}"/>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-8.4097295421886855</c:v>
                </c:pt>
                <c:pt idx="1">
                  <c:v>-6.2633073826779793</c:v>
                </c:pt>
                <c:pt idx="2">
                  <c:v>3.9353930794852943</c:v>
                </c:pt>
                <c:pt idx="3">
                  <c:v>23.356149985997021</c:v>
                </c:pt>
                <c:pt idx="4">
                  <c:v>11.086522476462449</c:v>
                </c:pt>
                <c:pt idx="5">
                  <c:v>8.1606857558619481</c:v>
                </c:pt>
                <c:pt idx="6">
                  <c:v>6.1902771593338173</c:v>
                </c:pt>
                <c:pt idx="7">
                  <c:v>2.2999999999999972</c:v>
                </c:pt>
              </c:numCache>
            </c:numRef>
          </c:val>
          <c:smooth val="0"/>
          <c:extLst>
            <c:ext xmlns:c16="http://schemas.microsoft.com/office/drawing/2014/chart" uri="{C3380CC4-5D6E-409C-BE32-E72D297353CC}">
              <c16:uniqueId val="{0000000D-2DEA-47DA-B22C-2F0015DBC3E2}"/>
            </c:ext>
          </c:extLst>
        </c:ser>
        <c:dLbls>
          <c:showLegendKey val="0"/>
          <c:showVal val="0"/>
          <c:showCatName val="0"/>
          <c:showSerName val="0"/>
          <c:showPercent val="0"/>
          <c:showBubbleSize val="0"/>
        </c:dLbls>
        <c:marker val="1"/>
        <c:smooth val="0"/>
        <c:axId val="319237120"/>
        <c:axId val="319361792"/>
      </c:lineChart>
      <c:catAx>
        <c:axId val="3192371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9361792"/>
        <c:crosses val="autoZero"/>
        <c:auto val="1"/>
        <c:lblAlgn val="ctr"/>
        <c:lblOffset val="100"/>
        <c:noMultiLvlLbl val="0"/>
      </c:catAx>
      <c:valAx>
        <c:axId val="319361792"/>
        <c:scaling>
          <c:orientation val="minMax"/>
          <c:max val="25"/>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9237120"/>
        <c:crosses val="autoZero"/>
        <c:crossBetween val="between"/>
      </c:valAx>
      <c:spPr>
        <a:noFill/>
        <a:ln>
          <a:noFill/>
        </a:ln>
        <a:effectLst/>
      </c:spPr>
    </c:plotArea>
    <c:legend>
      <c:legendPos val="b"/>
      <c:layout>
        <c:manualLayout>
          <c:xMode val="edge"/>
          <c:yMode val="edge"/>
          <c:x val="3.9212432830754193E-2"/>
          <c:y val="0.77158400988919762"/>
          <c:w val="0.68892760086405125"/>
          <c:h val="0.2284160222609817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900" i="0">
                <a:latin typeface="GHEA Grapalat" panose="02000506050000020003" pitchFamily="50" charset="0"/>
              </a:rPr>
              <a:t>Կորոնավիրուսի</a:t>
            </a:r>
            <a:r>
              <a:rPr lang="hy-AM" sz="900" i="0" baseline="0">
                <a:latin typeface="GHEA Grapalat" panose="02000506050000020003" pitchFamily="50" charset="0"/>
              </a:rPr>
              <a:t> դեպքերը ՀՀ-ում 2020-2021թթ</a:t>
            </a:r>
            <a:r>
              <a:rPr lang="hy-AM" sz="900" i="1" baseline="0">
                <a:latin typeface="GHEA Grapalat" panose="02000506050000020003" pitchFamily="50" charset="0"/>
              </a:rPr>
              <a:t>.</a:t>
            </a:r>
            <a:endParaRPr lang="en-US" sz="900" i="1">
              <a:latin typeface="GHEA Grapalat" panose="02000506050000020003" pitchFamily="50" charset="0"/>
            </a:endParaRPr>
          </a:p>
        </c:rich>
      </c:tx>
      <c:layout>
        <c:manualLayout>
          <c:xMode val="edge"/>
          <c:yMode val="edge"/>
          <c:x val="0.19202489787978994"/>
          <c:y val="0"/>
        </c:manualLayout>
      </c:layout>
      <c:overlay val="0"/>
    </c:title>
    <c:autoTitleDeleted val="0"/>
    <c:plotArea>
      <c:layout>
        <c:manualLayout>
          <c:layoutTarget val="inner"/>
          <c:xMode val="edge"/>
          <c:yMode val="edge"/>
          <c:x val="0.12935655460884934"/>
          <c:y val="0.17024981523891206"/>
          <c:w val="0.83342569824358115"/>
          <c:h val="0.48441528818167717"/>
        </c:manualLayout>
      </c:layout>
      <c:barChart>
        <c:barDir val="col"/>
        <c:grouping val="clustered"/>
        <c:varyColors val="0"/>
        <c:ser>
          <c:idx val="1"/>
          <c:order val="1"/>
          <c:tx>
            <c:strRef>
              <c:f>Sheet1!$C$1</c:f>
              <c:strCache>
                <c:ptCount val="1"/>
                <c:pt idx="0">
                  <c:v>Հաստատված դեպքերը (օրական)</c:v>
                </c:pt>
              </c:strCache>
            </c:strRef>
          </c:tx>
          <c:invertIfNegative val="0"/>
          <c:cat>
            <c:strRef>
              <c:f>Sheet1!$A$2:$A$575</c:f>
              <c:strCache>
                <c:ptCount val="549"/>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strCache>
            </c:strRef>
          </c:cat>
          <c:val>
            <c:numRef>
              <c:f>Sheet1!$C$2:$C$575</c:f>
              <c:numCache>
                <c:formatCode>General</c:formatCode>
                <c:ptCount val="574"/>
                <c:pt idx="0">
                  <c:v>1</c:v>
                </c:pt>
                <c:pt idx="1">
                  <c:v>0</c:v>
                </c:pt>
                <c:pt idx="2">
                  <c:v>0</c:v>
                </c:pt>
                <c:pt idx="3">
                  <c:v>0</c:v>
                </c:pt>
                <c:pt idx="4">
                  <c:v>0</c:v>
                </c:pt>
                <c:pt idx="5">
                  <c:v>0</c:v>
                </c:pt>
                <c:pt idx="6">
                  <c:v>0</c:v>
                </c:pt>
                <c:pt idx="7">
                  <c:v>0</c:v>
                </c:pt>
                <c:pt idx="8">
                  <c:v>0</c:v>
                </c:pt>
                <c:pt idx="9">
                  <c:v>0</c:v>
                </c:pt>
                <c:pt idx="10">
                  <c:v>3</c:v>
                </c:pt>
                <c:pt idx="11">
                  <c:v>2</c:v>
                </c:pt>
                <c:pt idx="12">
                  <c:v>7</c:v>
                </c:pt>
                <c:pt idx="13">
                  <c:v>7</c:v>
                </c:pt>
                <c:pt idx="14">
                  <c:v>8</c:v>
                </c:pt>
                <c:pt idx="15">
                  <c:v>17</c:v>
                </c:pt>
                <c:pt idx="16">
                  <c:v>33</c:v>
                </c:pt>
                <c:pt idx="17">
                  <c:v>32</c:v>
                </c:pt>
                <c:pt idx="18">
                  <c:v>26</c:v>
                </c:pt>
                <c:pt idx="19">
                  <c:v>24</c:v>
                </c:pt>
                <c:pt idx="20">
                  <c:v>30</c:v>
                </c:pt>
                <c:pt idx="21">
                  <c:v>4</c:v>
                </c:pt>
                <c:pt idx="22">
                  <c:v>41</c:v>
                </c:pt>
                <c:pt idx="23">
                  <c:v>30</c:v>
                </c:pt>
                <c:pt idx="24">
                  <c:v>25</c:v>
                </c:pt>
                <c:pt idx="25">
                  <c:v>39</c:v>
                </c:pt>
                <c:pt idx="26">
                  <c:v>43</c:v>
                </c:pt>
                <c:pt idx="27">
                  <c:v>52</c:v>
                </c:pt>
                <c:pt idx="28">
                  <c:v>58</c:v>
                </c:pt>
                <c:pt idx="29">
                  <c:v>50</c:v>
                </c:pt>
                <c:pt idx="30">
                  <c:v>39</c:v>
                </c:pt>
                <c:pt idx="31">
                  <c:v>92</c:v>
                </c:pt>
                <c:pt idx="32">
                  <c:v>73</c:v>
                </c:pt>
                <c:pt idx="33">
                  <c:v>34</c:v>
                </c:pt>
                <c:pt idx="34">
                  <c:v>52</c:v>
                </c:pt>
                <c:pt idx="35">
                  <c:v>11</c:v>
                </c:pt>
                <c:pt idx="36">
                  <c:v>20</c:v>
                </c:pt>
                <c:pt idx="37">
                  <c:v>28</c:v>
                </c:pt>
                <c:pt idx="38">
                  <c:v>40</c:v>
                </c:pt>
                <c:pt idx="39">
                  <c:v>16</c:v>
                </c:pt>
                <c:pt idx="40">
                  <c:v>30</c:v>
                </c:pt>
                <c:pt idx="41">
                  <c:v>46</c:v>
                </c:pt>
                <c:pt idx="42">
                  <c:v>26</c:v>
                </c:pt>
                <c:pt idx="43">
                  <c:v>28</c:v>
                </c:pt>
                <c:pt idx="44">
                  <c:v>44</c:v>
                </c:pt>
                <c:pt idx="45">
                  <c:v>48</c:v>
                </c:pt>
                <c:pt idx="46">
                  <c:v>42</c:v>
                </c:pt>
                <c:pt idx="47">
                  <c:v>47</c:v>
                </c:pt>
                <c:pt idx="48">
                  <c:v>43</c:v>
                </c:pt>
                <c:pt idx="49">
                  <c:v>48</c:v>
                </c:pt>
                <c:pt idx="50">
                  <c:v>62</c:v>
                </c:pt>
                <c:pt idx="51">
                  <c:v>72</c:v>
                </c:pt>
                <c:pt idx="52">
                  <c:v>50</c:v>
                </c:pt>
                <c:pt idx="53">
                  <c:v>73</c:v>
                </c:pt>
                <c:pt idx="54">
                  <c:v>81</c:v>
                </c:pt>
                <c:pt idx="55">
                  <c:v>69</c:v>
                </c:pt>
                <c:pt idx="56">
                  <c:v>62</c:v>
                </c:pt>
                <c:pt idx="57">
                  <c:v>59</c:v>
                </c:pt>
                <c:pt idx="58">
                  <c:v>65</c:v>
                </c:pt>
                <c:pt idx="59">
                  <c:v>134</c:v>
                </c:pt>
                <c:pt idx="60">
                  <c:v>82</c:v>
                </c:pt>
                <c:pt idx="61">
                  <c:v>125</c:v>
                </c:pt>
                <c:pt idx="62">
                  <c:v>113</c:v>
                </c:pt>
                <c:pt idx="63">
                  <c:v>121</c:v>
                </c:pt>
                <c:pt idx="64">
                  <c:v>112</c:v>
                </c:pt>
                <c:pt idx="65">
                  <c:v>163</c:v>
                </c:pt>
                <c:pt idx="66">
                  <c:v>102</c:v>
                </c:pt>
                <c:pt idx="67">
                  <c:v>145</c:v>
                </c:pt>
                <c:pt idx="68">
                  <c:v>146</c:v>
                </c:pt>
                <c:pt idx="69">
                  <c:v>138</c:v>
                </c:pt>
                <c:pt idx="70">
                  <c:v>79</c:v>
                </c:pt>
                <c:pt idx="71">
                  <c:v>146</c:v>
                </c:pt>
                <c:pt idx="72">
                  <c:v>180</c:v>
                </c:pt>
                <c:pt idx="73">
                  <c:v>142</c:v>
                </c:pt>
                <c:pt idx="74">
                  <c:v>184</c:v>
                </c:pt>
                <c:pt idx="75">
                  <c:v>239</c:v>
                </c:pt>
                <c:pt idx="76">
                  <c:v>189</c:v>
                </c:pt>
                <c:pt idx="77">
                  <c:v>351</c:v>
                </c:pt>
                <c:pt idx="78">
                  <c:v>218</c:v>
                </c:pt>
                <c:pt idx="79">
                  <c:v>230</c:v>
                </c:pt>
                <c:pt idx="80">
                  <c:v>335</c:v>
                </c:pt>
                <c:pt idx="81">
                  <c:v>322</c:v>
                </c:pt>
                <c:pt idx="82">
                  <c:v>374</c:v>
                </c:pt>
                <c:pt idx="83">
                  <c:v>359</c:v>
                </c:pt>
                <c:pt idx="84">
                  <c:v>452</c:v>
                </c:pt>
                <c:pt idx="85">
                  <c:v>289</c:v>
                </c:pt>
                <c:pt idx="86">
                  <c:v>372</c:v>
                </c:pt>
                <c:pt idx="87">
                  <c:v>442</c:v>
                </c:pt>
                <c:pt idx="88">
                  <c:v>460</c:v>
                </c:pt>
                <c:pt idx="89">
                  <c:v>251</c:v>
                </c:pt>
                <c:pt idx="90">
                  <c:v>355</c:v>
                </c:pt>
                <c:pt idx="91">
                  <c:v>210</c:v>
                </c:pt>
                <c:pt idx="92">
                  <c:v>517</c:v>
                </c:pt>
                <c:pt idx="93">
                  <c:v>515</c:v>
                </c:pt>
                <c:pt idx="94">
                  <c:v>697</c:v>
                </c:pt>
                <c:pt idx="95">
                  <c:v>596</c:v>
                </c:pt>
                <c:pt idx="96">
                  <c:v>547</c:v>
                </c:pt>
                <c:pt idx="97">
                  <c:v>766</c:v>
                </c:pt>
                <c:pt idx="98">
                  <c:v>195</c:v>
                </c:pt>
                <c:pt idx="99">
                  <c:v>350</c:v>
                </c:pt>
                <c:pt idx="100">
                  <c:v>428</c:v>
                </c:pt>
                <c:pt idx="101">
                  <c:v>566</c:v>
                </c:pt>
                <c:pt idx="102">
                  <c:v>612</c:v>
                </c:pt>
                <c:pt idx="103">
                  <c:v>723</c:v>
                </c:pt>
                <c:pt idx="104">
                  <c:v>663</c:v>
                </c:pt>
                <c:pt idx="105">
                  <c:v>397</c:v>
                </c:pt>
                <c:pt idx="106">
                  <c:v>425</c:v>
                </c:pt>
                <c:pt idx="107">
                  <c:v>544</c:v>
                </c:pt>
                <c:pt idx="108">
                  <c:v>665</c:v>
                </c:pt>
                <c:pt idx="109">
                  <c:v>459</c:v>
                </c:pt>
                <c:pt idx="110">
                  <c:v>551</c:v>
                </c:pt>
                <c:pt idx="111">
                  <c:v>560</c:v>
                </c:pt>
                <c:pt idx="112">
                  <c:v>320</c:v>
                </c:pt>
                <c:pt idx="113">
                  <c:v>418</c:v>
                </c:pt>
                <c:pt idx="114">
                  <c:v>711</c:v>
                </c:pt>
                <c:pt idx="115">
                  <c:v>771</c:v>
                </c:pt>
                <c:pt idx="116">
                  <c:v>759</c:v>
                </c:pt>
                <c:pt idx="117">
                  <c:v>662</c:v>
                </c:pt>
                <c:pt idx="118">
                  <c:v>736</c:v>
                </c:pt>
                <c:pt idx="119">
                  <c:v>482</c:v>
                </c:pt>
                <c:pt idx="120">
                  <c:v>415</c:v>
                </c:pt>
                <c:pt idx="121">
                  <c:v>523</c:v>
                </c:pt>
                <c:pt idx="122">
                  <c:v>593</c:v>
                </c:pt>
                <c:pt idx="123">
                  <c:v>662</c:v>
                </c:pt>
                <c:pt idx="124">
                  <c:v>580</c:v>
                </c:pt>
                <c:pt idx="125">
                  <c:v>706</c:v>
                </c:pt>
                <c:pt idx="126">
                  <c:v>330</c:v>
                </c:pt>
                <c:pt idx="127">
                  <c:v>349</c:v>
                </c:pt>
                <c:pt idx="128">
                  <c:v>535</c:v>
                </c:pt>
                <c:pt idx="129">
                  <c:v>526</c:v>
                </c:pt>
                <c:pt idx="130">
                  <c:v>557</c:v>
                </c:pt>
                <c:pt idx="131">
                  <c:v>489</c:v>
                </c:pt>
                <c:pt idx="132">
                  <c:v>577</c:v>
                </c:pt>
                <c:pt idx="133">
                  <c:v>182</c:v>
                </c:pt>
                <c:pt idx="134">
                  <c:v>339</c:v>
                </c:pt>
                <c:pt idx="135">
                  <c:v>515</c:v>
                </c:pt>
                <c:pt idx="136">
                  <c:v>554</c:v>
                </c:pt>
                <c:pt idx="137">
                  <c:v>442</c:v>
                </c:pt>
                <c:pt idx="138">
                  <c:v>461</c:v>
                </c:pt>
                <c:pt idx="139">
                  <c:v>415</c:v>
                </c:pt>
                <c:pt idx="140">
                  <c:v>104</c:v>
                </c:pt>
                <c:pt idx="141">
                  <c:v>273</c:v>
                </c:pt>
                <c:pt idx="142">
                  <c:v>439</c:v>
                </c:pt>
                <c:pt idx="143">
                  <c:v>469</c:v>
                </c:pt>
                <c:pt idx="144">
                  <c:v>451</c:v>
                </c:pt>
                <c:pt idx="145">
                  <c:v>383</c:v>
                </c:pt>
                <c:pt idx="146">
                  <c:v>321</c:v>
                </c:pt>
                <c:pt idx="147">
                  <c:v>73</c:v>
                </c:pt>
                <c:pt idx="148">
                  <c:v>239</c:v>
                </c:pt>
                <c:pt idx="149">
                  <c:v>308</c:v>
                </c:pt>
                <c:pt idx="150">
                  <c:v>259</c:v>
                </c:pt>
                <c:pt idx="151">
                  <c:v>354</c:v>
                </c:pt>
                <c:pt idx="152">
                  <c:v>291</c:v>
                </c:pt>
                <c:pt idx="153">
                  <c:v>209</c:v>
                </c:pt>
                <c:pt idx="154">
                  <c:v>52</c:v>
                </c:pt>
                <c:pt idx="155">
                  <c:v>196</c:v>
                </c:pt>
                <c:pt idx="156">
                  <c:v>288</c:v>
                </c:pt>
                <c:pt idx="157">
                  <c:v>233</c:v>
                </c:pt>
                <c:pt idx="158">
                  <c:v>166</c:v>
                </c:pt>
                <c:pt idx="159">
                  <c:v>200</c:v>
                </c:pt>
                <c:pt idx="160">
                  <c:v>225</c:v>
                </c:pt>
                <c:pt idx="161">
                  <c:v>23</c:v>
                </c:pt>
                <c:pt idx="162">
                  <c:v>160</c:v>
                </c:pt>
                <c:pt idx="163">
                  <c:v>201</c:v>
                </c:pt>
                <c:pt idx="164">
                  <c:v>229</c:v>
                </c:pt>
                <c:pt idx="165">
                  <c:v>276</c:v>
                </c:pt>
                <c:pt idx="166">
                  <c:v>196</c:v>
                </c:pt>
                <c:pt idx="167">
                  <c:v>168</c:v>
                </c:pt>
                <c:pt idx="168">
                  <c:v>38</c:v>
                </c:pt>
                <c:pt idx="169">
                  <c:v>145</c:v>
                </c:pt>
                <c:pt idx="170">
                  <c:v>210</c:v>
                </c:pt>
                <c:pt idx="171">
                  <c:v>263</c:v>
                </c:pt>
                <c:pt idx="172">
                  <c:v>158</c:v>
                </c:pt>
                <c:pt idx="173">
                  <c:v>139</c:v>
                </c:pt>
                <c:pt idx="174">
                  <c:v>176</c:v>
                </c:pt>
                <c:pt idx="175">
                  <c:v>33</c:v>
                </c:pt>
                <c:pt idx="176">
                  <c:v>111</c:v>
                </c:pt>
                <c:pt idx="177">
                  <c:v>131</c:v>
                </c:pt>
                <c:pt idx="178">
                  <c:v>203</c:v>
                </c:pt>
                <c:pt idx="179">
                  <c:v>181</c:v>
                </c:pt>
                <c:pt idx="180">
                  <c:v>175</c:v>
                </c:pt>
                <c:pt idx="181">
                  <c:v>124</c:v>
                </c:pt>
                <c:pt idx="182">
                  <c:v>31</c:v>
                </c:pt>
                <c:pt idx="183">
                  <c:v>97</c:v>
                </c:pt>
                <c:pt idx="184">
                  <c:v>197</c:v>
                </c:pt>
                <c:pt idx="185">
                  <c:v>196</c:v>
                </c:pt>
                <c:pt idx="186">
                  <c:v>190</c:v>
                </c:pt>
                <c:pt idx="187">
                  <c:v>188</c:v>
                </c:pt>
                <c:pt idx="188">
                  <c:v>134</c:v>
                </c:pt>
                <c:pt idx="189">
                  <c:v>62</c:v>
                </c:pt>
                <c:pt idx="190">
                  <c:v>108</c:v>
                </c:pt>
                <c:pt idx="191">
                  <c:v>199</c:v>
                </c:pt>
                <c:pt idx="192">
                  <c:v>174</c:v>
                </c:pt>
                <c:pt idx="193">
                  <c:v>177</c:v>
                </c:pt>
                <c:pt idx="194">
                  <c:v>172</c:v>
                </c:pt>
                <c:pt idx="195">
                  <c:v>187</c:v>
                </c:pt>
                <c:pt idx="196">
                  <c:v>107</c:v>
                </c:pt>
                <c:pt idx="197">
                  <c:v>150</c:v>
                </c:pt>
                <c:pt idx="198">
                  <c:v>257</c:v>
                </c:pt>
                <c:pt idx="199">
                  <c:v>295</c:v>
                </c:pt>
                <c:pt idx="200">
                  <c:v>239</c:v>
                </c:pt>
                <c:pt idx="201">
                  <c:v>244</c:v>
                </c:pt>
                <c:pt idx="202">
                  <c:v>277</c:v>
                </c:pt>
                <c:pt idx="203">
                  <c:v>121</c:v>
                </c:pt>
                <c:pt idx="204">
                  <c:v>115</c:v>
                </c:pt>
                <c:pt idx="205">
                  <c:v>210</c:v>
                </c:pt>
                <c:pt idx="206">
                  <c:v>374</c:v>
                </c:pt>
                <c:pt idx="207">
                  <c:v>392</c:v>
                </c:pt>
                <c:pt idx="208">
                  <c:v>429</c:v>
                </c:pt>
                <c:pt idx="209">
                  <c:v>328</c:v>
                </c:pt>
                <c:pt idx="210">
                  <c:v>174</c:v>
                </c:pt>
                <c:pt idx="211">
                  <c:v>327</c:v>
                </c:pt>
                <c:pt idx="212">
                  <c:v>458</c:v>
                </c:pt>
                <c:pt idx="213">
                  <c:v>491</c:v>
                </c:pt>
                <c:pt idx="214">
                  <c:v>532</c:v>
                </c:pt>
                <c:pt idx="215">
                  <c:v>543</c:v>
                </c:pt>
                <c:pt idx="216">
                  <c:v>571</c:v>
                </c:pt>
                <c:pt idx="217">
                  <c:v>181</c:v>
                </c:pt>
                <c:pt idx="218">
                  <c:v>406</c:v>
                </c:pt>
                <c:pt idx="219">
                  <c:v>672</c:v>
                </c:pt>
                <c:pt idx="220">
                  <c:v>718</c:v>
                </c:pt>
                <c:pt idx="221">
                  <c:v>614</c:v>
                </c:pt>
                <c:pt idx="222">
                  <c:v>649</c:v>
                </c:pt>
                <c:pt idx="223">
                  <c:v>715</c:v>
                </c:pt>
                <c:pt idx="224">
                  <c:v>370</c:v>
                </c:pt>
                <c:pt idx="225">
                  <c:v>745</c:v>
                </c:pt>
                <c:pt idx="226">
                  <c:v>1058</c:v>
                </c:pt>
                <c:pt idx="227">
                  <c:v>1371</c:v>
                </c:pt>
                <c:pt idx="228">
                  <c:v>1465</c:v>
                </c:pt>
                <c:pt idx="229">
                  <c:v>1540</c:v>
                </c:pt>
                <c:pt idx="230">
                  <c:v>1694</c:v>
                </c:pt>
                <c:pt idx="231">
                  <c:v>766</c:v>
                </c:pt>
                <c:pt idx="232">
                  <c:v>1234</c:v>
                </c:pt>
                <c:pt idx="233">
                  <c:v>1836</c:v>
                </c:pt>
                <c:pt idx="234">
                  <c:v>2306</c:v>
                </c:pt>
                <c:pt idx="235">
                  <c:v>2474</c:v>
                </c:pt>
                <c:pt idx="236">
                  <c:v>2213</c:v>
                </c:pt>
                <c:pt idx="237">
                  <c:v>2314</c:v>
                </c:pt>
                <c:pt idx="238">
                  <c:v>973</c:v>
                </c:pt>
                <c:pt idx="239">
                  <c:v>1600</c:v>
                </c:pt>
                <c:pt idx="240">
                  <c:v>2241</c:v>
                </c:pt>
                <c:pt idx="241">
                  <c:v>2383</c:v>
                </c:pt>
                <c:pt idx="242">
                  <c:v>2398</c:v>
                </c:pt>
                <c:pt idx="243">
                  <c:v>2381</c:v>
                </c:pt>
                <c:pt idx="244">
                  <c:v>2441</c:v>
                </c:pt>
                <c:pt idx="245">
                  <c:v>1194</c:v>
                </c:pt>
                <c:pt idx="246">
                  <c:v>1328</c:v>
                </c:pt>
                <c:pt idx="247">
                  <c:v>2374</c:v>
                </c:pt>
                <c:pt idx="248">
                  <c:v>2413</c:v>
                </c:pt>
                <c:pt idx="249">
                  <c:v>2210</c:v>
                </c:pt>
                <c:pt idx="250">
                  <c:v>2476</c:v>
                </c:pt>
                <c:pt idx="251">
                  <c:v>2175</c:v>
                </c:pt>
                <c:pt idx="252">
                  <c:v>1042</c:v>
                </c:pt>
                <c:pt idx="253">
                  <c:v>1221</c:v>
                </c:pt>
                <c:pt idx="254">
                  <c:v>1861</c:v>
                </c:pt>
                <c:pt idx="255">
                  <c:v>2132</c:v>
                </c:pt>
                <c:pt idx="256">
                  <c:v>1703</c:v>
                </c:pt>
                <c:pt idx="257">
                  <c:v>1472</c:v>
                </c:pt>
                <c:pt idx="258">
                  <c:v>1482</c:v>
                </c:pt>
                <c:pt idx="259">
                  <c:v>549</c:v>
                </c:pt>
                <c:pt idx="260">
                  <c:v>984</c:v>
                </c:pt>
                <c:pt idx="261">
                  <c:v>1589</c:v>
                </c:pt>
                <c:pt idx="262">
                  <c:v>1520</c:v>
                </c:pt>
                <c:pt idx="263">
                  <c:v>1667</c:v>
                </c:pt>
                <c:pt idx="264">
                  <c:v>1193</c:v>
                </c:pt>
                <c:pt idx="265">
                  <c:v>1385</c:v>
                </c:pt>
                <c:pt idx="266">
                  <c:v>485</c:v>
                </c:pt>
                <c:pt idx="267">
                  <c:v>813</c:v>
                </c:pt>
                <c:pt idx="268">
                  <c:v>1563</c:v>
                </c:pt>
                <c:pt idx="269">
                  <c:v>1785</c:v>
                </c:pt>
                <c:pt idx="270">
                  <c:v>1476</c:v>
                </c:pt>
                <c:pt idx="271">
                  <c:v>1248</c:v>
                </c:pt>
                <c:pt idx="272">
                  <c:v>1174</c:v>
                </c:pt>
                <c:pt idx="273">
                  <c:v>356</c:v>
                </c:pt>
                <c:pt idx="274">
                  <c:v>843</c:v>
                </c:pt>
                <c:pt idx="275">
                  <c:v>1264</c:v>
                </c:pt>
                <c:pt idx="276">
                  <c:v>1277</c:v>
                </c:pt>
                <c:pt idx="277">
                  <c:v>1184</c:v>
                </c:pt>
                <c:pt idx="278">
                  <c:v>1267</c:v>
                </c:pt>
                <c:pt idx="279">
                  <c:v>978</c:v>
                </c:pt>
                <c:pt idx="280">
                  <c:v>407</c:v>
                </c:pt>
                <c:pt idx="281">
                  <c:v>584</c:v>
                </c:pt>
                <c:pt idx="282">
                  <c:v>1138</c:v>
                </c:pt>
                <c:pt idx="283">
                  <c:v>1174</c:v>
                </c:pt>
                <c:pt idx="284">
                  <c:v>1077</c:v>
                </c:pt>
                <c:pt idx="285">
                  <c:v>995</c:v>
                </c:pt>
                <c:pt idx="286">
                  <c:v>1013</c:v>
                </c:pt>
                <c:pt idx="287">
                  <c:v>357</c:v>
                </c:pt>
                <c:pt idx="288">
                  <c:v>438</c:v>
                </c:pt>
                <c:pt idx="289">
                  <c:v>1098</c:v>
                </c:pt>
                <c:pt idx="290">
                  <c:v>1174</c:v>
                </c:pt>
                <c:pt idx="291">
                  <c:v>861</c:v>
                </c:pt>
                <c:pt idx="292">
                  <c:v>920</c:v>
                </c:pt>
                <c:pt idx="293">
                  <c:v>652</c:v>
                </c:pt>
                <c:pt idx="294">
                  <c:v>240</c:v>
                </c:pt>
                <c:pt idx="295">
                  <c:v>537</c:v>
                </c:pt>
                <c:pt idx="296">
                  <c:v>838</c:v>
                </c:pt>
                <c:pt idx="297">
                  <c:v>702</c:v>
                </c:pt>
                <c:pt idx="298">
                  <c:v>621</c:v>
                </c:pt>
                <c:pt idx="299">
                  <c:v>586</c:v>
                </c:pt>
                <c:pt idx="300">
                  <c:v>485</c:v>
                </c:pt>
                <c:pt idx="301">
                  <c:v>114</c:v>
                </c:pt>
                <c:pt idx="302">
                  <c:v>348</c:v>
                </c:pt>
                <c:pt idx="303">
                  <c:v>582</c:v>
                </c:pt>
                <c:pt idx="304">
                  <c:v>531</c:v>
                </c:pt>
                <c:pt idx="305">
                  <c:v>329</c:v>
                </c:pt>
                <c:pt idx="306">
                  <c:v>60</c:v>
                </c:pt>
                <c:pt idx="307">
                  <c:v>229</c:v>
                </c:pt>
                <c:pt idx="308">
                  <c:v>193</c:v>
                </c:pt>
                <c:pt idx="309">
                  <c:v>324</c:v>
                </c:pt>
                <c:pt idx="310">
                  <c:v>309</c:v>
                </c:pt>
                <c:pt idx="311">
                  <c:v>201</c:v>
                </c:pt>
                <c:pt idx="312">
                  <c:v>361</c:v>
                </c:pt>
                <c:pt idx="313">
                  <c:v>379</c:v>
                </c:pt>
                <c:pt idx="314">
                  <c:v>337</c:v>
                </c:pt>
                <c:pt idx="315">
                  <c:v>157</c:v>
                </c:pt>
                <c:pt idx="316">
                  <c:v>355</c:v>
                </c:pt>
                <c:pt idx="317">
                  <c:v>485</c:v>
                </c:pt>
                <c:pt idx="318">
                  <c:v>448</c:v>
                </c:pt>
                <c:pt idx="319">
                  <c:v>396</c:v>
                </c:pt>
                <c:pt idx="320">
                  <c:v>263</c:v>
                </c:pt>
                <c:pt idx="321">
                  <c:v>351</c:v>
                </c:pt>
                <c:pt idx="322">
                  <c:v>90</c:v>
                </c:pt>
                <c:pt idx="323">
                  <c:v>236</c:v>
                </c:pt>
                <c:pt idx="324">
                  <c:v>309</c:v>
                </c:pt>
                <c:pt idx="325">
                  <c:v>307</c:v>
                </c:pt>
                <c:pt idx="326">
                  <c:v>183</c:v>
                </c:pt>
                <c:pt idx="327">
                  <c:v>198</c:v>
                </c:pt>
                <c:pt idx="328">
                  <c:v>127</c:v>
                </c:pt>
                <c:pt idx="329">
                  <c:v>58</c:v>
                </c:pt>
                <c:pt idx="330">
                  <c:v>138</c:v>
                </c:pt>
                <c:pt idx="331">
                  <c:v>195</c:v>
                </c:pt>
                <c:pt idx="332">
                  <c:v>242</c:v>
                </c:pt>
                <c:pt idx="333">
                  <c:v>59</c:v>
                </c:pt>
                <c:pt idx="334">
                  <c:v>173</c:v>
                </c:pt>
                <c:pt idx="335">
                  <c:v>125</c:v>
                </c:pt>
                <c:pt idx="336">
                  <c:v>62</c:v>
                </c:pt>
                <c:pt idx="337">
                  <c:v>143</c:v>
                </c:pt>
                <c:pt idx="338">
                  <c:v>190</c:v>
                </c:pt>
                <c:pt idx="339">
                  <c:v>147</c:v>
                </c:pt>
                <c:pt idx="340">
                  <c:v>158</c:v>
                </c:pt>
                <c:pt idx="341">
                  <c:v>211</c:v>
                </c:pt>
                <c:pt idx="342">
                  <c:v>151</c:v>
                </c:pt>
                <c:pt idx="343">
                  <c:v>89</c:v>
                </c:pt>
                <c:pt idx="344">
                  <c:v>123</c:v>
                </c:pt>
                <c:pt idx="345">
                  <c:v>196</c:v>
                </c:pt>
                <c:pt idx="346">
                  <c:v>180</c:v>
                </c:pt>
                <c:pt idx="347">
                  <c:v>154</c:v>
                </c:pt>
                <c:pt idx="348">
                  <c:v>192</c:v>
                </c:pt>
                <c:pt idx="349">
                  <c:v>145</c:v>
                </c:pt>
                <c:pt idx="350">
                  <c:v>88</c:v>
                </c:pt>
                <c:pt idx="351">
                  <c:v>136</c:v>
                </c:pt>
                <c:pt idx="352">
                  <c:v>206</c:v>
                </c:pt>
                <c:pt idx="353">
                  <c:v>223</c:v>
                </c:pt>
                <c:pt idx="354">
                  <c:v>191</c:v>
                </c:pt>
                <c:pt idx="355">
                  <c:v>223</c:v>
                </c:pt>
                <c:pt idx="356">
                  <c:v>168</c:v>
                </c:pt>
                <c:pt idx="357">
                  <c:v>104</c:v>
                </c:pt>
                <c:pt idx="358">
                  <c:v>166</c:v>
                </c:pt>
                <c:pt idx="359">
                  <c:v>273</c:v>
                </c:pt>
                <c:pt idx="360">
                  <c:v>282</c:v>
                </c:pt>
                <c:pt idx="361">
                  <c:v>283</c:v>
                </c:pt>
                <c:pt idx="362">
                  <c:v>283</c:v>
                </c:pt>
                <c:pt idx="363">
                  <c:v>265</c:v>
                </c:pt>
                <c:pt idx="364">
                  <c:v>158</c:v>
                </c:pt>
                <c:pt idx="365">
                  <c:v>240</c:v>
                </c:pt>
                <c:pt idx="366">
                  <c:v>360</c:v>
                </c:pt>
                <c:pt idx="367">
                  <c:v>491</c:v>
                </c:pt>
                <c:pt idx="368">
                  <c:v>442</c:v>
                </c:pt>
                <c:pt idx="369">
                  <c:v>508</c:v>
                </c:pt>
                <c:pt idx="370">
                  <c:v>422</c:v>
                </c:pt>
                <c:pt idx="371">
                  <c:v>337</c:v>
                </c:pt>
                <c:pt idx="372">
                  <c:v>182</c:v>
                </c:pt>
                <c:pt idx="373">
                  <c:v>340</c:v>
                </c:pt>
                <c:pt idx="374">
                  <c:v>748</c:v>
                </c:pt>
                <c:pt idx="375">
                  <c:v>818</c:v>
                </c:pt>
                <c:pt idx="376">
                  <c:v>795</c:v>
                </c:pt>
                <c:pt idx="377">
                  <c:v>486</c:v>
                </c:pt>
                <c:pt idx="378">
                  <c:v>317</c:v>
                </c:pt>
                <c:pt idx="379">
                  <c:v>585</c:v>
                </c:pt>
                <c:pt idx="380">
                  <c:v>854</c:v>
                </c:pt>
                <c:pt idx="381">
                  <c:v>1024</c:v>
                </c:pt>
                <c:pt idx="382">
                  <c:v>891</c:v>
                </c:pt>
                <c:pt idx="383">
                  <c:v>1071</c:v>
                </c:pt>
                <c:pt idx="384">
                  <c:v>586</c:v>
                </c:pt>
                <c:pt idx="385">
                  <c:v>506</c:v>
                </c:pt>
                <c:pt idx="386">
                  <c:v>801</c:v>
                </c:pt>
                <c:pt idx="387">
                  <c:v>1164</c:v>
                </c:pt>
                <c:pt idx="388">
                  <c:v>1257</c:v>
                </c:pt>
                <c:pt idx="389">
                  <c:v>1005</c:v>
                </c:pt>
                <c:pt idx="390">
                  <c:v>1094</c:v>
                </c:pt>
                <c:pt idx="391">
                  <c:v>777</c:v>
                </c:pt>
                <c:pt idx="392">
                  <c:v>424</c:v>
                </c:pt>
                <c:pt idx="393">
                  <c:v>750</c:v>
                </c:pt>
                <c:pt idx="394">
                  <c:v>1148</c:v>
                </c:pt>
                <c:pt idx="395">
                  <c:v>1097</c:v>
                </c:pt>
                <c:pt idx="396">
                  <c:v>1116</c:v>
                </c:pt>
                <c:pt idx="397">
                  <c:v>1192</c:v>
                </c:pt>
                <c:pt idx="398">
                  <c:v>590</c:v>
                </c:pt>
                <c:pt idx="399">
                  <c:v>479</c:v>
                </c:pt>
                <c:pt idx="400">
                  <c:v>760</c:v>
                </c:pt>
                <c:pt idx="401">
                  <c:v>1025</c:v>
                </c:pt>
                <c:pt idx="402">
                  <c:v>1231</c:v>
                </c:pt>
                <c:pt idx="403">
                  <c:v>1029</c:v>
                </c:pt>
                <c:pt idx="404">
                  <c:v>1009</c:v>
                </c:pt>
                <c:pt idx="405">
                  <c:v>650</c:v>
                </c:pt>
                <c:pt idx="406">
                  <c:v>510</c:v>
                </c:pt>
                <c:pt idx="407">
                  <c:v>726</c:v>
                </c:pt>
                <c:pt idx="408">
                  <c:v>1075</c:v>
                </c:pt>
                <c:pt idx="409">
                  <c:v>1014</c:v>
                </c:pt>
                <c:pt idx="410">
                  <c:v>961</c:v>
                </c:pt>
                <c:pt idx="411">
                  <c:v>870</c:v>
                </c:pt>
                <c:pt idx="412">
                  <c:v>547</c:v>
                </c:pt>
                <c:pt idx="413">
                  <c:v>298</c:v>
                </c:pt>
                <c:pt idx="414">
                  <c:v>667</c:v>
                </c:pt>
                <c:pt idx="415">
                  <c:v>1033</c:v>
                </c:pt>
                <c:pt idx="416">
                  <c:v>881</c:v>
                </c:pt>
                <c:pt idx="417">
                  <c:v>715</c:v>
                </c:pt>
                <c:pt idx="418">
                  <c:v>764</c:v>
                </c:pt>
                <c:pt idx="419">
                  <c:v>410</c:v>
                </c:pt>
                <c:pt idx="420">
                  <c:v>181</c:v>
                </c:pt>
                <c:pt idx="421">
                  <c:v>595</c:v>
                </c:pt>
                <c:pt idx="422">
                  <c:v>808</c:v>
                </c:pt>
                <c:pt idx="423">
                  <c:v>656</c:v>
                </c:pt>
                <c:pt idx="424">
                  <c:v>536</c:v>
                </c:pt>
                <c:pt idx="425">
                  <c:v>532</c:v>
                </c:pt>
                <c:pt idx="426">
                  <c:v>267</c:v>
                </c:pt>
                <c:pt idx="427">
                  <c:v>145</c:v>
                </c:pt>
                <c:pt idx="428">
                  <c:v>399</c:v>
                </c:pt>
                <c:pt idx="429">
                  <c:v>493</c:v>
                </c:pt>
                <c:pt idx="430">
                  <c:v>425</c:v>
                </c:pt>
                <c:pt idx="431">
                  <c:v>356</c:v>
                </c:pt>
                <c:pt idx="432">
                  <c:v>411</c:v>
                </c:pt>
                <c:pt idx="433">
                  <c:v>178</c:v>
                </c:pt>
                <c:pt idx="434">
                  <c:v>83</c:v>
                </c:pt>
                <c:pt idx="435">
                  <c:v>243</c:v>
                </c:pt>
                <c:pt idx="436">
                  <c:v>354</c:v>
                </c:pt>
                <c:pt idx="437">
                  <c:v>267</c:v>
                </c:pt>
                <c:pt idx="438">
                  <c:v>230</c:v>
                </c:pt>
                <c:pt idx="439">
                  <c:v>282</c:v>
                </c:pt>
                <c:pt idx="440">
                  <c:v>131</c:v>
                </c:pt>
                <c:pt idx="441">
                  <c:v>67</c:v>
                </c:pt>
                <c:pt idx="442">
                  <c:v>212</c:v>
                </c:pt>
                <c:pt idx="443">
                  <c:v>229</c:v>
                </c:pt>
                <c:pt idx="444">
                  <c:v>191</c:v>
                </c:pt>
                <c:pt idx="445">
                  <c:v>140</c:v>
                </c:pt>
                <c:pt idx="446">
                  <c:v>181</c:v>
                </c:pt>
                <c:pt idx="447">
                  <c:v>68</c:v>
                </c:pt>
                <c:pt idx="448">
                  <c:v>34</c:v>
                </c:pt>
                <c:pt idx="449">
                  <c:v>157</c:v>
                </c:pt>
                <c:pt idx="450">
                  <c:v>130</c:v>
                </c:pt>
                <c:pt idx="451">
                  <c:v>140</c:v>
                </c:pt>
                <c:pt idx="452">
                  <c:v>104</c:v>
                </c:pt>
                <c:pt idx="453">
                  <c:v>42</c:v>
                </c:pt>
                <c:pt idx="454">
                  <c:v>81</c:v>
                </c:pt>
                <c:pt idx="455">
                  <c:v>34</c:v>
                </c:pt>
                <c:pt idx="456">
                  <c:v>108</c:v>
                </c:pt>
                <c:pt idx="457">
                  <c:v>92</c:v>
                </c:pt>
                <c:pt idx="458">
                  <c:v>108</c:v>
                </c:pt>
                <c:pt idx="459">
                  <c:v>72</c:v>
                </c:pt>
                <c:pt idx="460">
                  <c:v>93</c:v>
                </c:pt>
                <c:pt idx="461">
                  <c:v>37</c:v>
                </c:pt>
                <c:pt idx="462">
                  <c:v>32</c:v>
                </c:pt>
                <c:pt idx="463">
                  <c:v>73</c:v>
                </c:pt>
                <c:pt idx="464">
                  <c:v>99</c:v>
                </c:pt>
                <c:pt idx="465">
                  <c:v>76</c:v>
                </c:pt>
                <c:pt idx="466">
                  <c:v>95</c:v>
                </c:pt>
                <c:pt idx="467">
                  <c:v>88</c:v>
                </c:pt>
                <c:pt idx="468">
                  <c:v>39</c:v>
                </c:pt>
                <c:pt idx="469">
                  <c:v>41</c:v>
                </c:pt>
                <c:pt idx="470">
                  <c:v>82</c:v>
                </c:pt>
                <c:pt idx="471">
                  <c:v>99</c:v>
                </c:pt>
                <c:pt idx="472">
                  <c:v>96</c:v>
                </c:pt>
                <c:pt idx="473">
                  <c:v>86</c:v>
                </c:pt>
                <c:pt idx="474">
                  <c:v>81</c:v>
                </c:pt>
                <c:pt idx="475">
                  <c:v>60</c:v>
                </c:pt>
                <c:pt idx="476">
                  <c:v>26</c:v>
                </c:pt>
                <c:pt idx="477">
                  <c:v>77</c:v>
                </c:pt>
                <c:pt idx="478">
                  <c:v>100</c:v>
                </c:pt>
                <c:pt idx="479">
                  <c:v>103</c:v>
                </c:pt>
                <c:pt idx="480">
                  <c:v>102</c:v>
                </c:pt>
                <c:pt idx="481">
                  <c:v>93</c:v>
                </c:pt>
                <c:pt idx="482">
                  <c:v>69</c:v>
                </c:pt>
                <c:pt idx="483">
                  <c:v>54</c:v>
                </c:pt>
                <c:pt idx="484">
                  <c:v>116</c:v>
                </c:pt>
                <c:pt idx="485">
                  <c:v>128</c:v>
                </c:pt>
                <c:pt idx="486">
                  <c:v>126</c:v>
                </c:pt>
                <c:pt idx="487">
                  <c:v>118</c:v>
                </c:pt>
                <c:pt idx="488">
                  <c:v>125</c:v>
                </c:pt>
                <c:pt idx="489">
                  <c:v>89</c:v>
                </c:pt>
                <c:pt idx="490">
                  <c:v>53</c:v>
                </c:pt>
                <c:pt idx="491">
                  <c:v>55</c:v>
                </c:pt>
                <c:pt idx="492">
                  <c:v>140</c:v>
                </c:pt>
                <c:pt idx="493">
                  <c:v>186</c:v>
                </c:pt>
                <c:pt idx="494">
                  <c:v>148</c:v>
                </c:pt>
                <c:pt idx="495">
                  <c:v>150</c:v>
                </c:pt>
                <c:pt idx="496">
                  <c:v>103</c:v>
                </c:pt>
                <c:pt idx="497">
                  <c:v>71</c:v>
                </c:pt>
                <c:pt idx="498">
                  <c:v>138</c:v>
                </c:pt>
                <c:pt idx="499">
                  <c:v>189</c:v>
                </c:pt>
                <c:pt idx="500">
                  <c:v>163</c:v>
                </c:pt>
                <c:pt idx="501">
                  <c:v>162</c:v>
                </c:pt>
                <c:pt idx="502">
                  <c:v>187</c:v>
                </c:pt>
                <c:pt idx="503">
                  <c:v>132</c:v>
                </c:pt>
                <c:pt idx="504">
                  <c:v>92</c:v>
                </c:pt>
                <c:pt idx="505">
                  <c:v>194</c:v>
                </c:pt>
                <c:pt idx="506">
                  <c:v>220</c:v>
                </c:pt>
                <c:pt idx="507">
                  <c:v>225</c:v>
                </c:pt>
                <c:pt idx="508">
                  <c:v>221</c:v>
                </c:pt>
                <c:pt idx="509">
                  <c:v>250</c:v>
                </c:pt>
                <c:pt idx="510">
                  <c:v>166</c:v>
                </c:pt>
                <c:pt idx="511">
                  <c:v>112</c:v>
                </c:pt>
                <c:pt idx="512">
                  <c:v>180</c:v>
                </c:pt>
                <c:pt idx="513">
                  <c:v>280</c:v>
                </c:pt>
                <c:pt idx="514">
                  <c:v>233</c:v>
                </c:pt>
                <c:pt idx="515">
                  <c:v>264</c:v>
                </c:pt>
                <c:pt idx="516">
                  <c:v>243</c:v>
                </c:pt>
                <c:pt idx="517">
                  <c:v>229</c:v>
                </c:pt>
                <c:pt idx="518">
                  <c:v>137</c:v>
                </c:pt>
                <c:pt idx="519">
                  <c:v>237</c:v>
                </c:pt>
                <c:pt idx="520">
                  <c:v>280</c:v>
                </c:pt>
                <c:pt idx="521">
                  <c:v>329</c:v>
                </c:pt>
                <c:pt idx="522">
                  <c:v>303</c:v>
                </c:pt>
                <c:pt idx="523">
                  <c:v>298</c:v>
                </c:pt>
                <c:pt idx="524">
                  <c:v>234</c:v>
                </c:pt>
                <c:pt idx="525">
                  <c:v>140</c:v>
                </c:pt>
                <c:pt idx="526">
                  <c:v>313</c:v>
                </c:pt>
                <c:pt idx="527">
                  <c:v>391</c:v>
                </c:pt>
                <c:pt idx="528">
                  <c:v>399</c:v>
                </c:pt>
                <c:pt idx="529">
                  <c:v>397</c:v>
                </c:pt>
                <c:pt idx="530">
                  <c:v>430</c:v>
                </c:pt>
                <c:pt idx="531">
                  <c:v>331</c:v>
                </c:pt>
                <c:pt idx="532">
                  <c:v>256</c:v>
                </c:pt>
                <c:pt idx="533">
                  <c:v>357</c:v>
                </c:pt>
                <c:pt idx="534">
                  <c:v>504</c:v>
                </c:pt>
                <c:pt idx="535">
                  <c:v>559</c:v>
                </c:pt>
                <c:pt idx="536">
                  <c:v>508</c:v>
                </c:pt>
                <c:pt idx="537">
                  <c:v>507</c:v>
                </c:pt>
                <c:pt idx="538">
                  <c:v>385</c:v>
                </c:pt>
                <c:pt idx="539">
                  <c:v>251</c:v>
                </c:pt>
                <c:pt idx="540">
                  <c:v>537</c:v>
                </c:pt>
                <c:pt idx="541">
                  <c:v>634</c:v>
                </c:pt>
                <c:pt idx="542">
                  <c:v>683</c:v>
                </c:pt>
                <c:pt idx="543">
                  <c:v>522</c:v>
                </c:pt>
                <c:pt idx="544">
                  <c:v>692</c:v>
                </c:pt>
                <c:pt idx="545">
                  <c:v>383</c:v>
                </c:pt>
                <c:pt idx="546">
                  <c:v>275</c:v>
                </c:pt>
                <c:pt idx="547">
                  <c:v>524</c:v>
                </c:pt>
                <c:pt idx="548">
                  <c:v>615</c:v>
                </c:pt>
                <c:pt idx="549">
                  <c:v>636</c:v>
                </c:pt>
                <c:pt idx="550">
                  <c:v>595</c:v>
                </c:pt>
                <c:pt idx="551">
                  <c:v>621</c:v>
                </c:pt>
                <c:pt idx="552">
                  <c:v>423</c:v>
                </c:pt>
                <c:pt idx="553">
                  <c:v>239</c:v>
                </c:pt>
                <c:pt idx="554">
                  <c:v>501</c:v>
                </c:pt>
                <c:pt idx="555">
                  <c:v>645</c:v>
                </c:pt>
                <c:pt idx="556">
                  <c:v>587</c:v>
                </c:pt>
                <c:pt idx="557">
                  <c:v>669</c:v>
                </c:pt>
                <c:pt idx="558">
                  <c:v>731</c:v>
                </c:pt>
                <c:pt idx="559">
                  <c:v>453</c:v>
                </c:pt>
                <c:pt idx="560">
                  <c:v>296</c:v>
                </c:pt>
                <c:pt idx="561">
                  <c:v>657</c:v>
                </c:pt>
                <c:pt idx="562">
                  <c:v>756</c:v>
                </c:pt>
                <c:pt idx="563">
                  <c:v>764</c:v>
                </c:pt>
                <c:pt idx="564">
                  <c:v>759</c:v>
                </c:pt>
                <c:pt idx="565">
                  <c:v>1011</c:v>
                </c:pt>
                <c:pt idx="566">
                  <c:v>507</c:v>
                </c:pt>
                <c:pt idx="567">
                  <c:v>342</c:v>
                </c:pt>
                <c:pt idx="568">
                  <c:v>494</c:v>
                </c:pt>
                <c:pt idx="569">
                  <c:v>273</c:v>
                </c:pt>
                <c:pt idx="570">
                  <c:v>939</c:v>
                </c:pt>
                <c:pt idx="571">
                  <c:v>906</c:v>
                </c:pt>
                <c:pt idx="572">
                  <c:v>1066</c:v>
                </c:pt>
                <c:pt idx="573">
                  <c:v>925</c:v>
                </c:pt>
              </c:numCache>
            </c:numRef>
          </c:val>
          <c:extLst>
            <c:ext xmlns:c16="http://schemas.microsoft.com/office/drawing/2014/chart" uri="{C3380CC4-5D6E-409C-BE32-E72D297353CC}">
              <c16:uniqueId val="{00000000-84B7-4149-A279-37B7FE028514}"/>
            </c:ext>
          </c:extLst>
        </c:ser>
        <c:dLbls>
          <c:showLegendKey val="0"/>
          <c:showVal val="0"/>
          <c:showCatName val="0"/>
          <c:showSerName val="0"/>
          <c:showPercent val="0"/>
          <c:showBubbleSize val="0"/>
        </c:dLbls>
        <c:gapWidth val="150"/>
        <c:axId val="319403136"/>
        <c:axId val="316849536"/>
      </c:barChart>
      <c:lineChart>
        <c:grouping val="standard"/>
        <c:varyColors val="0"/>
        <c:ser>
          <c:idx val="0"/>
          <c:order val="0"/>
          <c:tx>
            <c:strRef>
              <c:f>Sheet1!$B$1</c:f>
              <c:strCache>
                <c:ptCount val="1"/>
                <c:pt idx="0">
                  <c:v>Հաստատված դեպքերը (ընդհանուր)</c:v>
                </c:pt>
              </c:strCache>
            </c:strRef>
          </c:tx>
          <c:spPr>
            <a:ln w="22225" cap="rnd" cmpd="sng" algn="ctr">
              <a:solidFill>
                <a:schemeClr val="accent1"/>
              </a:solidFill>
              <a:round/>
            </a:ln>
            <a:effectLst/>
          </c:spPr>
          <c:marker>
            <c:symbol val="none"/>
          </c:marker>
          <c:cat>
            <c:strRef>
              <c:f>Sheet1!$A$2:$A$575</c:f>
              <c:strCache>
                <c:ptCount val="549"/>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strCache>
            </c:strRef>
          </c:cat>
          <c:val>
            <c:numRef>
              <c:f>Sheet1!$B$2:$B$575</c:f>
              <c:numCache>
                <c:formatCode>General</c:formatCode>
                <c:ptCount val="574"/>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pt idx="269">
                  <c:v>130870</c:v>
                </c:pt>
                <c:pt idx="270">
                  <c:v>132346</c:v>
                </c:pt>
                <c:pt idx="271">
                  <c:v>133594</c:v>
                </c:pt>
                <c:pt idx="272">
                  <c:v>134768</c:v>
                </c:pt>
                <c:pt idx="273">
                  <c:v>135124</c:v>
                </c:pt>
                <c:pt idx="274">
                  <c:v>135967</c:v>
                </c:pt>
                <c:pt idx="275">
                  <c:v>137231</c:v>
                </c:pt>
                <c:pt idx="276">
                  <c:v>138508</c:v>
                </c:pt>
                <c:pt idx="277">
                  <c:v>139692</c:v>
                </c:pt>
                <c:pt idx="278">
                  <c:v>140959</c:v>
                </c:pt>
                <c:pt idx="279">
                  <c:v>141937</c:v>
                </c:pt>
                <c:pt idx="280">
                  <c:v>142344</c:v>
                </c:pt>
                <c:pt idx="281">
                  <c:v>142928</c:v>
                </c:pt>
                <c:pt idx="282">
                  <c:v>144066</c:v>
                </c:pt>
                <c:pt idx="283">
                  <c:v>145240</c:v>
                </c:pt>
                <c:pt idx="284">
                  <c:v>146317</c:v>
                </c:pt>
                <c:pt idx="285">
                  <c:v>147312</c:v>
                </c:pt>
                <c:pt idx="286">
                  <c:v>148325</c:v>
                </c:pt>
                <c:pt idx="287">
                  <c:v>148682</c:v>
                </c:pt>
                <c:pt idx="288">
                  <c:v>149120</c:v>
                </c:pt>
                <c:pt idx="289">
                  <c:v>150218</c:v>
                </c:pt>
                <c:pt idx="290">
                  <c:v>151392</c:v>
                </c:pt>
                <c:pt idx="291">
                  <c:v>152253</c:v>
                </c:pt>
                <c:pt idx="292">
                  <c:v>153173</c:v>
                </c:pt>
                <c:pt idx="293">
                  <c:v>153825</c:v>
                </c:pt>
                <c:pt idx="294">
                  <c:v>154065</c:v>
                </c:pt>
                <c:pt idx="295">
                  <c:v>154602</c:v>
                </c:pt>
                <c:pt idx="296">
                  <c:v>155440</c:v>
                </c:pt>
                <c:pt idx="297">
                  <c:v>156142</c:v>
                </c:pt>
                <c:pt idx="298">
                  <c:v>156763</c:v>
                </c:pt>
                <c:pt idx="299">
                  <c:v>157349</c:v>
                </c:pt>
                <c:pt idx="300">
                  <c:v>157834</c:v>
                </c:pt>
                <c:pt idx="301">
                  <c:v>157948</c:v>
                </c:pt>
                <c:pt idx="302">
                  <c:v>158296</c:v>
                </c:pt>
                <c:pt idx="303">
                  <c:v>158878</c:v>
                </c:pt>
                <c:pt idx="304">
                  <c:v>159409</c:v>
                </c:pt>
                <c:pt idx="305">
                  <c:v>159738</c:v>
                </c:pt>
                <c:pt idx="306">
                  <c:v>159798</c:v>
                </c:pt>
                <c:pt idx="307">
                  <c:v>160027</c:v>
                </c:pt>
                <c:pt idx="308">
                  <c:v>160220</c:v>
                </c:pt>
                <c:pt idx="309">
                  <c:v>160544</c:v>
                </c:pt>
                <c:pt idx="310">
                  <c:v>160853</c:v>
                </c:pt>
                <c:pt idx="311">
                  <c:v>161054</c:v>
                </c:pt>
                <c:pt idx="312">
                  <c:v>161415</c:v>
                </c:pt>
                <c:pt idx="313">
                  <c:v>161794</c:v>
                </c:pt>
                <c:pt idx="314">
                  <c:v>162131</c:v>
                </c:pt>
                <c:pt idx="315">
                  <c:v>162288</c:v>
                </c:pt>
                <c:pt idx="316">
                  <c:v>162643</c:v>
                </c:pt>
                <c:pt idx="317">
                  <c:v>163128</c:v>
                </c:pt>
                <c:pt idx="318">
                  <c:v>163576</c:v>
                </c:pt>
                <c:pt idx="319">
                  <c:v>163972</c:v>
                </c:pt>
                <c:pt idx="320">
                  <c:v>164235</c:v>
                </c:pt>
                <c:pt idx="321">
                  <c:v>164586</c:v>
                </c:pt>
                <c:pt idx="322">
                  <c:v>164676</c:v>
                </c:pt>
                <c:pt idx="323">
                  <c:v>164912</c:v>
                </c:pt>
                <c:pt idx="324">
                  <c:v>165221</c:v>
                </c:pt>
                <c:pt idx="325">
                  <c:v>165528</c:v>
                </c:pt>
                <c:pt idx="326">
                  <c:v>165711</c:v>
                </c:pt>
                <c:pt idx="327">
                  <c:v>165909</c:v>
                </c:pt>
                <c:pt idx="328">
                  <c:v>166036</c:v>
                </c:pt>
                <c:pt idx="329">
                  <c:v>166094</c:v>
                </c:pt>
                <c:pt idx="330">
                  <c:v>166232</c:v>
                </c:pt>
                <c:pt idx="331">
                  <c:v>166427</c:v>
                </c:pt>
                <c:pt idx="332">
                  <c:v>166669</c:v>
                </c:pt>
                <c:pt idx="333">
                  <c:v>166728</c:v>
                </c:pt>
                <c:pt idx="334">
                  <c:v>166901</c:v>
                </c:pt>
                <c:pt idx="335">
                  <c:v>167026</c:v>
                </c:pt>
                <c:pt idx="336">
                  <c:v>167088</c:v>
                </c:pt>
                <c:pt idx="337">
                  <c:v>167231</c:v>
                </c:pt>
                <c:pt idx="338">
                  <c:v>167421</c:v>
                </c:pt>
                <c:pt idx="339">
                  <c:v>167568</c:v>
                </c:pt>
                <c:pt idx="340">
                  <c:v>167726</c:v>
                </c:pt>
                <c:pt idx="341">
                  <c:v>167937</c:v>
                </c:pt>
                <c:pt idx="342">
                  <c:v>168088</c:v>
                </c:pt>
                <c:pt idx="343">
                  <c:v>168177</c:v>
                </c:pt>
                <c:pt idx="344">
                  <c:v>168300</c:v>
                </c:pt>
                <c:pt idx="345">
                  <c:v>168496</c:v>
                </c:pt>
                <c:pt idx="346">
                  <c:v>168676</c:v>
                </c:pt>
                <c:pt idx="347">
                  <c:v>168830</c:v>
                </c:pt>
                <c:pt idx="348">
                  <c:v>169022</c:v>
                </c:pt>
                <c:pt idx="349">
                  <c:v>169167</c:v>
                </c:pt>
                <c:pt idx="350">
                  <c:v>169255</c:v>
                </c:pt>
                <c:pt idx="351">
                  <c:v>169391</c:v>
                </c:pt>
                <c:pt idx="352">
                  <c:v>169597</c:v>
                </c:pt>
                <c:pt idx="353">
                  <c:v>169820</c:v>
                </c:pt>
                <c:pt idx="354">
                  <c:v>170011</c:v>
                </c:pt>
                <c:pt idx="355">
                  <c:v>170234</c:v>
                </c:pt>
                <c:pt idx="356">
                  <c:v>170402</c:v>
                </c:pt>
                <c:pt idx="357">
                  <c:v>170506</c:v>
                </c:pt>
                <c:pt idx="358">
                  <c:v>170672</c:v>
                </c:pt>
                <c:pt idx="359">
                  <c:v>170945</c:v>
                </c:pt>
                <c:pt idx="360">
                  <c:v>171227</c:v>
                </c:pt>
                <c:pt idx="361">
                  <c:v>171510</c:v>
                </c:pt>
                <c:pt idx="362">
                  <c:v>171793</c:v>
                </c:pt>
                <c:pt idx="363">
                  <c:v>172058</c:v>
                </c:pt>
                <c:pt idx="364">
                  <c:v>172216</c:v>
                </c:pt>
                <c:pt idx="365">
                  <c:v>172456</c:v>
                </c:pt>
                <c:pt idx="366">
                  <c:v>172816</c:v>
                </c:pt>
                <c:pt idx="367">
                  <c:v>173307</c:v>
                </c:pt>
                <c:pt idx="368">
                  <c:v>173749</c:v>
                </c:pt>
                <c:pt idx="369">
                  <c:v>174257</c:v>
                </c:pt>
                <c:pt idx="370">
                  <c:v>174679</c:v>
                </c:pt>
                <c:pt idx="371">
                  <c:v>175016</c:v>
                </c:pt>
                <c:pt idx="372">
                  <c:v>175198</c:v>
                </c:pt>
                <c:pt idx="373">
                  <c:v>175538</c:v>
                </c:pt>
                <c:pt idx="374">
                  <c:v>176286</c:v>
                </c:pt>
                <c:pt idx="375">
                  <c:v>177104</c:v>
                </c:pt>
                <c:pt idx="376">
                  <c:v>177899</c:v>
                </c:pt>
                <c:pt idx="377">
                  <c:v>178385</c:v>
                </c:pt>
                <c:pt idx="378">
                  <c:v>178702</c:v>
                </c:pt>
                <c:pt idx="379">
                  <c:v>179287</c:v>
                </c:pt>
                <c:pt idx="380">
                  <c:v>180141</c:v>
                </c:pt>
                <c:pt idx="381">
                  <c:v>181165</c:v>
                </c:pt>
                <c:pt idx="382">
                  <c:v>182056</c:v>
                </c:pt>
                <c:pt idx="383">
                  <c:v>183127</c:v>
                </c:pt>
                <c:pt idx="384">
                  <c:v>183713</c:v>
                </c:pt>
                <c:pt idx="385">
                  <c:v>184219</c:v>
                </c:pt>
                <c:pt idx="386">
                  <c:v>185020</c:v>
                </c:pt>
                <c:pt idx="387">
                  <c:v>186184</c:v>
                </c:pt>
                <c:pt idx="388">
                  <c:v>187441</c:v>
                </c:pt>
                <c:pt idx="389">
                  <c:v>188446</c:v>
                </c:pt>
                <c:pt idx="390">
                  <c:v>189540</c:v>
                </c:pt>
                <c:pt idx="391">
                  <c:v>190317</c:v>
                </c:pt>
                <c:pt idx="392">
                  <c:v>190741</c:v>
                </c:pt>
                <c:pt idx="393">
                  <c:v>191491</c:v>
                </c:pt>
                <c:pt idx="394">
                  <c:v>192639</c:v>
                </c:pt>
                <c:pt idx="395">
                  <c:v>193736</c:v>
                </c:pt>
                <c:pt idx="396">
                  <c:v>194852</c:v>
                </c:pt>
                <c:pt idx="397">
                  <c:v>196044</c:v>
                </c:pt>
                <c:pt idx="398">
                  <c:v>196634</c:v>
                </c:pt>
                <c:pt idx="399">
                  <c:v>197113</c:v>
                </c:pt>
                <c:pt idx="400">
                  <c:v>197873</c:v>
                </c:pt>
                <c:pt idx="401">
                  <c:v>198898</c:v>
                </c:pt>
                <c:pt idx="402">
                  <c:v>200129</c:v>
                </c:pt>
                <c:pt idx="403">
                  <c:v>201158</c:v>
                </c:pt>
                <c:pt idx="404">
                  <c:v>202167</c:v>
                </c:pt>
                <c:pt idx="405">
                  <c:v>202817</c:v>
                </c:pt>
                <c:pt idx="406">
                  <c:v>203327</c:v>
                </c:pt>
                <c:pt idx="407">
                  <c:v>204053</c:v>
                </c:pt>
                <c:pt idx="408">
                  <c:v>205128</c:v>
                </c:pt>
                <c:pt idx="409">
                  <c:v>206142</c:v>
                </c:pt>
                <c:pt idx="410">
                  <c:v>207103</c:v>
                </c:pt>
                <c:pt idx="411">
                  <c:v>207973</c:v>
                </c:pt>
                <c:pt idx="412">
                  <c:v>208520</c:v>
                </c:pt>
                <c:pt idx="413">
                  <c:v>208818</c:v>
                </c:pt>
                <c:pt idx="414">
                  <c:v>209485</c:v>
                </c:pt>
                <c:pt idx="415">
                  <c:v>210518</c:v>
                </c:pt>
                <c:pt idx="416">
                  <c:v>211399</c:v>
                </c:pt>
                <c:pt idx="417">
                  <c:v>212114</c:v>
                </c:pt>
                <c:pt idx="418">
                  <c:v>212878</c:v>
                </c:pt>
                <c:pt idx="419">
                  <c:v>213288</c:v>
                </c:pt>
                <c:pt idx="420">
                  <c:v>213469</c:v>
                </c:pt>
                <c:pt idx="421">
                  <c:v>214064</c:v>
                </c:pt>
                <c:pt idx="422">
                  <c:v>214872</c:v>
                </c:pt>
                <c:pt idx="423">
                  <c:v>215528</c:v>
                </c:pt>
                <c:pt idx="424">
                  <c:v>216064</c:v>
                </c:pt>
                <c:pt idx="425">
                  <c:v>216596</c:v>
                </c:pt>
                <c:pt idx="426">
                  <c:v>216863</c:v>
                </c:pt>
                <c:pt idx="427">
                  <c:v>217008</c:v>
                </c:pt>
                <c:pt idx="428">
                  <c:v>217407</c:v>
                </c:pt>
                <c:pt idx="429">
                  <c:v>217900</c:v>
                </c:pt>
                <c:pt idx="430">
                  <c:v>218325</c:v>
                </c:pt>
                <c:pt idx="431">
                  <c:v>218681</c:v>
                </c:pt>
                <c:pt idx="432">
                  <c:v>219092</c:v>
                </c:pt>
                <c:pt idx="433">
                  <c:v>219270</c:v>
                </c:pt>
                <c:pt idx="434">
                  <c:v>219353</c:v>
                </c:pt>
                <c:pt idx="435">
                  <c:v>219596</c:v>
                </c:pt>
                <c:pt idx="436">
                  <c:v>219950</c:v>
                </c:pt>
                <c:pt idx="437">
                  <c:v>220217</c:v>
                </c:pt>
                <c:pt idx="438">
                  <c:v>220447</c:v>
                </c:pt>
                <c:pt idx="439">
                  <c:v>220729</c:v>
                </c:pt>
                <c:pt idx="440">
                  <c:v>220860</c:v>
                </c:pt>
                <c:pt idx="441">
                  <c:v>220927</c:v>
                </c:pt>
                <c:pt idx="442">
                  <c:v>221139</c:v>
                </c:pt>
                <c:pt idx="443">
                  <c:v>221368</c:v>
                </c:pt>
                <c:pt idx="444">
                  <c:v>221559</c:v>
                </c:pt>
                <c:pt idx="445">
                  <c:v>221699</c:v>
                </c:pt>
                <c:pt idx="446">
                  <c:v>221880</c:v>
                </c:pt>
                <c:pt idx="447">
                  <c:v>221948</c:v>
                </c:pt>
                <c:pt idx="448">
                  <c:v>221982</c:v>
                </c:pt>
                <c:pt idx="449">
                  <c:v>222139</c:v>
                </c:pt>
                <c:pt idx="450">
                  <c:v>222269</c:v>
                </c:pt>
                <c:pt idx="451">
                  <c:v>222409</c:v>
                </c:pt>
                <c:pt idx="452">
                  <c:v>222513</c:v>
                </c:pt>
                <c:pt idx="453">
                  <c:v>222555</c:v>
                </c:pt>
                <c:pt idx="454">
                  <c:v>222636</c:v>
                </c:pt>
                <c:pt idx="455">
                  <c:v>222670</c:v>
                </c:pt>
                <c:pt idx="456">
                  <c:v>222778</c:v>
                </c:pt>
                <c:pt idx="457">
                  <c:v>222870</c:v>
                </c:pt>
                <c:pt idx="458">
                  <c:v>222978</c:v>
                </c:pt>
                <c:pt idx="459">
                  <c:v>223050</c:v>
                </c:pt>
                <c:pt idx="460">
                  <c:v>223143</c:v>
                </c:pt>
                <c:pt idx="461">
                  <c:v>223180</c:v>
                </c:pt>
                <c:pt idx="462">
                  <c:v>223212</c:v>
                </c:pt>
                <c:pt idx="463">
                  <c:v>223285</c:v>
                </c:pt>
                <c:pt idx="464">
                  <c:v>223384</c:v>
                </c:pt>
                <c:pt idx="465">
                  <c:v>223460</c:v>
                </c:pt>
                <c:pt idx="466">
                  <c:v>223555</c:v>
                </c:pt>
                <c:pt idx="467">
                  <c:v>223643</c:v>
                </c:pt>
                <c:pt idx="468">
                  <c:v>223682</c:v>
                </c:pt>
                <c:pt idx="469">
                  <c:v>223723</c:v>
                </c:pt>
                <c:pt idx="470">
                  <c:v>223805</c:v>
                </c:pt>
                <c:pt idx="471">
                  <c:v>223904</c:v>
                </c:pt>
                <c:pt idx="472">
                  <c:v>224000</c:v>
                </c:pt>
                <c:pt idx="473">
                  <c:v>224086</c:v>
                </c:pt>
                <c:pt idx="474">
                  <c:v>224167</c:v>
                </c:pt>
                <c:pt idx="475">
                  <c:v>224227</c:v>
                </c:pt>
                <c:pt idx="476">
                  <c:v>224253</c:v>
                </c:pt>
                <c:pt idx="477">
                  <c:v>224330</c:v>
                </c:pt>
                <c:pt idx="478">
                  <c:v>224430</c:v>
                </c:pt>
                <c:pt idx="479">
                  <c:v>224533</c:v>
                </c:pt>
                <c:pt idx="480">
                  <c:v>224635</c:v>
                </c:pt>
                <c:pt idx="481">
                  <c:v>224728</c:v>
                </c:pt>
                <c:pt idx="482">
                  <c:v>224797</c:v>
                </c:pt>
                <c:pt idx="483">
                  <c:v>224851</c:v>
                </c:pt>
                <c:pt idx="484">
                  <c:v>224967</c:v>
                </c:pt>
                <c:pt idx="485">
                  <c:v>225095</c:v>
                </c:pt>
                <c:pt idx="486">
                  <c:v>225221</c:v>
                </c:pt>
                <c:pt idx="487">
                  <c:v>225339</c:v>
                </c:pt>
                <c:pt idx="488">
                  <c:v>225464</c:v>
                </c:pt>
                <c:pt idx="489">
                  <c:v>225553</c:v>
                </c:pt>
                <c:pt idx="490">
                  <c:v>225606</c:v>
                </c:pt>
                <c:pt idx="491">
                  <c:v>225661</c:v>
                </c:pt>
                <c:pt idx="492">
                  <c:v>225801</c:v>
                </c:pt>
                <c:pt idx="493">
                  <c:v>225987</c:v>
                </c:pt>
                <c:pt idx="494">
                  <c:v>226135</c:v>
                </c:pt>
                <c:pt idx="495">
                  <c:v>226285</c:v>
                </c:pt>
                <c:pt idx="496">
                  <c:v>226388</c:v>
                </c:pt>
                <c:pt idx="497">
                  <c:v>226459</c:v>
                </c:pt>
                <c:pt idx="498">
                  <c:v>226597</c:v>
                </c:pt>
                <c:pt idx="499">
                  <c:v>226786</c:v>
                </c:pt>
                <c:pt idx="500">
                  <c:v>226949</c:v>
                </c:pt>
                <c:pt idx="501">
                  <c:v>227111</c:v>
                </c:pt>
                <c:pt idx="502">
                  <c:v>227298</c:v>
                </c:pt>
                <c:pt idx="503">
                  <c:v>227430</c:v>
                </c:pt>
                <c:pt idx="504">
                  <c:v>227522</c:v>
                </c:pt>
                <c:pt idx="505">
                  <c:v>227716</c:v>
                </c:pt>
                <c:pt idx="506">
                  <c:v>227936</c:v>
                </c:pt>
                <c:pt idx="507">
                  <c:v>228161</c:v>
                </c:pt>
                <c:pt idx="508">
                  <c:v>228382</c:v>
                </c:pt>
                <c:pt idx="509">
                  <c:v>228632</c:v>
                </c:pt>
                <c:pt idx="510">
                  <c:v>228798</c:v>
                </c:pt>
                <c:pt idx="511">
                  <c:v>228910</c:v>
                </c:pt>
                <c:pt idx="512">
                  <c:v>229090</c:v>
                </c:pt>
                <c:pt idx="513">
                  <c:v>229370</c:v>
                </c:pt>
                <c:pt idx="514">
                  <c:v>229603</c:v>
                </c:pt>
                <c:pt idx="515">
                  <c:v>229867</c:v>
                </c:pt>
                <c:pt idx="516">
                  <c:v>230110</c:v>
                </c:pt>
                <c:pt idx="517">
                  <c:v>230339</c:v>
                </c:pt>
                <c:pt idx="518">
                  <c:v>230476</c:v>
                </c:pt>
                <c:pt idx="519">
                  <c:v>230713</c:v>
                </c:pt>
                <c:pt idx="520">
                  <c:v>230993</c:v>
                </c:pt>
                <c:pt idx="521">
                  <c:v>231322</c:v>
                </c:pt>
                <c:pt idx="522">
                  <c:v>231625</c:v>
                </c:pt>
                <c:pt idx="523">
                  <c:v>231923</c:v>
                </c:pt>
                <c:pt idx="524">
                  <c:v>232157</c:v>
                </c:pt>
                <c:pt idx="525">
                  <c:v>232297</c:v>
                </c:pt>
                <c:pt idx="526">
                  <c:v>232610</c:v>
                </c:pt>
                <c:pt idx="527">
                  <c:v>233001</c:v>
                </c:pt>
                <c:pt idx="528">
                  <c:v>233400</c:v>
                </c:pt>
                <c:pt idx="529">
                  <c:v>233797</c:v>
                </c:pt>
                <c:pt idx="530">
                  <c:v>234227</c:v>
                </c:pt>
                <c:pt idx="531">
                  <c:v>234558</c:v>
                </c:pt>
                <c:pt idx="532">
                  <c:v>234814</c:v>
                </c:pt>
                <c:pt idx="533">
                  <c:v>235171</c:v>
                </c:pt>
                <c:pt idx="534">
                  <c:v>235675</c:v>
                </c:pt>
                <c:pt idx="535">
                  <c:v>236234</c:v>
                </c:pt>
                <c:pt idx="536">
                  <c:v>236742</c:v>
                </c:pt>
                <c:pt idx="537">
                  <c:v>237249</c:v>
                </c:pt>
                <c:pt idx="538">
                  <c:v>237634</c:v>
                </c:pt>
                <c:pt idx="539">
                  <c:v>237885</c:v>
                </c:pt>
                <c:pt idx="540">
                  <c:v>238422</c:v>
                </c:pt>
                <c:pt idx="541">
                  <c:v>239056</c:v>
                </c:pt>
                <c:pt idx="542">
                  <c:v>239739</c:v>
                </c:pt>
                <c:pt idx="543">
                  <c:v>240261</c:v>
                </c:pt>
                <c:pt idx="544">
                  <c:v>240953</c:v>
                </c:pt>
                <c:pt idx="545">
                  <c:v>241336</c:v>
                </c:pt>
                <c:pt idx="546">
                  <c:v>241611</c:v>
                </c:pt>
                <c:pt idx="547">
                  <c:v>242135</c:v>
                </c:pt>
                <c:pt idx="548">
                  <c:v>242750</c:v>
                </c:pt>
                <c:pt idx="549">
                  <c:v>243386</c:v>
                </c:pt>
                <c:pt idx="550">
                  <c:v>243981</c:v>
                </c:pt>
                <c:pt idx="551">
                  <c:v>244602</c:v>
                </c:pt>
                <c:pt idx="552">
                  <c:v>245025</c:v>
                </c:pt>
                <c:pt idx="553">
                  <c:v>245264</c:v>
                </c:pt>
                <c:pt idx="554">
                  <c:v>245765</c:v>
                </c:pt>
                <c:pt idx="555">
                  <c:v>246410</c:v>
                </c:pt>
                <c:pt idx="556">
                  <c:v>246997</c:v>
                </c:pt>
                <c:pt idx="557">
                  <c:v>247666</c:v>
                </c:pt>
                <c:pt idx="558">
                  <c:v>248397</c:v>
                </c:pt>
                <c:pt idx="559">
                  <c:v>248850</c:v>
                </c:pt>
                <c:pt idx="560">
                  <c:v>249146</c:v>
                </c:pt>
                <c:pt idx="561">
                  <c:v>249803</c:v>
                </c:pt>
                <c:pt idx="562">
                  <c:v>250559</c:v>
                </c:pt>
                <c:pt idx="563">
                  <c:v>251323</c:v>
                </c:pt>
                <c:pt idx="564">
                  <c:v>252082</c:v>
                </c:pt>
                <c:pt idx="565">
                  <c:v>253093</c:v>
                </c:pt>
                <c:pt idx="566">
                  <c:v>253600</c:v>
                </c:pt>
                <c:pt idx="567">
                  <c:v>253942</c:v>
                </c:pt>
                <c:pt idx="568">
                  <c:v>254436</c:v>
                </c:pt>
                <c:pt idx="569">
                  <c:v>254709</c:v>
                </c:pt>
                <c:pt idx="570">
                  <c:v>255648</c:v>
                </c:pt>
                <c:pt idx="571">
                  <c:v>256554</c:v>
                </c:pt>
                <c:pt idx="572">
                  <c:v>257620</c:v>
                </c:pt>
                <c:pt idx="573">
                  <c:v>258545</c:v>
                </c:pt>
              </c:numCache>
            </c:numRef>
          </c:val>
          <c:smooth val="0"/>
          <c:extLst>
            <c:ext xmlns:c16="http://schemas.microsoft.com/office/drawing/2014/chart" uri="{C3380CC4-5D6E-409C-BE32-E72D297353CC}">
              <c16:uniqueId val="{00000001-84B7-4149-A279-37B7FE028514}"/>
            </c:ext>
          </c:extLst>
        </c:ser>
        <c:dLbls>
          <c:showLegendKey val="0"/>
          <c:showVal val="0"/>
          <c:showCatName val="0"/>
          <c:showSerName val="0"/>
          <c:showPercent val="0"/>
          <c:showBubbleSize val="0"/>
        </c:dLbls>
        <c:marker val="1"/>
        <c:smooth val="0"/>
        <c:axId val="319414656"/>
        <c:axId val="319404672"/>
      </c:lineChart>
      <c:valAx>
        <c:axId val="316849536"/>
        <c:scaling>
          <c:orientation val="minMax"/>
        </c:scaling>
        <c:delete val="0"/>
        <c:axPos val="r"/>
        <c:numFmt formatCode="General" sourceLinked="1"/>
        <c:majorTickMark val="out"/>
        <c:minorTickMark val="none"/>
        <c:tickLblPos val="nextTo"/>
        <c:txPr>
          <a:bodyPr/>
          <a:lstStyle/>
          <a:p>
            <a:pPr>
              <a:defRPr sz="750" baseline="0">
                <a:latin typeface="GHEA Grapalat" pitchFamily="50" charset="0"/>
              </a:defRPr>
            </a:pPr>
            <a:endParaRPr lang="en-US"/>
          </a:p>
        </c:txPr>
        <c:crossAx val="319403136"/>
        <c:crosses val="max"/>
        <c:crossBetween val="between"/>
        <c:majorUnit val="500"/>
      </c:valAx>
      <c:catAx>
        <c:axId val="319403136"/>
        <c:scaling>
          <c:orientation val="minMax"/>
        </c:scaling>
        <c:delete val="0"/>
        <c:axPos val="b"/>
        <c:numFmt formatCode="General" sourceLinked="1"/>
        <c:majorTickMark val="out"/>
        <c:minorTickMark val="none"/>
        <c:tickLblPos val="nextTo"/>
        <c:txPr>
          <a:bodyPr/>
          <a:lstStyle/>
          <a:p>
            <a:pPr>
              <a:defRPr sz="600" baseline="0">
                <a:latin typeface="GHEA Grapalat" pitchFamily="50" charset="0"/>
              </a:defRPr>
            </a:pPr>
            <a:endParaRPr lang="en-US"/>
          </a:p>
        </c:txPr>
        <c:crossAx val="316849536"/>
        <c:crosses val="autoZero"/>
        <c:auto val="1"/>
        <c:lblAlgn val="ctr"/>
        <c:lblOffset val="100"/>
        <c:noMultiLvlLbl val="0"/>
      </c:catAx>
      <c:valAx>
        <c:axId val="319404672"/>
        <c:scaling>
          <c:orientation val="minMax"/>
        </c:scaling>
        <c:delete val="0"/>
        <c:axPos val="l"/>
        <c:numFmt formatCode="General" sourceLinked="1"/>
        <c:majorTickMark val="out"/>
        <c:minorTickMark val="none"/>
        <c:tickLblPos val="nextTo"/>
        <c:txPr>
          <a:bodyPr/>
          <a:lstStyle/>
          <a:p>
            <a:pPr>
              <a:defRPr sz="750" baseline="0">
                <a:latin typeface="GHEA Grapalat" pitchFamily="50" charset="0"/>
              </a:defRPr>
            </a:pPr>
            <a:endParaRPr lang="en-US"/>
          </a:p>
        </c:txPr>
        <c:crossAx val="319414656"/>
        <c:crosses val="autoZero"/>
        <c:crossBetween val="between"/>
      </c:valAx>
      <c:catAx>
        <c:axId val="319414656"/>
        <c:scaling>
          <c:orientation val="minMax"/>
        </c:scaling>
        <c:delete val="1"/>
        <c:axPos val="t"/>
        <c:numFmt formatCode="General" sourceLinked="1"/>
        <c:majorTickMark val="out"/>
        <c:minorTickMark val="none"/>
        <c:tickLblPos val="nextTo"/>
        <c:crossAx val="319404672"/>
        <c:crosses val="max"/>
        <c:auto val="1"/>
        <c:lblAlgn val="ctr"/>
        <c:lblOffset val="100"/>
        <c:noMultiLvlLbl val="0"/>
      </c:catAx>
      <c:spPr>
        <a:solidFill>
          <a:srgbClr val="4F81BD">
            <a:lumMod val="20000"/>
            <a:lumOff val="80000"/>
          </a:srgbClr>
        </a:solidFill>
        <a:ln>
          <a:solidFill>
            <a:schemeClr val="bg1">
              <a:lumMod val="75000"/>
            </a:schemeClr>
          </a:solidFill>
        </a:ln>
        <a:effectLst/>
      </c:spPr>
    </c:plotArea>
    <c:legend>
      <c:legendPos val="b"/>
      <c:layout>
        <c:manualLayout>
          <c:xMode val="edge"/>
          <c:yMode val="edge"/>
          <c:x val="4.1173017110141534E-2"/>
          <c:y val="0.842208797176215"/>
          <c:w val="0.89999987670045511"/>
          <c:h val="0.15172129345970894"/>
        </c:manualLayout>
      </c:layout>
      <c:overlay val="0"/>
      <c:txPr>
        <a:bodyPr/>
        <a:lstStyle/>
        <a:p>
          <a:pPr>
            <a:defRPr sz="900" baseline="0">
              <a:latin typeface="GHEA Grapalat" pitchFamily="50"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4F81BD">
        <a:lumMod val="20000"/>
        <a:lumOff val="80000"/>
      </a:srgbClr>
    </a:solidFill>
    <a:ln w="9525" cap="flat" cmpd="sng" algn="ctr">
      <a:solidFill>
        <a:sysClr val="window" lastClr="FFFFFF">
          <a:lumMod val="85000"/>
        </a:sysClr>
      </a:solidFill>
      <a:round/>
    </a:ln>
    <a:effectLst/>
  </c:spPr>
  <c:txPr>
    <a:bodyPr/>
    <a:lstStyle/>
    <a:p>
      <a:pPr>
        <a:defRPr sz="1000"/>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GHEA Grapalat" pitchFamily="50" charset="0"/>
                <a:ea typeface="+mn-ea"/>
                <a:cs typeface="+mn-cs"/>
              </a:defRPr>
            </a:pPr>
            <a:r>
              <a:rPr lang="hy-AM" sz="900" b="1" dirty="0">
                <a:solidFill>
                  <a:schemeClr val="tx1"/>
                </a:solidFill>
                <a:latin typeface="GHEA Grapalat" pitchFamily="50" charset="0"/>
              </a:rPr>
              <a:t>Պատվաստման ծրագիրը</a:t>
            </a:r>
            <a:endParaRPr lang="en-US" sz="900" b="1" dirty="0">
              <a:solidFill>
                <a:schemeClr val="tx1"/>
              </a:solidFill>
              <a:latin typeface="GHEA Grapalat" pitchFamily="50" charset="0"/>
            </a:endParaRPr>
          </a:p>
        </c:rich>
      </c:tx>
      <c:layout>
        <c:manualLayout>
          <c:xMode val="edge"/>
          <c:yMode val="edge"/>
          <c:x val="0.20475537141784531"/>
          <c:y val="1.1851851851851851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Պատվաստման ծրագիրը</c:v>
                </c:pt>
              </c:strCache>
            </c:strRef>
          </c:tx>
          <c:spPr>
            <a:solidFill>
              <a:srgbClr val="FF0000"/>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AA06-41FB-8391-EFEF40916118}"/>
              </c:ext>
            </c:extLst>
          </c:dPt>
          <c:dPt>
            <c:idx val="1"/>
            <c:invertIfNegative val="0"/>
            <c:bubble3D val="0"/>
            <c:spPr>
              <a:solidFill>
                <a:srgbClr val="00B050"/>
              </a:solidFill>
              <a:ln>
                <a:noFill/>
              </a:ln>
              <a:effectLst/>
            </c:spPr>
            <c:extLst>
              <c:ext xmlns:c16="http://schemas.microsoft.com/office/drawing/2014/chart" uri="{C3380CC4-5D6E-409C-BE32-E72D297353CC}">
                <c16:uniqueId val="{00000003-AA06-41FB-8391-EFEF4091611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2025</c:v>
                </c:pt>
              </c:numCache>
            </c:numRef>
          </c:cat>
          <c:val>
            <c:numRef>
              <c:f>Sheet1!$B$2:$B$3</c:f>
              <c:numCache>
                <c:formatCode>0%</c:formatCode>
                <c:ptCount val="2"/>
                <c:pt idx="0">
                  <c:v>0.1</c:v>
                </c:pt>
                <c:pt idx="1">
                  <c:v>1</c:v>
                </c:pt>
              </c:numCache>
            </c:numRef>
          </c:val>
          <c:extLst>
            <c:ext xmlns:c16="http://schemas.microsoft.com/office/drawing/2014/chart" uri="{C3380CC4-5D6E-409C-BE32-E72D297353CC}">
              <c16:uniqueId val="{00000004-AA06-41FB-8391-EFEF40916118}"/>
            </c:ext>
          </c:extLst>
        </c:ser>
        <c:dLbls>
          <c:showLegendKey val="0"/>
          <c:showVal val="0"/>
          <c:showCatName val="0"/>
          <c:showSerName val="0"/>
          <c:showPercent val="0"/>
          <c:showBubbleSize val="0"/>
        </c:dLbls>
        <c:gapWidth val="219"/>
        <c:overlap val="-27"/>
        <c:axId val="320158720"/>
        <c:axId val="320176896"/>
      </c:barChart>
      <c:catAx>
        <c:axId val="32015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GHEA Grapalat" pitchFamily="50" charset="0"/>
                <a:ea typeface="+mn-ea"/>
                <a:cs typeface="+mn-cs"/>
              </a:defRPr>
            </a:pPr>
            <a:endParaRPr lang="en-US"/>
          </a:p>
        </c:txPr>
        <c:crossAx val="320176896"/>
        <c:crosses val="autoZero"/>
        <c:auto val="1"/>
        <c:lblAlgn val="ctr"/>
        <c:lblOffset val="100"/>
        <c:noMultiLvlLbl val="0"/>
      </c:catAx>
      <c:valAx>
        <c:axId val="3201768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itchFamily="50" charset="0"/>
                <a:ea typeface="+mn-ea"/>
                <a:cs typeface="+mn-cs"/>
              </a:defRPr>
            </a:pPr>
            <a:endParaRPr lang="en-US"/>
          </a:p>
        </c:txPr>
        <c:crossAx val="320158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solidFill>
        <a:sysClr val="window" lastClr="FFFFFF">
          <a:lumMod val="85000"/>
        </a:sysClr>
      </a:solidFill>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Անվանական ՀՆԱ, մլրդ դրամ</c:v>
                </c:pt>
              </c:strCache>
            </c:strRef>
          </c:tx>
          <c:spPr>
            <a:solidFill>
              <a:schemeClr val="accent2"/>
            </a:solidFill>
            <a:ln>
              <a:noFill/>
            </a:ln>
            <a:effectLst/>
          </c:spPr>
          <c:invertIfNegative val="0"/>
          <c:cat>
            <c:numRef>
              <c:f>Sheet1!$B$1:$X$1</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Sheet1!$B$3:$X$3</c:f>
              <c:numCache>
                <c:formatCode>_(* #,##0_);_(* \(#,##0\);_(* "-"??_);_(@_)</c:formatCode>
                <c:ptCount val="23"/>
                <c:pt idx="0">
                  <c:v>1031.3383000000001</c:v>
                </c:pt>
                <c:pt idx="1">
                  <c:v>1175.8768043886819</c:v>
                </c:pt>
                <c:pt idx="2">
                  <c:v>1362.4717000000001</c:v>
                </c:pt>
                <c:pt idx="3">
                  <c:v>1624.6426999999999</c:v>
                </c:pt>
                <c:pt idx="4">
                  <c:v>1907.9453999999998</c:v>
                </c:pt>
                <c:pt idx="5">
                  <c:v>2242.8809000000001</c:v>
                </c:pt>
                <c:pt idx="6">
                  <c:v>2656.1898000000001</c:v>
                </c:pt>
                <c:pt idx="7">
                  <c:v>3149.2834000000007</c:v>
                </c:pt>
                <c:pt idx="8">
                  <c:v>3568.2276000000006</c:v>
                </c:pt>
                <c:pt idx="9">
                  <c:v>3141.6510000000003</c:v>
                </c:pt>
                <c:pt idx="10">
                  <c:v>3460.2027000000007</c:v>
                </c:pt>
                <c:pt idx="11">
                  <c:v>3777.9456</c:v>
                </c:pt>
                <c:pt idx="12">
                  <c:v>4266.4605000000001</c:v>
                </c:pt>
                <c:pt idx="13">
                  <c:v>4555.6382000000003</c:v>
                </c:pt>
                <c:pt idx="14">
                  <c:v>4828.6262999999999</c:v>
                </c:pt>
                <c:pt idx="15">
                  <c:v>5043.6332000000002</c:v>
                </c:pt>
                <c:pt idx="16">
                  <c:v>5067.2934999999998</c:v>
                </c:pt>
                <c:pt idx="17">
                  <c:v>5564.4933000000001</c:v>
                </c:pt>
                <c:pt idx="18">
                  <c:v>6017.0352000000003</c:v>
                </c:pt>
                <c:pt idx="19">
                  <c:v>6543.3217999999997</c:v>
                </c:pt>
                <c:pt idx="20">
                  <c:v>6181.6640999999981</c:v>
                </c:pt>
                <c:pt idx="21">
                  <c:v>7031.1817616081471</c:v>
                </c:pt>
                <c:pt idx="22">
                  <c:v>7869.4392512270688</c:v>
                </c:pt>
              </c:numCache>
            </c:numRef>
          </c:val>
          <c:extLst>
            <c:ext xmlns:c16="http://schemas.microsoft.com/office/drawing/2014/chart" uri="{C3380CC4-5D6E-409C-BE32-E72D297353CC}">
              <c16:uniqueId val="{00000000-6769-479F-A263-8FCD04FED989}"/>
            </c:ext>
          </c:extLst>
        </c:ser>
        <c:dLbls>
          <c:showLegendKey val="0"/>
          <c:showVal val="0"/>
          <c:showCatName val="0"/>
          <c:showSerName val="0"/>
          <c:showPercent val="0"/>
          <c:showBubbleSize val="0"/>
        </c:dLbls>
        <c:gapWidth val="219"/>
        <c:axId val="320247296"/>
        <c:axId val="320248832"/>
      </c:barChart>
      <c:lineChart>
        <c:grouping val="standard"/>
        <c:varyColors val="0"/>
        <c:ser>
          <c:idx val="0"/>
          <c:order val="0"/>
          <c:tx>
            <c:strRef>
              <c:f>Sheet1!$A$2</c:f>
              <c:strCache>
                <c:ptCount val="1"/>
                <c:pt idx="0">
                  <c:v>Տնտեսական աճ, %</c:v>
                </c:pt>
              </c:strCache>
            </c:strRef>
          </c:tx>
          <c:spPr>
            <a:ln w="28575" cap="rnd">
              <a:solidFill>
                <a:schemeClr val="accent1"/>
              </a:solidFill>
              <a:round/>
            </a:ln>
            <a:effectLst/>
          </c:spPr>
          <c:marker>
            <c:symbol val="none"/>
          </c:marker>
          <c:cat>
            <c:numRef>
              <c:f>Sheet1!$B$1:$X$1</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Sheet1!$B$2:$X$2</c:f>
              <c:numCache>
                <c:formatCode>0.0</c:formatCode>
                <c:ptCount val="23"/>
                <c:pt idx="0">
                  <c:v>5.8956981547403728</c:v>
                </c:pt>
                <c:pt idx="1">
                  <c:v>9.5566411137839395</c:v>
                </c:pt>
                <c:pt idx="2">
                  <c:v>13.196463821262512</c:v>
                </c:pt>
                <c:pt idx="3">
                  <c:v>14.040798058411056</c:v>
                </c:pt>
                <c:pt idx="4">
                  <c:v>10.46784009801047</c:v>
                </c:pt>
                <c:pt idx="5">
                  <c:v>13.865711251485493</c:v>
                </c:pt>
                <c:pt idx="6">
                  <c:v>13.198003514141135</c:v>
                </c:pt>
                <c:pt idx="7">
                  <c:v>13.749201958384148</c:v>
                </c:pt>
                <c:pt idx="8">
                  <c:v>6.9476535519159768</c:v>
                </c:pt>
                <c:pt idx="9">
                  <c:v>-14.149988638617103</c:v>
                </c:pt>
                <c:pt idx="10">
                  <c:v>2.2151091894039183</c:v>
                </c:pt>
                <c:pt idx="11">
                  <c:v>4.6507622226871206</c:v>
                </c:pt>
                <c:pt idx="12">
                  <c:v>7.1590508979271874</c:v>
                </c:pt>
                <c:pt idx="13">
                  <c:v>3.2999999999999972</c:v>
                </c:pt>
                <c:pt idx="14">
                  <c:v>3.5999999999999943</c:v>
                </c:pt>
                <c:pt idx="15">
                  <c:v>3.2000000000000028</c:v>
                </c:pt>
                <c:pt idx="16">
                  <c:v>0.20000000000000284</c:v>
                </c:pt>
                <c:pt idx="17">
                  <c:v>7.5</c:v>
                </c:pt>
                <c:pt idx="18">
                  <c:v>5.2000000000000028</c:v>
                </c:pt>
                <c:pt idx="19">
                  <c:v>7.5999999999999943</c:v>
                </c:pt>
                <c:pt idx="20">
                  <c:v>-7.4000000000000057</c:v>
                </c:pt>
                <c:pt idx="21">
                  <c:v>6.5</c:v>
                </c:pt>
                <c:pt idx="22">
                  <c:v>7</c:v>
                </c:pt>
              </c:numCache>
            </c:numRef>
          </c:val>
          <c:smooth val="0"/>
          <c:extLst>
            <c:ext xmlns:c16="http://schemas.microsoft.com/office/drawing/2014/chart" uri="{C3380CC4-5D6E-409C-BE32-E72D297353CC}">
              <c16:uniqueId val="{00000001-6769-479F-A263-8FCD04FED989}"/>
            </c:ext>
          </c:extLst>
        </c:ser>
        <c:dLbls>
          <c:showLegendKey val="0"/>
          <c:showVal val="0"/>
          <c:showCatName val="0"/>
          <c:showSerName val="0"/>
          <c:showPercent val="0"/>
          <c:showBubbleSize val="0"/>
        </c:dLbls>
        <c:marker val="1"/>
        <c:smooth val="0"/>
        <c:axId val="320256256"/>
        <c:axId val="320254720"/>
      </c:lineChart>
      <c:catAx>
        <c:axId val="3202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0248832"/>
        <c:crosses val="autoZero"/>
        <c:auto val="1"/>
        <c:lblAlgn val="ctr"/>
        <c:lblOffset val="100"/>
        <c:noMultiLvlLbl val="0"/>
      </c:catAx>
      <c:valAx>
        <c:axId val="320248832"/>
        <c:scaling>
          <c:orientation val="minMax"/>
          <c:max val="9500"/>
          <c:min val="5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0247296"/>
        <c:crosses val="autoZero"/>
        <c:crossBetween val="between"/>
      </c:valAx>
      <c:valAx>
        <c:axId val="32025472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0256256"/>
        <c:crosses val="max"/>
        <c:crossBetween val="between"/>
      </c:valAx>
      <c:catAx>
        <c:axId val="320256256"/>
        <c:scaling>
          <c:orientation val="minMax"/>
        </c:scaling>
        <c:delete val="1"/>
        <c:axPos val="b"/>
        <c:numFmt formatCode="General" sourceLinked="1"/>
        <c:majorTickMark val="out"/>
        <c:minorTickMark val="none"/>
        <c:tickLblPos val="none"/>
        <c:crossAx val="32025472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Տնտեսական աճ/անկում</c:v>
                </c:pt>
              </c:strCache>
            </c:strRef>
          </c:tx>
          <c:spPr>
            <a:solidFill>
              <a:srgbClr val="C00000"/>
            </a:solidFill>
            <a:ln>
              <a:solidFill>
                <a:srgbClr val="C00000"/>
              </a:solidFill>
            </a:ln>
            <a:effectLst/>
          </c:spPr>
          <c:invertIfNegative val="0"/>
          <c:dPt>
            <c:idx val="1"/>
            <c:invertIfNegative val="0"/>
            <c:bubble3D val="0"/>
            <c:spPr>
              <a:solidFill>
                <a:srgbClr val="5B9BD5">
                  <a:lumMod val="75000"/>
                </a:srgbClr>
              </a:solidFill>
              <a:ln>
                <a:solidFill>
                  <a:srgbClr val="5B9BD5">
                    <a:lumMod val="75000"/>
                  </a:srgbClr>
                </a:solidFill>
              </a:ln>
              <a:effectLst/>
            </c:spPr>
            <c:extLst>
              <c:ext xmlns:c16="http://schemas.microsoft.com/office/drawing/2014/chart" uri="{C3380CC4-5D6E-409C-BE32-E72D297353CC}">
                <c16:uniqueId val="{00000001-FAE6-4E89-8FBC-86D1CB34AB72}"/>
              </c:ext>
            </c:extLst>
          </c:dPt>
          <c:dPt>
            <c:idx val="4"/>
            <c:invertIfNegative val="0"/>
            <c:bubble3D val="0"/>
            <c:spPr>
              <a:solidFill>
                <a:srgbClr val="5B9BD5">
                  <a:lumMod val="75000"/>
                </a:srgbClr>
              </a:solidFill>
              <a:ln>
                <a:solidFill>
                  <a:srgbClr val="5B9BD5">
                    <a:lumMod val="75000"/>
                  </a:srgbClr>
                </a:solidFill>
              </a:ln>
              <a:effectLst/>
            </c:spPr>
            <c:extLst>
              <c:ext xmlns:c16="http://schemas.microsoft.com/office/drawing/2014/chart" uri="{C3380CC4-5D6E-409C-BE32-E72D297353CC}">
                <c16:uniqueId val="{00000003-FAE6-4E89-8FBC-86D1CB34AB72}"/>
              </c:ext>
            </c:extLst>
          </c:dPt>
          <c:dPt>
            <c:idx val="7"/>
            <c:invertIfNegative val="0"/>
            <c:bubble3D val="0"/>
            <c:spPr>
              <a:solidFill>
                <a:srgbClr val="5B9BD5"/>
              </a:solidFill>
              <a:ln>
                <a:solidFill>
                  <a:srgbClr val="5B9BD5"/>
                </a:solidFill>
              </a:ln>
              <a:effectLst/>
            </c:spPr>
            <c:extLst>
              <c:ext xmlns:c16="http://schemas.microsoft.com/office/drawing/2014/chart" uri="{C3380CC4-5D6E-409C-BE32-E72D297353CC}">
                <c16:uniqueId val="{00000005-FAE6-4E89-8FBC-86D1CB34AB72}"/>
              </c:ext>
            </c:extLst>
          </c:dPt>
          <c:dLbls>
            <c:dLbl>
              <c:idx val="0"/>
              <c:layout>
                <c:manualLayout>
                  <c:x val="7.6366559485530547E-2"/>
                  <c:y val="9.685230024213074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ext>
                <c:ext xmlns:c16="http://schemas.microsoft.com/office/drawing/2014/chart" uri="{C3380CC4-5D6E-409C-BE32-E72D297353CC}">
                  <c16:uniqueId val="{00000006-FAE6-4E89-8FBC-86D1CB34AB72}"/>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FAE6-4E89-8FBC-86D1CB34AB72}"/>
                </c:ext>
              </c:extLst>
            </c:dLbl>
            <c:dLbl>
              <c:idx val="6"/>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FAE6-4E89-8FBC-86D1CB34AB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0"/>
              </c:ext>
            </c:extLst>
          </c:dLbls>
          <c:cat>
            <c:numRef>
              <c:f>Sheet1!$A$2:$A$9</c:f>
              <c:numCache>
                <c:formatCode>General</c:formatCode>
                <c:ptCount val="8"/>
                <c:pt idx="0">
                  <c:v>2009</c:v>
                </c:pt>
                <c:pt idx="1">
                  <c:v>2010</c:v>
                </c:pt>
                <c:pt idx="3">
                  <c:v>2016</c:v>
                </c:pt>
                <c:pt idx="4">
                  <c:v>2017</c:v>
                </c:pt>
                <c:pt idx="6">
                  <c:v>2020</c:v>
                </c:pt>
                <c:pt idx="7">
                  <c:v>2021</c:v>
                </c:pt>
              </c:numCache>
            </c:numRef>
          </c:cat>
          <c:val>
            <c:numRef>
              <c:f>Sheet1!$B$2:$B$9</c:f>
              <c:numCache>
                <c:formatCode>0.0</c:formatCode>
                <c:ptCount val="8"/>
                <c:pt idx="0" formatCode="General">
                  <c:v>-14.1</c:v>
                </c:pt>
                <c:pt idx="1">
                  <c:v>2.2151091894039183</c:v>
                </c:pt>
                <c:pt idx="3" formatCode="General">
                  <c:v>0.2</c:v>
                </c:pt>
                <c:pt idx="4" formatCode="General">
                  <c:v>7.5</c:v>
                </c:pt>
                <c:pt idx="6" formatCode="General">
                  <c:v>-7.4</c:v>
                </c:pt>
                <c:pt idx="7">
                  <c:v>6.5</c:v>
                </c:pt>
              </c:numCache>
            </c:numRef>
          </c:val>
          <c:extLst>
            <c:ext xmlns:c16="http://schemas.microsoft.com/office/drawing/2014/chart" uri="{C3380CC4-5D6E-409C-BE32-E72D297353CC}">
              <c16:uniqueId val="{00000009-FAE6-4E89-8FBC-86D1CB34AB72}"/>
            </c:ext>
          </c:extLst>
        </c:ser>
        <c:dLbls>
          <c:showLegendKey val="0"/>
          <c:showVal val="0"/>
          <c:showCatName val="0"/>
          <c:showSerName val="0"/>
          <c:showPercent val="0"/>
          <c:showBubbleSize val="0"/>
        </c:dLbls>
        <c:gapWidth val="219"/>
        <c:overlap val="-27"/>
        <c:axId val="321058304"/>
        <c:axId val="321059840"/>
      </c:barChart>
      <c:catAx>
        <c:axId val="32105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059840"/>
        <c:crosses val="autoZero"/>
        <c:auto val="1"/>
        <c:lblAlgn val="ctr"/>
        <c:lblOffset val="100"/>
        <c:noMultiLvlLbl val="0"/>
      </c:catAx>
      <c:valAx>
        <c:axId val="321059840"/>
        <c:scaling>
          <c:orientation val="minMax"/>
          <c:max val="8"/>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058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05234719560402"/>
          <c:y val="7.0512820512820512E-2"/>
          <c:w val="0.71293878587757176"/>
          <c:h val="0.63414496264890208"/>
        </c:manualLayout>
      </c:layout>
      <c:lineChart>
        <c:grouping val="standard"/>
        <c:varyColors val="0"/>
        <c:ser>
          <c:idx val="1"/>
          <c:order val="1"/>
          <c:tx>
            <c:strRef>
              <c:f>Sheet1!$C$1</c:f>
              <c:strCache>
                <c:ptCount val="1"/>
                <c:pt idx="0">
                  <c:v>Պղինձ</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Sheet1!$A$2:$A$7</c:f>
              <c:numCache>
                <c:formatCode>General</c:formatCode>
                <c:ptCount val="5"/>
                <c:pt idx="0">
                  <c:v>2018</c:v>
                </c:pt>
                <c:pt idx="1">
                  <c:v>2019</c:v>
                </c:pt>
                <c:pt idx="2">
                  <c:v>2020</c:v>
                </c:pt>
                <c:pt idx="3">
                  <c:v>2021</c:v>
                </c:pt>
                <c:pt idx="4">
                  <c:v>2022</c:v>
                </c:pt>
              </c:numCache>
            </c:numRef>
          </c:cat>
          <c:val>
            <c:numRef>
              <c:f>Sheet1!$C$2:$C$7</c:f>
              <c:numCache>
                <c:formatCode>0</c:formatCode>
                <c:ptCount val="5"/>
                <c:pt idx="0">
                  <c:v>6529.798333333335</c:v>
                </c:pt>
                <c:pt idx="1">
                  <c:v>6010.1449999999995</c:v>
                </c:pt>
                <c:pt idx="2">
                  <c:v>6173.770833333333</c:v>
                </c:pt>
                <c:pt idx="3">
                  <c:v>9394.7999999999993</c:v>
                </c:pt>
                <c:pt idx="4">
                  <c:v>9531.4</c:v>
                </c:pt>
              </c:numCache>
            </c:numRef>
          </c:val>
          <c:smooth val="0"/>
          <c:extLst>
            <c:ext xmlns:c16="http://schemas.microsoft.com/office/drawing/2014/chart" uri="{C3380CC4-5D6E-409C-BE32-E72D297353CC}">
              <c16:uniqueId val="{00000000-3B0E-4699-BE37-1F5691048073}"/>
            </c:ext>
          </c:extLst>
        </c:ser>
        <c:dLbls>
          <c:showLegendKey val="0"/>
          <c:showVal val="0"/>
          <c:showCatName val="0"/>
          <c:showSerName val="0"/>
          <c:showPercent val="0"/>
          <c:showBubbleSize val="0"/>
        </c:dLbls>
        <c:marker val="1"/>
        <c:smooth val="0"/>
        <c:axId val="295581184"/>
        <c:axId val="295583104"/>
      </c:lineChart>
      <c:lineChart>
        <c:grouping val="standard"/>
        <c:varyColors val="0"/>
        <c:ser>
          <c:idx val="0"/>
          <c:order val="0"/>
          <c:tx>
            <c:strRef>
              <c:f>Sheet1!$B$1</c:f>
              <c:strCache>
                <c:ptCount val="1"/>
                <c:pt idx="0">
                  <c:v>Նավթ(աջ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5"/>
                <c:pt idx="0">
                  <c:v>2018</c:v>
                </c:pt>
                <c:pt idx="1">
                  <c:v>2019</c:v>
                </c:pt>
                <c:pt idx="2">
                  <c:v>2020</c:v>
                </c:pt>
                <c:pt idx="3">
                  <c:v>2021</c:v>
                </c:pt>
                <c:pt idx="4">
                  <c:v>2022</c:v>
                </c:pt>
              </c:numCache>
            </c:numRef>
          </c:cat>
          <c:val>
            <c:numRef>
              <c:f>Sheet1!$B$2:$B$7</c:f>
              <c:numCache>
                <c:formatCode>0</c:formatCode>
                <c:ptCount val="5"/>
                <c:pt idx="0">
                  <c:v>71.071666666666701</c:v>
                </c:pt>
                <c:pt idx="1">
                  <c:v>64.031666666666695</c:v>
                </c:pt>
                <c:pt idx="2">
                  <c:v>42.3</c:v>
                </c:pt>
                <c:pt idx="3">
                  <c:v>68.7</c:v>
                </c:pt>
                <c:pt idx="4">
                  <c:v>66.7</c:v>
                </c:pt>
              </c:numCache>
            </c:numRef>
          </c:val>
          <c:smooth val="0"/>
          <c:extLst>
            <c:ext xmlns:c16="http://schemas.microsoft.com/office/drawing/2014/chart" uri="{C3380CC4-5D6E-409C-BE32-E72D297353CC}">
              <c16:uniqueId val="{00000001-3B0E-4699-BE37-1F5691048073}"/>
            </c:ext>
          </c:extLst>
        </c:ser>
        <c:dLbls>
          <c:showLegendKey val="0"/>
          <c:showVal val="0"/>
          <c:showCatName val="0"/>
          <c:showSerName val="0"/>
          <c:showPercent val="0"/>
          <c:showBubbleSize val="0"/>
        </c:dLbls>
        <c:marker val="1"/>
        <c:smooth val="0"/>
        <c:axId val="295611776"/>
        <c:axId val="295609856"/>
      </c:lineChart>
      <c:catAx>
        <c:axId val="29558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83104"/>
        <c:crosses val="autoZero"/>
        <c:auto val="1"/>
        <c:lblAlgn val="ctr"/>
        <c:lblOffset val="100"/>
        <c:noMultiLvlLbl val="0"/>
      </c:catAx>
      <c:valAx>
        <c:axId val="295583104"/>
        <c:scaling>
          <c:orientation val="minMax"/>
          <c:max val="10000"/>
          <c:min val="5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effectLst/>
                  </a:rPr>
                  <a:t>($/mt) </a:t>
                </a:r>
                <a:endParaRPr lang="en-US" sz="900">
                  <a:effectLst/>
                </a:endParaRPr>
              </a:p>
            </c:rich>
          </c:tx>
          <c:layout>
            <c:manualLayout>
              <c:xMode val="edge"/>
              <c:yMode val="edge"/>
              <c:x val="1.9550342130987301E-3"/>
              <c:y val="0.28080027732382656"/>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81184"/>
        <c:crosses val="autoZero"/>
        <c:crossBetween val="between"/>
      </c:valAx>
      <c:valAx>
        <c:axId val="295609856"/>
        <c:scaling>
          <c:orientation val="minMax"/>
          <c:min val="3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($/bbl) </a:t>
                </a:r>
                <a:endParaRPr lang="en-US" sz="900">
                  <a:effectLst/>
                </a:endParaRPr>
              </a:p>
            </c:rich>
          </c:tx>
          <c:layout>
            <c:manualLayout>
              <c:xMode val="edge"/>
              <c:yMode val="edge"/>
              <c:x val="0.93560910626353244"/>
              <c:y val="0.28816222491419341"/>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611776"/>
        <c:crosses val="max"/>
        <c:crossBetween val="between"/>
      </c:valAx>
      <c:catAx>
        <c:axId val="295611776"/>
        <c:scaling>
          <c:orientation val="minMax"/>
        </c:scaling>
        <c:delete val="1"/>
        <c:axPos val="b"/>
        <c:numFmt formatCode="General" sourceLinked="1"/>
        <c:majorTickMark val="out"/>
        <c:minorTickMark val="none"/>
        <c:tickLblPos val="none"/>
        <c:crossAx val="29560985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7794177073183E-2"/>
          <c:y val="4.1115590668506716E-2"/>
          <c:w val="0.91791893726288765"/>
          <c:h val="0.57079207993394554"/>
        </c:manualLayout>
      </c:layout>
      <c:barChart>
        <c:barDir val="col"/>
        <c:grouping val="stacked"/>
        <c:varyColors val="0"/>
        <c:ser>
          <c:idx val="1"/>
          <c:order val="1"/>
          <c:tx>
            <c:strRef>
              <c:f>Sheet1!$D$4</c:f>
              <c:strCache>
                <c:ptCount val="1"/>
                <c:pt idx="0">
                  <c:v>արդյունաբերություն</c:v>
                </c:pt>
              </c:strCache>
            </c:strRef>
          </c:tx>
          <c:spPr>
            <a:solidFill>
              <a:schemeClr val="accent2"/>
            </a:solidFill>
            <a:ln>
              <a:noFill/>
            </a:ln>
            <a:effectLst/>
          </c:spPr>
          <c:invertIfNegative val="0"/>
          <c:val>
            <c:numRef>
              <c:f>Sheet1!$E$4:$I$4</c:f>
              <c:numCache>
                <c:formatCode>0.0</c:formatCode>
                <c:ptCount val="5"/>
                <c:pt idx="0">
                  <c:v>0.91064682700878941</c:v>
                </c:pt>
                <c:pt idx="1">
                  <c:v>2.1622213883023029</c:v>
                </c:pt>
                <c:pt idx="2">
                  <c:v>-0.31604456064627884</c:v>
                </c:pt>
                <c:pt idx="3">
                  <c:v>0.86328498340762283</c:v>
                </c:pt>
                <c:pt idx="4">
                  <c:v>1.6465651060753823</c:v>
                </c:pt>
              </c:numCache>
            </c:numRef>
          </c:val>
          <c:extLst>
            <c:ext xmlns:c16="http://schemas.microsoft.com/office/drawing/2014/chart" uri="{C3380CC4-5D6E-409C-BE32-E72D297353CC}">
              <c16:uniqueId val="{00000000-D3DA-4FAF-9EB8-08BBAFE8C165}"/>
            </c:ext>
          </c:extLst>
        </c:ser>
        <c:ser>
          <c:idx val="2"/>
          <c:order val="2"/>
          <c:tx>
            <c:strRef>
              <c:f>Sheet1!$D$5</c:f>
              <c:strCache>
                <c:ptCount val="1"/>
                <c:pt idx="0">
                  <c:v>գյուղատնտեսություն </c:v>
                </c:pt>
              </c:strCache>
            </c:strRef>
          </c:tx>
          <c:spPr>
            <a:solidFill>
              <a:schemeClr val="accent3"/>
            </a:solidFill>
            <a:ln>
              <a:noFill/>
            </a:ln>
            <a:effectLst/>
          </c:spPr>
          <c:invertIfNegative val="0"/>
          <c:val>
            <c:numRef>
              <c:f>Sheet1!$E$5:$I$5</c:f>
              <c:numCache>
                <c:formatCode>0.0</c:formatCode>
                <c:ptCount val="5"/>
                <c:pt idx="0">
                  <c:v>-1.0356524175384063</c:v>
                </c:pt>
                <c:pt idx="1">
                  <c:v>-0.80644026167682614</c:v>
                </c:pt>
                <c:pt idx="2">
                  <c:v>-0.47220561096775676</c:v>
                </c:pt>
                <c:pt idx="3">
                  <c:v>0.62795173875591115</c:v>
                </c:pt>
                <c:pt idx="4">
                  <c:v>0.44255814814201405</c:v>
                </c:pt>
              </c:numCache>
            </c:numRef>
          </c:val>
          <c:extLst>
            <c:ext xmlns:c16="http://schemas.microsoft.com/office/drawing/2014/chart" uri="{C3380CC4-5D6E-409C-BE32-E72D297353CC}">
              <c16:uniqueId val="{00000001-D3DA-4FAF-9EB8-08BBAFE8C165}"/>
            </c:ext>
          </c:extLst>
        </c:ser>
        <c:ser>
          <c:idx val="3"/>
          <c:order val="3"/>
          <c:tx>
            <c:strRef>
              <c:f>Sheet1!$D$6</c:f>
              <c:strCache>
                <c:ptCount val="1"/>
                <c:pt idx="0">
                  <c:v>շինարարություն</c:v>
                </c:pt>
              </c:strCache>
            </c:strRef>
          </c:tx>
          <c:spPr>
            <a:solidFill>
              <a:schemeClr val="accent4"/>
            </a:solidFill>
            <a:ln>
              <a:noFill/>
            </a:ln>
            <a:effectLst/>
          </c:spPr>
          <c:invertIfNegative val="0"/>
          <c:val>
            <c:numRef>
              <c:f>Sheet1!$E$6:$I$6</c:f>
              <c:numCache>
                <c:formatCode>0.0</c:formatCode>
                <c:ptCount val="5"/>
                <c:pt idx="0">
                  <c:v>4.3649529298147187E-2</c:v>
                </c:pt>
                <c:pt idx="1">
                  <c:v>0.42807405697801104</c:v>
                </c:pt>
                <c:pt idx="2">
                  <c:v>-0.42508266880374179</c:v>
                </c:pt>
                <c:pt idx="3">
                  <c:v>0.10468246729873268</c:v>
                </c:pt>
                <c:pt idx="4">
                  <c:v>1.2151435844858425</c:v>
                </c:pt>
              </c:numCache>
            </c:numRef>
          </c:val>
          <c:extLst>
            <c:ext xmlns:c16="http://schemas.microsoft.com/office/drawing/2014/chart" uri="{C3380CC4-5D6E-409C-BE32-E72D297353CC}">
              <c16:uniqueId val="{00000002-D3DA-4FAF-9EB8-08BBAFE8C165}"/>
            </c:ext>
          </c:extLst>
        </c:ser>
        <c:ser>
          <c:idx val="4"/>
          <c:order val="4"/>
          <c:tx>
            <c:strRef>
              <c:f>Sheet1!$D$7</c:f>
              <c:strCache>
                <c:ptCount val="1"/>
                <c:pt idx="0">
                  <c:v>ծառայություններ</c:v>
                </c:pt>
              </c:strCache>
            </c:strRef>
          </c:tx>
          <c:spPr>
            <a:solidFill>
              <a:schemeClr val="accent5"/>
            </a:solidFill>
            <a:ln>
              <a:noFill/>
            </a:ln>
            <a:effectLst/>
          </c:spPr>
          <c:invertIfNegative val="0"/>
          <c:val>
            <c:numRef>
              <c:f>Sheet1!$E$7:$I$7</c:f>
              <c:numCache>
                <c:formatCode>0.0</c:formatCode>
                <c:ptCount val="5"/>
                <c:pt idx="0">
                  <c:v>4.4580577508018671</c:v>
                </c:pt>
                <c:pt idx="1">
                  <c:v>5.063935281019055</c:v>
                </c:pt>
                <c:pt idx="2">
                  <c:v>-5.0484597067809514</c:v>
                </c:pt>
                <c:pt idx="3">
                  <c:v>4.1211921008454695</c:v>
                </c:pt>
                <c:pt idx="4">
                  <c:v>2.9633121633826396</c:v>
                </c:pt>
              </c:numCache>
            </c:numRef>
          </c:val>
          <c:extLst>
            <c:ext xmlns:c16="http://schemas.microsoft.com/office/drawing/2014/chart" uri="{C3380CC4-5D6E-409C-BE32-E72D297353CC}">
              <c16:uniqueId val="{00000003-D3DA-4FAF-9EB8-08BBAFE8C165}"/>
            </c:ext>
          </c:extLst>
        </c:ser>
        <c:ser>
          <c:idx val="5"/>
          <c:order val="5"/>
          <c:tx>
            <c:strRef>
              <c:f>Sheet1!$D$8</c:f>
              <c:strCache>
                <c:ptCount val="1"/>
                <c:pt idx="0">
                  <c:v>զուտ հարկեր</c:v>
                </c:pt>
              </c:strCache>
            </c:strRef>
          </c:tx>
          <c:spPr>
            <a:solidFill>
              <a:schemeClr val="accent6"/>
            </a:solidFill>
            <a:ln>
              <a:noFill/>
            </a:ln>
            <a:effectLst/>
          </c:spPr>
          <c:invertIfNegative val="0"/>
          <c:val>
            <c:numRef>
              <c:f>Sheet1!$E$8:$I$8</c:f>
              <c:numCache>
                <c:formatCode>0.0</c:formatCode>
                <c:ptCount val="5"/>
                <c:pt idx="0">
                  <c:v>0.82329831042960522</c:v>
                </c:pt>
                <c:pt idx="1">
                  <c:v>0.75220953537745205</c:v>
                </c:pt>
                <c:pt idx="2">
                  <c:v>-1.1382074528012773</c:v>
                </c:pt>
                <c:pt idx="3">
                  <c:v>0.77288870969226475</c:v>
                </c:pt>
                <c:pt idx="4">
                  <c:v>0.7324209979141284</c:v>
                </c:pt>
              </c:numCache>
            </c:numRef>
          </c:val>
          <c:extLst>
            <c:ext xmlns:c16="http://schemas.microsoft.com/office/drawing/2014/chart" uri="{C3380CC4-5D6E-409C-BE32-E72D297353CC}">
              <c16:uniqueId val="{00000004-D3DA-4FAF-9EB8-08BBAFE8C165}"/>
            </c:ext>
          </c:extLst>
        </c:ser>
        <c:dLbls>
          <c:showLegendKey val="0"/>
          <c:showVal val="0"/>
          <c:showCatName val="0"/>
          <c:showSerName val="0"/>
          <c:showPercent val="0"/>
          <c:showBubbleSize val="0"/>
        </c:dLbls>
        <c:gapWidth val="150"/>
        <c:overlap val="100"/>
        <c:axId val="325552384"/>
        <c:axId val="325558272"/>
      </c:barChart>
      <c:lineChart>
        <c:grouping val="standard"/>
        <c:varyColors val="0"/>
        <c:ser>
          <c:idx val="0"/>
          <c:order val="0"/>
          <c:tx>
            <c:strRef>
              <c:f>Sheet1!$D$3</c:f>
              <c:strCache>
                <c:ptCount val="1"/>
                <c:pt idx="0">
                  <c:v>ՀՆԱ</c:v>
                </c:pt>
              </c:strCache>
            </c:strRef>
          </c:tx>
          <c:spPr>
            <a:ln w="28575" cap="rnd">
              <a:solidFill>
                <a:schemeClr val="accent1"/>
              </a:solidFill>
              <a:round/>
            </a:ln>
            <a:effectLst/>
          </c:spPr>
          <c:marker>
            <c:symbol val="none"/>
          </c:marker>
          <c:dLbls>
            <c:dLbl>
              <c:idx val="2"/>
              <c:layout>
                <c:manualLayout>
                  <c:x val="-5.6988997065022043E-2"/>
                  <c:y val="4.48047625331750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3DA-4FAF-9EB8-08BBAFE8C165}"/>
                </c:ext>
              </c:extLst>
            </c:dLbl>
            <c:dLbl>
              <c:idx val="3"/>
              <c:layout>
                <c:manualLayout>
                  <c:x val="-4.8726129061453523E-2"/>
                  <c:y val="-4.85502719981231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3DA-4FAF-9EB8-08BBAFE8C165}"/>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Sheet1!$E$2:$I$2</c:f>
              <c:numCache>
                <c:formatCode>General</c:formatCode>
                <c:ptCount val="5"/>
                <c:pt idx="0">
                  <c:v>2018</c:v>
                </c:pt>
                <c:pt idx="1">
                  <c:v>2019</c:v>
                </c:pt>
                <c:pt idx="2">
                  <c:v>2020</c:v>
                </c:pt>
                <c:pt idx="3">
                  <c:v>2021</c:v>
                </c:pt>
                <c:pt idx="4">
                  <c:v>2022</c:v>
                </c:pt>
              </c:numCache>
            </c:numRef>
          </c:cat>
          <c:val>
            <c:numRef>
              <c:f>Sheet1!$E$3:$I$3</c:f>
              <c:numCache>
                <c:formatCode>0.0</c:formatCode>
                <c:ptCount val="5"/>
                <c:pt idx="0">
                  <c:v>5.200000000000002</c:v>
                </c:pt>
                <c:pt idx="1">
                  <c:v>7.5999999999999943</c:v>
                </c:pt>
                <c:pt idx="2">
                  <c:v>-7.4000000000000057</c:v>
                </c:pt>
                <c:pt idx="3">
                  <c:v>6.4900000000000011</c:v>
                </c:pt>
                <c:pt idx="4">
                  <c:v>7.0000000000000062</c:v>
                </c:pt>
              </c:numCache>
            </c:numRef>
          </c:val>
          <c:smooth val="0"/>
          <c:extLst>
            <c:ext xmlns:c16="http://schemas.microsoft.com/office/drawing/2014/chart" uri="{C3380CC4-5D6E-409C-BE32-E72D297353CC}">
              <c16:uniqueId val="{00000007-D3DA-4FAF-9EB8-08BBAFE8C165}"/>
            </c:ext>
          </c:extLst>
        </c:ser>
        <c:dLbls>
          <c:showLegendKey val="0"/>
          <c:showVal val="0"/>
          <c:showCatName val="0"/>
          <c:showSerName val="0"/>
          <c:showPercent val="0"/>
          <c:showBubbleSize val="0"/>
        </c:dLbls>
        <c:marker val="1"/>
        <c:smooth val="0"/>
        <c:axId val="325552384"/>
        <c:axId val="325558272"/>
      </c:lineChart>
      <c:catAx>
        <c:axId val="325552384"/>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5558272"/>
        <c:crosses val="autoZero"/>
        <c:auto val="1"/>
        <c:lblAlgn val="ctr"/>
        <c:lblOffset val="100"/>
        <c:noMultiLvlLbl val="0"/>
      </c:catAx>
      <c:valAx>
        <c:axId val="325558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5552384"/>
        <c:crosses val="autoZero"/>
        <c:crossBetween val="between"/>
      </c:valAx>
      <c:spPr>
        <a:noFill/>
        <a:ln>
          <a:noFill/>
        </a:ln>
        <a:effectLst/>
      </c:spPr>
    </c:plotArea>
    <c:legend>
      <c:legendPos val="b"/>
      <c:layout>
        <c:manualLayout>
          <c:xMode val="edge"/>
          <c:yMode val="edge"/>
          <c:x val="0"/>
          <c:y val="0.77835400008346001"/>
          <c:w val="1"/>
          <c:h val="0.1581293808862133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0597210264042"/>
          <c:y val="7.201309328968912E-2"/>
          <c:w val="0.81369779122581465"/>
          <c:h val="0.58559531940667808"/>
        </c:manualLayout>
      </c:layout>
      <c:barChart>
        <c:barDir val="col"/>
        <c:grouping val="stacked"/>
        <c:varyColors val="0"/>
        <c:ser>
          <c:idx val="1"/>
          <c:order val="1"/>
          <c:tx>
            <c:strRef>
              <c:f>Sheet1!$A$3</c:f>
              <c:strCache>
                <c:ptCount val="1"/>
                <c:pt idx="0">
                  <c:v>Սպառում</c:v>
                </c:pt>
              </c:strCache>
            </c:strRef>
          </c:tx>
          <c:spPr>
            <a:solidFill>
              <a:schemeClr val="accent2"/>
            </a:solidFill>
            <a:ln>
              <a:noFill/>
            </a:ln>
            <a:effectLst/>
          </c:spPr>
          <c:invertIfNegative val="0"/>
          <c:cat>
            <c:strRef>
              <c:f>Sheet1!$B$1:$F$1</c:f>
              <c:strCache>
                <c:ptCount val="5"/>
                <c:pt idx="0">
                  <c:v>2018</c:v>
                </c:pt>
                <c:pt idx="1">
                  <c:v>2019</c:v>
                </c:pt>
                <c:pt idx="2">
                  <c:v>2020</c:v>
                </c:pt>
                <c:pt idx="3">
                  <c:v>2021</c:v>
                </c:pt>
                <c:pt idx="4">
                  <c:v>2022</c:v>
                </c:pt>
              </c:strCache>
            </c:strRef>
          </c:cat>
          <c:val>
            <c:numRef>
              <c:f>Sheet1!$B$3:$F$3</c:f>
              <c:numCache>
                <c:formatCode>0.0</c:formatCode>
                <c:ptCount val="5"/>
                <c:pt idx="0">
                  <c:v>3.5092447105651088</c:v>
                </c:pt>
                <c:pt idx="1">
                  <c:v>10.680646817555598</c:v>
                </c:pt>
                <c:pt idx="2">
                  <c:v>-9.6964062213782558</c:v>
                </c:pt>
                <c:pt idx="3">
                  <c:v>6.9007492636863583</c:v>
                </c:pt>
                <c:pt idx="4">
                  <c:v>4.9233364245019544</c:v>
                </c:pt>
              </c:numCache>
            </c:numRef>
          </c:val>
          <c:extLst>
            <c:ext xmlns:c16="http://schemas.microsoft.com/office/drawing/2014/chart" uri="{C3380CC4-5D6E-409C-BE32-E72D297353CC}">
              <c16:uniqueId val="{00000000-9AD6-41F2-BB2A-AEC235CEE9EE}"/>
            </c:ext>
          </c:extLst>
        </c:ser>
        <c:ser>
          <c:idx val="2"/>
          <c:order val="2"/>
          <c:tx>
            <c:strRef>
              <c:f>Sheet1!$A$4</c:f>
              <c:strCache>
                <c:ptCount val="1"/>
                <c:pt idx="0">
                  <c:v>Հիմնական միջոցներում կապիտալ ներդրումներ</c:v>
                </c:pt>
              </c:strCache>
            </c:strRef>
          </c:tx>
          <c:spPr>
            <a:solidFill>
              <a:schemeClr val="accent3"/>
            </a:solidFill>
            <a:ln>
              <a:noFill/>
            </a:ln>
            <a:effectLst/>
          </c:spPr>
          <c:invertIfNegative val="0"/>
          <c:cat>
            <c:strRef>
              <c:f>Sheet1!$B$1:$F$1</c:f>
              <c:strCache>
                <c:ptCount val="5"/>
                <c:pt idx="0">
                  <c:v>2018</c:v>
                </c:pt>
                <c:pt idx="1">
                  <c:v>2019</c:v>
                </c:pt>
                <c:pt idx="2">
                  <c:v>2020</c:v>
                </c:pt>
                <c:pt idx="3">
                  <c:v>2021</c:v>
                </c:pt>
                <c:pt idx="4">
                  <c:v>2022</c:v>
                </c:pt>
              </c:strCache>
            </c:strRef>
          </c:cat>
          <c:val>
            <c:numRef>
              <c:f>Sheet1!$B$4:$F$4</c:f>
              <c:numCache>
                <c:formatCode>0.0</c:formatCode>
                <c:ptCount val="5"/>
                <c:pt idx="0">
                  <c:v>0.84712204793201873</c:v>
                </c:pt>
                <c:pt idx="1">
                  <c:v>0.73660007839076713</c:v>
                </c:pt>
                <c:pt idx="2">
                  <c:v>-1.360141465150009</c:v>
                </c:pt>
                <c:pt idx="3">
                  <c:v>0.59081563210847454</c:v>
                </c:pt>
                <c:pt idx="4">
                  <c:v>4.0705954420591111</c:v>
                </c:pt>
              </c:numCache>
            </c:numRef>
          </c:val>
          <c:extLst>
            <c:ext xmlns:c16="http://schemas.microsoft.com/office/drawing/2014/chart" uri="{C3380CC4-5D6E-409C-BE32-E72D297353CC}">
              <c16:uniqueId val="{00000001-9AD6-41F2-BB2A-AEC235CEE9EE}"/>
            </c:ext>
          </c:extLst>
        </c:ser>
        <c:ser>
          <c:idx val="3"/>
          <c:order val="3"/>
          <c:tx>
            <c:strRef>
              <c:f>Sheet1!$A$5</c:f>
              <c:strCache>
                <c:ptCount val="1"/>
                <c:pt idx="0">
                  <c:v>Զուտ արտահանում</c:v>
                </c:pt>
              </c:strCache>
            </c:strRef>
          </c:tx>
          <c:spPr>
            <a:solidFill>
              <a:schemeClr val="accent4"/>
            </a:solidFill>
            <a:ln>
              <a:noFill/>
            </a:ln>
            <a:effectLst/>
          </c:spPr>
          <c:invertIfNegative val="0"/>
          <c:cat>
            <c:strRef>
              <c:f>Sheet1!$B$1:$F$1</c:f>
              <c:strCache>
                <c:ptCount val="5"/>
                <c:pt idx="0">
                  <c:v>2018</c:v>
                </c:pt>
                <c:pt idx="1">
                  <c:v>2019</c:v>
                </c:pt>
                <c:pt idx="2">
                  <c:v>2020</c:v>
                </c:pt>
                <c:pt idx="3">
                  <c:v>2021</c:v>
                </c:pt>
                <c:pt idx="4">
                  <c:v>2022</c:v>
                </c:pt>
              </c:strCache>
            </c:strRef>
          </c:cat>
          <c:val>
            <c:numRef>
              <c:f>Sheet1!$B$5:$F$5</c:f>
              <c:numCache>
                <c:formatCode>0.0</c:formatCode>
                <c:ptCount val="5"/>
                <c:pt idx="0">
                  <c:v>-4.6043797249248186</c:v>
                </c:pt>
                <c:pt idx="1">
                  <c:v>0.14555833743502333</c:v>
                </c:pt>
                <c:pt idx="2">
                  <c:v>3.3845251138343819</c:v>
                </c:pt>
                <c:pt idx="3">
                  <c:v>-1.0015648957948522</c:v>
                </c:pt>
                <c:pt idx="4">
                  <c:v>-1.9939318665610655</c:v>
                </c:pt>
              </c:numCache>
            </c:numRef>
          </c:val>
          <c:extLst>
            <c:ext xmlns:c16="http://schemas.microsoft.com/office/drawing/2014/chart" uri="{C3380CC4-5D6E-409C-BE32-E72D297353CC}">
              <c16:uniqueId val="{00000002-9AD6-41F2-BB2A-AEC235CEE9EE}"/>
            </c:ext>
          </c:extLst>
        </c:ser>
        <c:dLbls>
          <c:showLegendKey val="0"/>
          <c:showVal val="0"/>
          <c:showCatName val="0"/>
          <c:showSerName val="0"/>
          <c:showPercent val="0"/>
          <c:showBubbleSize val="0"/>
        </c:dLbls>
        <c:gapWidth val="150"/>
        <c:overlap val="100"/>
        <c:axId val="325991808"/>
        <c:axId val="326005888"/>
      </c:barChart>
      <c:lineChart>
        <c:grouping val="standard"/>
        <c:varyColors val="0"/>
        <c:ser>
          <c:idx val="0"/>
          <c:order val="0"/>
          <c:tx>
            <c:strRef>
              <c:f>Sheet1!$A$2</c:f>
              <c:strCache>
                <c:ptCount val="1"/>
                <c:pt idx="0">
                  <c:v>ՀՆԱ</c:v>
                </c:pt>
              </c:strCache>
            </c:strRef>
          </c:tx>
          <c:spPr>
            <a:ln w="28575" cap="rnd">
              <a:solidFill>
                <a:schemeClr val="accent1"/>
              </a:solidFill>
              <a:round/>
            </a:ln>
            <a:effectLst/>
          </c:spPr>
          <c:marker>
            <c:symbol val="none"/>
          </c:marker>
          <c:dLbls>
            <c:dLbl>
              <c:idx val="0"/>
              <c:layout>
                <c:manualLayout>
                  <c:x val="-4.47245375076235E-2"/>
                  <c:y val="-5.3171287504747471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AD6-41F2-BB2A-AEC235CEE9EE}"/>
                </c:ext>
              </c:extLst>
            </c:dLbl>
            <c:dLbl>
              <c:idx val="1"/>
              <c:layout>
                <c:manualLayout>
                  <c:x val="-5.2856271599918722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AD6-41F2-BB2A-AEC235CEE9EE}"/>
                </c:ext>
              </c:extLst>
            </c:dLbl>
            <c:dLbl>
              <c:idx val="2"/>
              <c:layout>
                <c:manualLayout>
                  <c:x val="-6.0988005692213867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AD6-41F2-BB2A-AEC235CEE9EE}"/>
                </c:ext>
              </c:extLst>
            </c:dLbl>
            <c:dLbl>
              <c:idx val="3"/>
              <c:layout>
                <c:manualLayout>
                  <c:x val="-4.4724537507623577E-2"/>
                  <c:y val="-6.076718571971135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AD6-41F2-BB2A-AEC235CEE9EE}"/>
                </c:ext>
              </c:extLst>
            </c:dLbl>
            <c:dLbl>
              <c:idx val="4"/>
              <c:layout>
                <c:manualLayout>
                  <c:x val="-5.0985652611679283E-2"/>
                  <c:y val="-4.580027572512418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AD6-41F2-BB2A-AEC235CEE9EE}"/>
                </c:ext>
              </c:extLst>
            </c:dLbl>
            <c:dLbl>
              <c:idx val="5"/>
              <c:layout>
                <c:manualLayout>
                  <c:x val="-5.8613475307861367E-2"/>
                  <c:y val="-5.4261627854816703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D6-41F2-BB2A-AEC235CEE9EE}"/>
                </c:ext>
              </c:extLst>
            </c:dLbl>
            <c:dLbl>
              <c:idx val="6"/>
              <c:layout>
                <c:manualLayout>
                  <c:x val="-5.6802723810773906E-2"/>
                  <c:y val="-4.01595736727364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D6-41F2-BB2A-AEC235CEE9EE}"/>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c:v>
                </c:pt>
                <c:pt idx="1">
                  <c:v>2019</c:v>
                </c:pt>
                <c:pt idx="2">
                  <c:v>2020</c:v>
                </c:pt>
                <c:pt idx="3">
                  <c:v>2021</c:v>
                </c:pt>
                <c:pt idx="4">
                  <c:v>2022</c:v>
                </c:pt>
              </c:strCache>
            </c:strRef>
          </c:cat>
          <c:val>
            <c:numRef>
              <c:f>Sheet1!$B$2:$F$2</c:f>
              <c:numCache>
                <c:formatCode>0.0</c:formatCode>
                <c:ptCount val="5"/>
                <c:pt idx="0">
                  <c:v>5.200000000000002</c:v>
                </c:pt>
                <c:pt idx="1">
                  <c:v>7.5999999999999943</c:v>
                </c:pt>
                <c:pt idx="2">
                  <c:v>-7.4000000000000057</c:v>
                </c:pt>
                <c:pt idx="3">
                  <c:v>6.4899999999999807</c:v>
                </c:pt>
                <c:pt idx="4">
                  <c:v>7</c:v>
                </c:pt>
              </c:numCache>
            </c:numRef>
          </c:val>
          <c:smooth val="0"/>
          <c:extLst>
            <c:ext xmlns:c16="http://schemas.microsoft.com/office/drawing/2014/chart" uri="{C3380CC4-5D6E-409C-BE32-E72D297353CC}">
              <c16:uniqueId val="{0000000A-9AD6-41F2-BB2A-AEC235CEE9EE}"/>
            </c:ext>
          </c:extLst>
        </c:ser>
        <c:dLbls>
          <c:showLegendKey val="0"/>
          <c:showVal val="0"/>
          <c:showCatName val="0"/>
          <c:showSerName val="0"/>
          <c:showPercent val="0"/>
          <c:showBubbleSize val="0"/>
        </c:dLbls>
        <c:marker val="1"/>
        <c:smooth val="0"/>
        <c:axId val="325991808"/>
        <c:axId val="326005888"/>
      </c:lineChart>
      <c:catAx>
        <c:axId val="325991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005888"/>
        <c:crosses val="autoZero"/>
        <c:auto val="1"/>
        <c:lblAlgn val="ctr"/>
        <c:lblOffset val="100"/>
        <c:noMultiLvlLbl val="0"/>
      </c:catAx>
      <c:valAx>
        <c:axId val="326005888"/>
        <c:scaling>
          <c:orientation val="minMax"/>
          <c:max val="10"/>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5991808"/>
        <c:crosses val="autoZero"/>
        <c:crossBetween val="between"/>
      </c:valAx>
      <c:spPr>
        <a:noFill/>
        <a:ln>
          <a:noFill/>
        </a:ln>
        <a:effectLst/>
      </c:spPr>
    </c:plotArea>
    <c:legend>
      <c:legendPos val="b"/>
      <c:layout>
        <c:manualLayout>
          <c:xMode val="edge"/>
          <c:yMode val="edge"/>
          <c:x val="2.091774131948677E-2"/>
          <c:y val="0.76103826800655461"/>
          <c:w val="0.97908241294216225"/>
          <c:h val="0.238961873186904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505E-2"/>
          <c:y val="5.0925925925925923E-2"/>
          <c:w val="0.87232174103237092"/>
          <c:h val="0.58299139690871971"/>
        </c:manualLayout>
      </c:layout>
      <c:barChart>
        <c:barDir val="col"/>
        <c:grouping val="percentStacked"/>
        <c:varyColors val="0"/>
        <c:ser>
          <c:idx val="0"/>
          <c:order val="0"/>
          <c:tx>
            <c:strRef>
              <c:f>Sheet1!$A$8</c:f>
              <c:strCache>
                <c:ptCount val="1"/>
                <c:pt idx="0">
                  <c:v>Արդյունաբերություն</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Sheet1!$B$8:$F$8</c:f>
              <c:numCache>
                <c:formatCode>0.0</c:formatCode>
                <c:ptCount val="5"/>
                <c:pt idx="0">
                  <c:v>18.152724119014625</c:v>
                </c:pt>
                <c:pt idx="1">
                  <c:v>18.622463287683633</c:v>
                </c:pt>
                <c:pt idx="2">
                  <c:v>20.076394962967981</c:v>
                </c:pt>
                <c:pt idx="3">
                  <c:v>20.582063825942278</c:v>
                </c:pt>
                <c:pt idx="4">
                  <c:v>20.774419562633327</c:v>
                </c:pt>
              </c:numCache>
            </c:numRef>
          </c:val>
          <c:extLst>
            <c:ext xmlns:c16="http://schemas.microsoft.com/office/drawing/2014/chart" uri="{C3380CC4-5D6E-409C-BE32-E72D297353CC}">
              <c16:uniqueId val="{00000000-BCD2-4CFC-9FB2-2DA6CE028E69}"/>
            </c:ext>
          </c:extLst>
        </c:ser>
        <c:ser>
          <c:idx val="1"/>
          <c:order val="1"/>
          <c:tx>
            <c:strRef>
              <c:f>Sheet1!$A$9</c:f>
              <c:strCache>
                <c:ptCount val="1"/>
                <c:pt idx="0">
                  <c:v>Գյուղատնտեսություն և անտառային տնտեսություն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Sheet1!$B$9:$F$9</c:f>
              <c:numCache>
                <c:formatCode>0.0</c:formatCode>
                <c:ptCount val="5"/>
                <c:pt idx="0">
                  <c:v>13.942311655414608</c:v>
                </c:pt>
                <c:pt idx="1">
                  <c:v>11.525610737958816</c:v>
                </c:pt>
                <c:pt idx="2">
                  <c:v>11.213423906355571</c:v>
                </c:pt>
                <c:pt idx="3">
                  <c:v>11.347644824154189</c:v>
                </c:pt>
                <c:pt idx="4">
                  <c:v>11.018881282519818</c:v>
                </c:pt>
              </c:numCache>
            </c:numRef>
          </c:val>
          <c:extLst>
            <c:ext xmlns:c16="http://schemas.microsoft.com/office/drawing/2014/chart" uri="{C3380CC4-5D6E-409C-BE32-E72D297353CC}">
              <c16:uniqueId val="{00000001-BCD2-4CFC-9FB2-2DA6CE028E69}"/>
            </c:ext>
          </c:extLst>
        </c:ser>
        <c:ser>
          <c:idx val="2"/>
          <c:order val="2"/>
          <c:tx>
            <c:strRef>
              <c:f>Sheet1!$A$10</c:f>
              <c:strCache>
                <c:ptCount val="1"/>
                <c:pt idx="0">
                  <c:v>Շինարարություն</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Sheet1!$B$10:$F$10</c:f>
              <c:numCache>
                <c:formatCode>0.0</c:formatCode>
                <c:ptCount val="5"/>
                <c:pt idx="0">
                  <c:v>6.6038337286110593</c:v>
                </c:pt>
                <c:pt idx="1">
                  <c:v>6.3491451696598507</c:v>
                </c:pt>
                <c:pt idx="2">
                  <c:v>6.9788311532488487</c:v>
                </c:pt>
                <c:pt idx="3">
                  <c:v>6.7507976915880121</c:v>
                </c:pt>
                <c:pt idx="4">
                  <c:v>7.4448049309101458</c:v>
                </c:pt>
              </c:numCache>
            </c:numRef>
          </c:val>
          <c:extLst>
            <c:ext xmlns:c16="http://schemas.microsoft.com/office/drawing/2014/chart" uri="{C3380CC4-5D6E-409C-BE32-E72D297353CC}">
              <c16:uniqueId val="{00000002-BCD2-4CFC-9FB2-2DA6CE028E69}"/>
            </c:ext>
          </c:extLst>
        </c:ser>
        <c:ser>
          <c:idx val="3"/>
          <c:order val="3"/>
          <c:tx>
            <c:strRef>
              <c:f>Sheet1!$A$11</c:f>
              <c:strCache>
                <c:ptCount val="1"/>
                <c:pt idx="0">
                  <c:v>Ծառայություններ</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Sheet1!$B$11:$F$11</c:f>
              <c:numCache>
                <c:formatCode>0.0</c:formatCode>
                <c:ptCount val="5"/>
                <c:pt idx="0">
                  <c:v>50.677546310515176</c:v>
                </c:pt>
                <c:pt idx="1">
                  <c:v>52.112404130880435</c:v>
                </c:pt>
                <c:pt idx="2">
                  <c:v>50.845593502888647</c:v>
                </c:pt>
                <c:pt idx="3">
                  <c:v>50.548596630166564</c:v>
                </c:pt>
                <c:pt idx="4">
                  <c:v>50.011129713597391</c:v>
                </c:pt>
              </c:numCache>
            </c:numRef>
          </c:val>
          <c:extLst>
            <c:ext xmlns:c16="http://schemas.microsoft.com/office/drawing/2014/chart" uri="{C3380CC4-5D6E-409C-BE32-E72D297353CC}">
              <c16:uniqueId val="{00000003-BCD2-4CFC-9FB2-2DA6CE028E69}"/>
            </c:ext>
          </c:extLst>
        </c:ser>
        <c:ser>
          <c:idx val="4"/>
          <c:order val="4"/>
          <c:tx>
            <c:strRef>
              <c:f>Sheet1!$A$12</c:f>
              <c:strCache>
                <c:ptCount val="1"/>
                <c:pt idx="0">
                  <c:v>Զուտ հարկեր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Sheet1!$B$12:$F$12</c:f>
              <c:numCache>
                <c:formatCode>0.0</c:formatCode>
                <c:ptCount val="5"/>
                <c:pt idx="0">
                  <c:v>10.623584186444512</c:v>
                </c:pt>
                <c:pt idx="1">
                  <c:v>11.390376673817265</c:v>
                </c:pt>
                <c:pt idx="2">
                  <c:v>10.885756474538951</c:v>
                </c:pt>
                <c:pt idx="3">
                  <c:v>10.770897028148953</c:v>
                </c:pt>
                <c:pt idx="4">
                  <c:v>10.75076451033933</c:v>
                </c:pt>
              </c:numCache>
            </c:numRef>
          </c:val>
          <c:extLst>
            <c:ext xmlns:c16="http://schemas.microsoft.com/office/drawing/2014/chart" uri="{C3380CC4-5D6E-409C-BE32-E72D297353CC}">
              <c16:uniqueId val="{00000004-BCD2-4CFC-9FB2-2DA6CE028E69}"/>
            </c:ext>
          </c:extLst>
        </c:ser>
        <c:dLbls>
          <c:showLegendKey val="0"/>
          <c:showVal val="0"/>
          <c:showCatName val="0"/>
          <c:showSerName val="0"/>
          <c:showPercent val="0"/>
          <c:showBubbleSize val="0"/>
        </c:dLbls>
        <c:gapWidth val="150"/>
        <c:overlap val="100"/>
        <c:axId val="326079616"/>
        <c:axId val="326081152"/>
      </c:barChart>
      <c:catAx>
        <c:axId val="326079616"/>
        <c:scaling>
          <c:orientation val="minMax"/>
        </c:scaling>
        <c:delete val="0"/>
        <c:axPos val="b"/>
        <c:numFmt formatCode="0_)"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081152"/>
        <c:crosses val="autoZero"/>
        <c:auto val="1"/>
        <c:lblAlgn val="ctr"/>
        <c:lblOffset val="100"/>
        <c:noMultiLvlLbl val="0"/>
      </c:catAx>
      <c:valAx>
        <c:axId val="326081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079616"/>
        <c:crosses val="autoZero"/>
        <c:crossBetween val="between"/>
      </c:valAx>
      <c:spPr>
        <a:noFill/>
        <a:ln>
          <a:noFill/>
        </a:ln>
        <a:effectLst/>
      </c:spPr>
    </c:plotArea>
    <c:legend>
      <c:legendPos val="b"/>
      <c:layout>
        <c:manualLayout>
          <c:xMode val="edge"/>
          <c:yMode val="edge"/>
          <c:x val="0"/>
          <c:y val="0.73565859823077828"/>
          <c:w val="0.97725437445319496"/>
          <c:h val="0.236563948025015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046999039115"/>
          <c:y val="8.6819258089976328E-2"/>
          <c:w val="0.84559448496456369"/>
          <c:h val="0.6190958864948537"/>
        </c:manualLayout>
      </c:layout>
      <c:barChart>
        <c:barDir val="col"/>
        <c:grouping val="percentStacked"/>
        <c:varyColors val="0"/>
        <c:ser>
          <c:idx val="0"/>
          <c:order val="0"/>
          <c:tx>
            <c:strRef>
              <c:f>Sheet1!$A$2</c:f>
              <c:strCache>
                <c:ptCount val="1"/>
                <c:pt idx="0">
                  <c:v>Սպառում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 </c:v>
                </c:pt>
                <c:pt idx="1">
                  <c:v>2019 </c:v>
                </c:pt>
                <c:pt idx="2">
                  <c:v>2020</c:v>
                </c:pt>
                <c:pt idx="3">
                  <c:v>2021</c:v>
                </c:pt>
                <c:pt idx="4">
                  <c:v>2022</c:v>
                </c:pt>
              </c:strCache>
            </c:strRef>
          </c:cat>
          <c:val>
            <c:numRef>
              <c:f>Sheet1!$B$2:$F$2</c:f>
              <c:numCache>
                <c:formatCode>0.0</c:formatCode>
                <c:ptCount val="5"/>
                <c:pt idx="0">
                  <c:v>91.28757963722731</c:v>
                </c:pt>
                <c:pt idx="1">
                  <c:v>96.004021993844162</c:v>
                </c:pt>
                <c:pt idx="2">
                  <c:v>91.431166568885587</c:v>
                </c:pt>
                <c:pt idx="3">
                  <c:v>92.489123999581324</c:v>
                </c:pt>
                <c:pt idx="4">
                  <c:v>91.286159967092388</c:v>
                </c:pt>
              </c:numCache>
            </c:numRef>
          </c:val>
          <c:extLst>
            <c:ext xmlns:c16="http://schemas.microsoft.com/office/drawing/2014/chart" uri="{C3380CC4-5D6E-409C-BE32-E72D297353CC}">
              <c16:uniqueId val="{00000000-7BE7-4532-B46F-DDAE4250CDDE}"/>
            </c:ext>
          </c:extLst>
        </c:ser>
        <c:ser>
          <c:idx val="1"/>
          <c:order val="1"/>
          <c:tx>
            <c:strRef>
              <c:f>Sheet1!$A$3</c:f>
              <c:strCache>
                <c:ptCount val="1"/>
                <c:pt idx="0">
                  <c:v>Հիմնական միջոցներում կապիտալ ներդրումներ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 </c:v>
                </c:pt>
                <c:pt idx="1">
                  <c:v>2019 </c:v>
                </c:pt>
                <c:pt idx="2">
                  <c:v>2020</c:v>
                </c:pt>
                <c:pt idx="3">
                  <c:v>2021</c:v>
                </c:pt>
                <c:pt idx="4">
                  <c:v>2022</c:v>
                </c:pt>
              </c:strCache>
            </c:strRef>
          </c:cat>
          <c:val>
            <c:numRef>
              <c:f>Sheet1!$B$3:$F$3</c:f>
              <c:numCache>
                <c:formatCode>0.0</c:formatCode>
                <c:ptCount val="5"/>
                <c:pt idx="0">
                  <c:v>16.740910872517414</c:v>
                </c:pt>
                <c:pt idx="1">
                  <c:v>15.815598431976859</c:v>
                </c:pt>
                <c:pt idx="2">
                  <c:v>16.571815993690119</c:v>
                </c:pt>
                <c:pt idx="3">
                  <c:v>16.365526653131422</c:v>
                </c:pt>
                <c:pt idx="4">
                  <c:v>18.67814818551647</c:v>
                </c:pt>
              </c:numCache>
            </c:numRef>
          </c:val>
          <c:extLst>
            <c:ext xmlns:c16="http://schemas.microsoft.com/office/drawing/2014/chart" uri="{C3380CC4-5D6E-409C-BE32-E72D297353CC}">
              <c16:uniqueId val="{00000001-7BE7-4532-B46F-DDAE4250CDDE}"/>
            </c:ext>
          </c:extLst>
        </c:ser>
        <c:ser>
          <c:idx val="2"/>
          <c:order val="2"/>
          <c:tx>
            <c:strRef>
              <c:f>Sheet1!$A$4</c:f>
              <c:strCache>
                <c:ptCount val="1"/>
                <c:pt idx="0">
                  <c:v>Ապրանք. և ծառ. արտահանում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 </c:v>
                </c:pt>
                <c:pt idx="1">
                  <c:v>2019 </c:v>
                </c:pt>
                <c:pt idx="2">
                  <c:v>2020</c:v>
                </c:pt>
                <c:pt idx="3">
                  <c:v>2021</c:v>
                </c:pt>
                <c:pt idx="4">
                  <c:v>2022</c:v>
                </c:pt>
              </c:strCache>
            </c:strRef>
          </c:cat>
          <c:val>
            <c:numRef>
              <c:f>Sheet1!$B$4:$F$4</c:f>
              <c:numCache>
                <c:formatCode>0.0</c:formatCode>
                <c:ptCount val="5"/>
                <c:pt idx="0">
                  <c:v>39.392894028607309</c:v>
                </c:pt>
                <c:pt idx="1">
                  <c:v>41.35080136208493</c:v>
                </c:pt>
                <c:pt idx="2">
                  <c:v>29.763678036145652</c:v>
                </c:pt>
                <c:pt idx="3">
                  <c:v>32.580982315892349</c:v>
                </c:pt>
                <c:pt idx="4">
                  <c:v>34.547358141821491</c:v>
                </c:pt>
              </c:numCache>
            </c:numRef>
          </c:val>
          <c:extLst>
            <c:ext xmlns:c16="http://schemas.microsoft.com/office/drawing/2014/chart" uri="{C3380CC4-5D6E-409C-BE32-E72D297353CC}">
              <c16:uniqueId val="{00000002-7BE7-4532-B46F-DDAE4250CDDE}"/>
            </c:ext>
          </c:extLst>
        </c:ser>
        <c:ser>
          <c:idx val="3"/>
          <c:order val="3"/>
          <c:tx>
            <c:strRef>
              <c:f>Sheet1!$A$5</c:f>
              <c:strCache>
                <c:ptCount val="1"/>
                <c:pt idx="0">
                  <c:v>Ապրանք. և ծառ. ներմուծում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 </c:v>
                </c:pt>
                <c:pt idx="1">
                  <c:v>2019 </c:v>
                </c:pt>
                <c:pt idx="2">
                  <c:v>2020</c:v>
                </c:pt>
                <c:pt idx="3">
                  <c:v>2021</c:v>
                </c:pt>
                <c:pt idx="4">
                  <c:v>2022</c:v>
                </c:pt>
              </c:strCache>
            </c:strRef>
          </c:cat>
          <c:val>
            <c:numRef>
              <c:f>Sheet1!$B$5:$F$5</c:f>
              <c:numCache>
                <c:formatCode>0.0</c:formatCode>
                <c:ptCount val="5"/>
                <c:pt idx="0">
                  <c:v>53.080212992604729</c:v>
                </c:pt>
                <c:pt idx="1">
                  <c:v>54.763352766785822</c:v>
                </c:pt>
                <c:pt idx="2">
                  <c:v>39.727318732831193</c:v>
                </c:pt>
                <c:pt idx="3">
                  <c:v>42.227487267722495</c:v>
                </c:pt>
                <c:pt idx="4">
                  <c:v>45.44280896079129</c:v>
                </c:pt>
              </c:numCache>
            </c:numRef>
          </c:val>
          <c:extLst>
            <c:ext xmlns:c16="http://schemas.microsoft.com/office/drawing/2014/chart" uri="{C3380CC4-5D6E-409C-BE32-E72D297353CC}">
              <c16:uniqueId val="{00000003-7BE7-4532-B46F-DDAE4250CDDE}"/>
            </c:ext>
          </c:extLst>
        </c:ser>
        <c:dLbls>
          <c:showLegendKey val="0"/>
          <c:showVal val="0"/>
          <c:showCatName val="0"/>
          <c:showSerName val="0"/>
          <c:showPercent val="0"/>
          <c:showBubbleSize val="0"/>
        </c:dLbls>
        <c:gapWidth val="150"/>
        <c:overlap val="100"/>
        <c:axId val="326202496"/>
        <c:axId val="326204032"/>
      </c:barChart>
      <c:catAx>
        <c:axId val="32620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04032"/>
        <c:crosses val="autoZero"/>
        <c:auto val="1"/>
        <c:lblAlgn val="ctr"/>
        <c:lblOffset val="100"/>
        <c:noMultiLvlLbl val="0"/>
      </c:catAx>
      <c:valAx>
        <c:axId val="326204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02496"/>
        <c:crosses val="autoZero"/>
        <c:crossBetween val="between"/>
      </c:valAx>
      <c:spPr>
        <a:noFill/>
        <a:ln>
          <a:noFill/>
        </a:ln>
        <a:effectLst/>
      </c:spPr>
    </c:plotArea>
    <c:legend>
      <c:legendPos val="b"/>
      <c:layout>
        <c:manualLayout>
          <c:xMode val="edge"/>
          <c:yMode val="edge"/>
          <c:x val="5.2434256574987008E-3"/>
          <c:y val="0.82079933378493464"/>
          <c:w val="0.99475646011079077"/>
          <c:h val="0.1456102517572048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3434608552719"/>
          <c:y val="0.15695898950131323"/>
          <c:w val="0.79438558816511551"/>
          <c:h val="0.50461383816384664"/>
        </c:manualLayout>
      </c:layout>
      <c:barChart>
        <c:barDir val="col"/>
        <c:grouping val="clustered"/>
        <c:varyColors val="0"/>
        <c:ser>
          <c:idx val="0"/>
          <c:order val="0"/>
          <c:tx>
            <c:strRef>
              <c:f>Лист1!$B$1</c:f>
              <c:strCache>
                <c:ptCount val="1"/>
                <c:pt idx="0">
                  <c:v>Գործազուրկներ, հազ. մարդ</c:v>
                </c:pt>
              </c:strCache>
            </c:strRef>
          </c:tx>
          <c:spPr>
            <a:solidFill>
              <a:schemeClr val="accent1"/>
            </a:solidFill>
            <a:ln>
              <a:noFill/>
            </a:ln>
            <a:effectLst/>
          </c:spPr>
          <c:invertIfNegative val="0"/>
          <c:cat>
            <c:strRef>
              <c:f>Лист1!$A$2:$A$6</c:f>
              <c:strCache>
                <c:ptCount val="5"/>
                <c:pt idx="0">
                  <c:v>2020-I</c:v>
                </c:pt>
                <c:pt idx="1">
                  <c:v>2020-II</c:v>
                </c:pt>
                <c:pt idx="2">
                  <c:v>2020-III</c:v>
                </c:pt>
                <c:pt idx="3">
                  <c:v>2020-IV</c:v>
                </c:pt>
                <c:pt idx="4">
                  <c:v>2021-I</c:v>
                </c:pt>
              </c:strCache>
            </c:strRef>
          </c:cat>
          <c:val>
            <c:numRef>
              <c:f>Лист1!$B$2:$B$6</c:f>
              <c:numCache>
                <c:formatCode>General</c:formatCode>
                <c:ptCount val="5"/>
                <c:pt idx="0">
                  <c:v>232.8</c:v>
                </c:pt>
                <c:pt idx="1">
                  <c:v>218.1</c:v>
                </c:pt>
                <c:pt idx="2">
                  <c:v>226.9</c:v>
                </c:pt>
                <c:pt idx="3">
                  <c:v>184.8</c:v>
                </c:pt>
                <c:pt idx="4">
                  <c:v>193</c:v>
                </c:pt>
              </c:numCache>
            </c:numRef>
          </c:val>
          <c:extLst>
            <c:ext xmlns:c16="http://schemas.microsoft.com/office/drawing/2014/chart" uri="{C3380CC4-5D6E-409C-BE32-E72D297353CC}">
              <c16:uniqueId val="{00000000-440B-4004-90D4-86BB24AAE7B2}"/>
            </c:ext>
          </c:extLst>
        </c:ser>
        <c:ser>
          <c:idx val="1"/>
          <c:order val="1"/>
          <c:tx>
            <c:strRef>
              <c:f>Лист1!$C$1</c:f>
              <c:strCache>
                <c:ptCount val="1"/>
                <c:pt idx="0">
                  <c:v>Զբաղվածներ, հազ. մարդ</c:v>
                </c:pt>
              </c:strCache>
            </c:strRef>
          </c:tx>
          <c:spPr>
            <a:solidFill>
              <a:schemeClr val="accent2"/>
            </a:solidFill>
            <a:ln>
              <a:noFill/>
            </a:ln>
            <a:effectLst/>
          </c:spPr>
          <c:invertIfNegative val="0"/>
          <c:cat>
            <c:strRef>
              <c:f>Лист1!$A$2:$A$6</c:f>
              <c:strCache>
                <c:ptCount val="5"/>
                <c:pt idx="0">
                  <c:v>2020-I</c:v>
                </c:pt>
                <c:pt idx="1">
                  <c:v>2020-II</c:v>
                </c:pt>
                <c:pt idx="2">
                  <c:v>2020-III</c:v>
                </c:pt>
                <c:pt idx="3">
                  <c:v>2020-IV</c:v>
                </c:pt>
                <c:pt idx="4">
                  <c:v>2021-I</c:v>
                </c:pt>
              </c:strCache>
            </c:strRef>
          </c:cat>
          <c:val>
            <c:numRef>
              <c:f>Лист1!$C$2:$C$6</c:f>
              <c:numCache>
                <c:formatCode>General</c:formatCode>
                <c:ptCount val="5"/>
                <c:pt idx="0">
                  <c:v>946</c:v>
                </c:pt>
                <c:pt idx="1">
                  <c:v>1027.0999999999999</c:v>
                </c:pt>
                <c:pt idx="2" formatCode="0.0">
                  <c:v>1023</c:v>
                </c:pt>
                <c:pt idx="3" formatCode="0.0">
                  <c:v>967.3</c:v>
                </c:pt>
                <c:pt idx="4">
                  <c:v>943.8</c:v>
                </c:pt>
              </c:numCache>
            </c:numRef>
          </c:val>
          <c:extLst>
            <c:ext xmlns:c16="http://schemas.microsoft.com/office/drawing/2014/chart" uri="{C3380CC4-5D6E-409C-BE32-E72D297353CC}">
              <c16:uniqueId val="{00000001-440B-4004-90D4-86BB24AAE7B2}"/>
            </c:ext>
          </c:extLst>
        </c:ser>
        <c:dLbls>
          <c:showLegendKey val="0"/>
          <c:showVal val="0"/>
          <c:showCatName val="0"/>
          <c:showSerName val="0"/>
          <c:showPercent val="0"/>
          <c:showBubbleSize val="0"/>
        </c:dLbls>
        <c:gapWidth val="219"/>
        <c:overlap val="-27"/>
        <c:axId val="326269952"/>
        <c:axId val="326279936"/>
      </c:barChart>
      <c:lineChart>
        <c:grouping val="standard"/>
        <c:varyColors val="0"/>
        <c:ser>
          <c:idx val="2"/>
          <c:order val="2"/>
          <c:tx>
            <c:strRef>
              <c:f>Лист1!$D$1</c:f>
              <c:strCache>
                <c:ptCount val="1"/>
                <c:pt idx="0">
                  <c:v>Գործազրկության մակարդակ, %, աջ առանցք</c:v>
                </c:pt>
              </c:strCache>
            </c:strRef>
          </c:tx>
          <c:spPr>
            <a:ln w="28575" cap="rnd">
              <a:solidFill>
                <a:srgbClr val="C00000"/>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2020-I</c:v>
                </c:pt>
                <c:pt idx="1">
                  <c:v>2020-II</c:v>
                </c:pt>
                <c:pt idx="2">
                  <c:v>2020-III</c:v>
                </c:pt>
                <c:pt idx="3">
                  <c:v>2020-IV</c:v>
                </c:pt>
                <c:pt idx="4">
                  <c:v>2021-I</c:v>
                </c:pt>
              </c:strCache>
            </c:strRef>
          </c:cat>
          <c:val>
            <c:numRef>
              <c:f>Лист1!$D$2:$D$6</c:f>
              <c:numCache>
                <c:formatCode>0.0</c:formatCode>
                <c:ptCount val="5"/>
                <c:pt idx="0">
                  <c:v>19.7</c:v>
                </c:pt>
                <c:pt idx="1">
                  <c:v>17.5</c:v>
                </c:pt>
                <c:pt idx="2">
                  <c:v>18.100000000000001</c:v>
                </c:pt>
                <c:pt idx="3">
                  <c:v>16</c:v>
                </c:pt>
                <c:pt idx="4">
                  <c:v>17</c:v>
                </c:pt>
              </c:numCache>
            </c:numRef>
          </c:val>
          <c:smooth val="0"/>
          <c:extLst>
            <c:ext xmlns:c16="http://schemas.microsoft.com/office/drawing/2014/chart" uri="{C3380CC4-5D6E-409C-BE32-E72D297353CC}">
              <c16:uniqueId val="{00000002-440B-4004-90D4-86BB24AAE7B2}"/>
            </c:ext>
          </c:extLst>
        </c:ser>
        <c:dLbls>
          <c:showLegendKey val="0"/>
          <c:showVal val="0"/>
          <c:showCatName val="0"/>
          <c:showSerName val="0"/>
          <c:showPercent val="0"/>
          <c:showBubbleSize val="0"/>
        </c:dLbls>
        <c:marker val="1"/>
        <c:smooth val="0"/>
        <c:axId val="326283264"/>
        <c:axId val="326281472"/>
      </c:lineChart>
      <c:catAx>
        <c:axId val="32626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79936"/>
        <c:crosses val="autoZero"/>
        <c:auto val="1"/>
        <c:lblAlgn val="ctr"/>
        <c:lblOffset val="100"/>
        <c:noMultiLvlLbl val="0"/>
      </c:catAx>
      <c:valAx>
        <c:axId val="326279936"/>
        <c:scaling>
          <c:orientation val="minMax"/>
          <c:max val="1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69952"/>
        <c:crosses val="autoZero"/>
        <c:crossBetween val="between"/>
        <c:majorUnit val="200"/>
      </c:valAx>
      <c:valAx>
        <c:axId val="32628147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83264"/>
        <c:crosses val="max"/>
        <c:crossBetween val="between"/>
      </c:valAx>
      <c:catAx>
        <c:axId val="326283264"/>
        <c:scaling>
          <c:orientation val="minMax"/>
        </c:scaling>
        <c:delete val="1"/>
        <c:axPos val="b"/>
        <c:numFmt formatCode="General" sourceLinked="1"/>
        <c:majorTickMark val="none"/>
        <c:minorTickMark val="none"/>
        <c:tickLblPos val="none"/>
        <c:crossAx val="326281472"/>
        <c:crosses val="autoZero"/>
        <c:auto val="1"/>
        <c:lblAlgn val="ctr"/>
        <c:lblOffset val="100"/>
        <c:noMultiLvlLbl val="0"/>
      </c:catAx>
      <c:spPr>
        <a:noFill/>
        <a:ln>
          <a:noFill/>
        </a:ln>
        <a:effectLst/>
      </c:spPr>
    </c:plotArea>
    <c:legend>
      <c:legendPos val="b"/>
      <c:layout>
        <c:manualLayout>
          <c:xMode val="edge"/>
          <c:yMode val="edge"/>
          <c:x val="1.1575282854656208E-2"/>
          <c:y val="0.79644947529258803"/>
          <c:w val="0.81583986074847892"/>
          <c:h val="0.162042396032215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9.3106574844288706E-2"/>
          <c:y val="0"/>
        </c:manualLayout>
      </c:layout>
      <c:overlay val="0"/>
      <c:spPr>
        <a:noFill/>
        <a:ln>
          <a:noFill/>
        </a:ln>
        <a:effectLst/>
      </c:spPr>
    </c:title>
    <c:autoTitleDeleted val="0"/>
    <c:plotArea>
      <c:layout>
        <c:manualLayout>
          <c:layoutTarget val="inner"/>
          <c:xMode val="edge"/>
          <c:yMode val="edge"/>
          <c:x val="0.11873917014291722"/>
          <c:y val="7.0087221630047547E-2"/>
          <c:w val="0.80804307316570501"/>
          <c:h val="0.61867847769029227"/>
        </c:manualLayout>
      </c:layout>
      <c:lineChart>
        <c:grouping val="standard"/>
        <c:varyColors val="0"/>
        <c:ser>
          <c:idx val="0"/>
          <c:order val="0"/>
          <c:tx>
            <c:strRef>
              <c:f>Лист1!$B$1</c:f>
              <c:strCache>
                <c:ptCount val="1"/>
                <c:pt idx="0">
                  <c:v>Ընդամենը</c:v>
                </c:pt>
              </c:strCache>
            </c:strRef>
          </c:tx>
          <c:spPr>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Лист1!$A$2:$A$8</c:f>
              <c:strCache>
                <c:ptCount val="7"/>
                <c:pt idx="0">
                  <c:v>I</c:v>
                </c:pt>
                <c:pt idx="1">
                  <c:v>I-II</c:v>
                </c:pt>
                <c:pt idx="2">
                  <c:v>I-III</c:v>
                </c:pt>
                <c:pt idx="3">
                  <c:v>I-IV</c:v>
                </c:pt>
                <c:pt idx="4">
                  <c:v>I-V</c:v>
                </c:pt>
                <c:pt idx="5">
                  <c:v>I-VI</c:v>
                </c:pt>
                <c:pt idx="6">
                  <c:v>I-VII</c:v>
                </c:pt>
              </c:strCache>
            </c:strRef>
          </c:cat>
          <c:val>
            <c:numRef>
              <c:f>Лист1!$B$2:$B$8</c:f>
              <c:numCache>
                <c:formatCode>0.0</c:formatCode>
                <c:ptCount val="7"/>
                <c:pt idx="0">
                  <c:v>0.79999999999999716</c:v>
                </c:pt>
                <c:pt idx="1">
                  <c:v>1.5999999999999943</c:v>
                </c:pt>
                <c:pt idx="2">
                  <c:v>2.0999999999999943</c:v>
                </c:pt>
                <c:pt idx="3">
                  <c:v>3.5</c:v>
                </c:pt>
                <c:pt idx="4">
                  <c:v>4.4000000000000004</c:v>
                </c:pt>
                <c:pt idx="5">
                  <c:v>5.4</c:v>
                </c:pt>
                <c:pt idx="6">
                  <c:v>5.7</c:v>
                </c:pt>
              </c:numCache>
            </c:numRef>
          </c:val>
          <c:smooth val="0"/>
          <c:extLst>
            <c:ext xmlns:c16="http://schemas.microsoft.com/office/drawing/2014/chart" uri="{C3380CC4-5D6E-409C-BE32-E72D297353CC}">
              <c16:uniqueId val="{00000000-935F-40BE-A4FA-1BDE9DAC1635}"/>
            </c:ext>
          </c:extLst>
        </c:ser>
        <c:ser>
          <c:idx val="1"/>
          <c:order val="1"/>
          <c:tx>
            <c:strRef>
              <c:f>Лист1!$C$1</c:f>
              <c:strCache>
                <c:ptCount val="1"/>
                <c:pt idx="0">
                  <c:v>Պետական</c:v>
                </c:pt>
              </c:strCache>
            </c:strRef>
          </c:tx>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Лист1!$C$2:$C$8</c:f>
              <c:numCache>
                <c:formatCode>0.0</c:formatCode>
                <c:ptCount val="7"/>
                <c:pt idx="0">
                  <c:v>2.4000000000000057</c:v>
                </c:pt>
                <c:pt idx="1">
                  <c:v>2.4000000000000057</c:v>
                </c:pt>
                <c:pt idx="2">
                  <c:v>3</c:v>
                </c:pt>
                <c:pt idx="3">
                  <c:v>2.9000000000000057</c:v>
                </c:pt>
                <c:pt idx="4">
                  <c:v>3.7</c:v>
                </c:pt>
                <c:pt idx="5">
                  <c:v>3.9</c:v>
                </c:pt>
                <c:pt idx="6">
                  <c:v>3.6</c:v>
                </c:pt>
              </c:numCache>
            </c:numRef>
          </c:val>
          <c:smooth val="0"/>
          <c:extLst>
            <c:ext xmlns:c16="http://schemas.microsoft.com/office/drawing/2014/chart" uri="{C3380CC4-5D6E-409C-BE32-E72D297353CC}">
              <c16:uniqueId val="{00000001-935F-40BE-A4FA-1BDE9DAC1635}"/>
            </c:ext>
          </c:extLst>
        </c:ser>
        <c:ser>
          <c:idx val="2"/>
          <c:order val="2"/>
          <c:tx>
            <c:strRef>
              <c:f>Лист1!$D$1</c:f>
              <c:strCache>
                <c:ptCount val="1"/>
                <c:pt idx="0">
                  <c:v>Մասնավոր</c:v>
                </c:pt>
              </c:strCache>
            </c:strRef>
          </c:tx>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Лист1!$D$2:$D$8</c:f>
              <c:numCache>
                <c:formatCode>0.0</c:formatCode>
                <c:ptCount val="7"/>
                <c:pt idx="0">
                  <c:v>0.20000000000000284</c:v>
                </c:pt>
                <c:pt idx="1">
                  <c:v>1.4000000000000057</c:v>
                </c:pt>
                <c:pt idx="2">
                  <c:v>1.7999999999999972</c:v>
                </c:pt>
                <c:pt idx="3">
                  <c:v>3.7000000000000028</c:v>
                </c:pt>
                <c:pt idx="4">
                  <c:v>4.5999999999999996</c:v>
                </c:pt>
                <c:pt idx="5">
                  <c:v>5.9</c:v>
                </c:pt>
                <c:pt idx="6">
                  <c:v>6.5</c:v>
                </c:pt>
              </c:numCache>
            </c:numRef>
          </c:val>
          <c:smooth val="0"/>
          <c:extLst>
            <c:ext xmlns:c16="http://schemas.microsoft.com/office/drawing/2014/chart" uri="{C3380CC4-5D6E-409C-BE32-E72D297353CC}">
              <c16:uniqueId val="{00000002-935F-40BE-A4FA-1BDE9DAC1635}"/>
            </c:ext>
          </c:extLst>
        </c:ser>
        <c:dLbls>
          <c:showLegendKey val="0"/>
          <c:showVal val="0"/>
          <c:showCatName val="0"/>
          <c:showSerName val="0"/>
          <c:showPercent val="0"/>
          <c:showBubbleSize val="0"/>
        </c:dLbls>
        <c:smooth val="0"/>
        <c:axId val="326392448"/>
        <c:axId val="326414720"/>
      </c:lineChart>
      <c:catAx>
        <c:axId val="32639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414720"/>
        <c:crosses val="autoZero"/>
        <c:auto val="1"/>
        <c:lblAlgn val="ctr"/>
        <c:lblOffset val="100"/>
        <c:noMultiLvlLbl val="0"/>
      </c:catAx>
      <c:valAx>
        <c:axId val="326414720"/>
        <c:scaling>
          <c:orientation val="minMax"/>
          <c:max val="7"/>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392448"/>
        <c:crosses val="autoZero"/>
        <c:crossBetween val="between"/>
        <c:majorUnit val="1"/>
      </c:valAx>
      <c:spPr>
        <a:noFill/>
        <a:ln>
          <a:noFill/>
        </a:ln>
        <a:effectLst/>
      </c:spPr>
    </c:plotArea>
    <c:legend>
      <c:legendPos val="b"/>
      <c:layout>
        <c:manualLayout>
          <c:xMode val="edge"/>
          <c:yMode val="edge"/>
          <c:x val="5.8843537414965986E-2"/>
          <c:y val="0.80372399534053762"/>
          <c:w val="0.83130122127591199"/>
          <c:h val="9.2976776106579506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3619698175608326"/>
          <c:h val="0.66128895652749531"/>
        </c:manualLayout>
      </c:layout>
      <c:barChart>
        <c:barDir val="col"/>
        <c:grouping val="clustered"/>
        <c:varyColors val="0"/>
        <c:ser>
          <c:idx val="1"/>
          <c:order val="1"/>
          <c:tx>
            <c:strRef>
              <c:f>Sheet1!$A$3</c:f>
              <c:strCache>
                <c:ptCount val="1"/>
                <c:pt idx="0">
                  <c:v>Ապրանքների  հաշվեկշիռ</c:v>
                </c:pt>
              </c:strCache>
            </c:strRef>
          </c:tx>
          <c:spPr>
            <a:solidFill>
              <a:srgbClr val="C00000"/>
            </a:solidFill>
            <a:ln>
              <a:solidFill>
                <a:srgbClr val="C00000"/>
              </a:solidFill>
              <a:headEnd type="none"/>
              <a:tailEnd type="none"/>
            </a:ln>
            <a:effectLst/>
          </c:spPr>
          <c:invertIfNegative val="0"/>
          <c:cat>
            <c:strRef>
              <c:f>Sheet1!$B$1:$G$1</c:f>
              <c:strCache>
                <c:ptCount val="5"/>
                <c:pt idx="0">
                  <c:v>2018</c:v>
                </c:pt>
                <c:pt idx="1">
                  <c:v>2019</c:v>
                </c:pt>
                <c:pt idx="2">
                  <c:v>2020</c:v>
                </c:pt>
                <c:pt idx="3">
                  <c:v>2021*</c:v>
                </c:pt>
                <c:pt idx="4">
                  <c:v>2022*</c:v>
                </c:pt>
              </c:strCache>
            </c:strRef>
          </c:cat>
          <c:val>
            <c:numRef>
              <c:f>Sheet1!$B$3:$G$3</c:f>
              <c:numCache>
                <c:formatCode>0.0</c:formatCode>
                <c:ptCount val="5"/>
                <c:pt idx="0">
                  <c:v>-13.644258321979095</c:v>
                </c:pt>
                <c:pt idx="1">
                  <c:v>-13.178759026162695</c:v>
                </c:pt>
                <c:pt idx="2">
                  <c:v>-9.9365626834245582</c:v>
                </c:pt>
                <c:pt idx="3">
                  <c:v>-9.6177083976925388</c:v>
                </c:pt>
                <c:pt idx="4">
                  <c:v>-10.864425611484364</c:v>
                </c:pt>
              </c:numCache>
            </c:numRef>
          </c:val>
          <c:extLst>
            <c:ext xmlns:c16="http://schemas.microsoft.com/office/drawing/2014/chart" uri="{C3380CC4-5D6E-409C-BE32-E72D297353CC}">
              <c16:uniqueId val="{00000000-799A-42B8-A905-5FB69E1989A4}"/>
            </c:ext>
          </c:extLst>
        </c:ser>
        <c:ser>
          <c:idx val="2"/>
          <c:order val="2"/>
          <c:tx>
            <c:strRef>
              <c:f>Sheet1!$A$4</c:f>
              <c:strCache>
                <c:ptCount val="1"/>
                <c:pt idx="0">
                  <c:v>Դրամական փոխանցումներ</c:v>
                </c:pt>
              </c:strCache>
            </c:strRef>
          </c:tx>
          <c:spPr>
            <a:solidFill>
              <a:srgbClr val="0070C0"/>
            </a:solidFill>
            <a:ln>
              <a:solidFill>
                <a:srgbClr val="0070C0"/>
              </a:solidFill>
            </a:ln>
            <a:effectLst/>
          </c:spPr>
          <c:invertIfNegative val="0"/>
          <c:cat>
            <c:strRef>
              <c:f>Sheet1!$B$1:$G$1</c:f>
              <c:strCache>
                <c:ptCount val="5"/>
                <c:pt idx="0">
                  <c:v>2018</c:v>
                </c:pt>
                <c:pt idx="1">
                  <c:v>2019</c:v>
                </c:pt>
                <c:pt idx="2">
                  <c:v>2020</c:v>
                </c:pt>
                <c:pt idx="3">
                  <c:v>2021*</c:v>
                </c:pt>
                <c:pt idx="4">
                  <c:v>2022*</c:v>
                </c:pt>
              </c:strCache>
            </c:strRef>
          </c:cat>
          <c:val>
            <c:numRef>
              <c:f>Sheet1!$B$4:$G$4</c:f>
              <c:numCache>
                <c:formatCode>0.0</c:formatCode>
                <c:ptCount val="5"/>
                <c:pt idx="0">
                  <c:v>9.12006102267061</c:v>
                </c:pt>
                <c:pt idx="1">
                  <c:v>8.3981963185381812</c:v>
                </c:pt>
                <c:pt idx="2">
                  <c:v>8.2287451267512584</c:v>
                </c:pt>
                <c:pt idx="3">
                  <c:v>10.080247029154878</c:v>
                </c:pt>
                <c:pt idx="4">
                  <c:v>9.626998654260758</c:v>
                </c:pt>
              </c:numCache>
            </c:numRef>
          </c:val>
          <c:extLst>
            <c:ext xmlns:c16="http://schemas.microsoft.com/office/drawing/2014/chart" uri="{C3380CC4-5D6E-409C-BE32-E72D297353CC}">
              <c16:uniqueId val="{00000001-799A-42B8-A905-5FB69E1989A4}"/>
            </c:ext>
          </c:extLst>
        </c:ser>
        <c:ser>
          <c:idx val="3"/>
          <c:order val="3"/>
          <c:tx>
            <c:strRef>
              <c:f>Sheet1!$A$5</c:f>
              <c:strCache>
                <c:ptCount val="1"/>
                <c:pt idx="0">
                  <c:v>Ծառայությունների հաշվեկշիռ</c:v>
                </c:pt>
              </c:strCache>
            </c:strRef>
          </c:tx>
          <c:spPr>
            <a:solidFill>
              <a:srgbClr val="ED7D31"/>
            </a:solidFill>
            <a:ln w="28575" cap="rnd">
              <a:solidFill>
                <a:srgbClr val="ED7D31"/>
              </a:solidFill>
              <a:round/>
            </a:ln>
            <a:effectLst/>
          </c:spPr>
          <c:invertIfNegative val="0"/>
          <c:cat>
            <c:strRef>
              <c:f>Sheet1!$B$1:$G$1</c:f>
              <c:strCache>
                <c:ptCount val="5"/>
                <c:pt idx="0">
                  <c:v>2018</c:v>
                </c:pt>
                <c:pt idx="1">
                  <c:v>2019</c:v>
                </c:pt>
                <c:pt idx="2">
                  <c:v>2020</c:v>
                </c:pt>
                <c:pt idx="3">
                  <c:v>2021*</c:v>
                </c:pt>
                <c:pt idx="4">
                  <c:v>2022*</c:v>
                </c:pt>
              </c:strCache>
            </c:strRef>
          </c:cat>
          <c:val>
            <c:numRef>
              <c:f>Sheet1!$B$5:$G$5</c:f>
              <c:numCache>
                <c:formatCode>0.0</c:formatCode>
                <c:ptCount val="5"/>
                <c:pt idx="0">
                  <c:v>0.19789519811247197</c:v>
                </c:pt>
                <c:pt idx="1">
                  <c:v>-0.49137771962102195</c:v>
                </c:pt>
                <c:pt idx="2">
                  <c:v>0.79215216104683872</c:v>
                </c:pt>
                <c:pt idx="3">
                  <c:v>0.8696992818394681</c:v>
                </c:pt>
                <c:pt idx="4">
                  <c:v>0.96873569646584623</c:v>
                </c:pt>
              </c:numCache>
            </c:numRef>
          </c:val>
          <c:extLst>
            <c:ext xmlns:c16="http://schemas.microsoft.com/office/drawing/2014/chart" uri="{C3380CC4-5D6E-409C-BE32-E72D297353CC}">
              <c16:uniqueId val="{00000002-799A-42B8-A905-5FB69E1989A4}"/>
            </c:ext>
          </c:extLst>
        </c:ser>
        <c:dLbls>
          <c:showLegendKey val="0"/>
          <c:showVal val="0"/>
          <c:showCatName val="0"/>
          <c:showSerName val="0"/>
          <c:showPercent val="0"/>
          <c:showBubbleSize val="0"/>
        </c:dLbls>
        <c:gapWidth val="150"/>
        <c:axId val="326717824"/>
        <c:axId val="326711936"/>
      </c:barChart>
      <c:lineChart>
        <c:grouping val="stacked"/>
        <c:varyColors val="0"/>
        <c:ser>
          <c:idx val="0"/>
          <c:order val="0"/>
          <c:tx>
            <c:strRef>
              <c:f>Sheet1!$A$2</c:f>
              <c:strCache>
                <c:ptCount val="1"/>
                <c:pt idx="0">
                  <c:v>Ընթացիկ հաշիվ</c:v>
                </c:pt>
              </c:strCache>
            </c:strRef>
          </c:tx>
          <c:spPr>
            <a:ln w="28575" cap="rnd">
              <a:solidFill>
                <a:srgbClr val="FFC000">
                  <a:lumMod val="60000"/>
                  <a:lumOff val="40000"/>
                </a:srgbClr>
              </a:solidFill>
              <a:round/>
            </a:ln>
            <a:effectLst/>
          </c:spPr>
          <c:marker>
            <c:symbol val="circle"/>
            <c:size val="5"/>
            <c:spPr>
              <a:solidFill>
                <a:srgbClr val="FFC000">
                  <a:lumMod val="60000"/>
                  <a:lumOff val="40000"/>
                </a:srgbClr>
              </a:solidFill>
              <a:ln w="9525">
                <a:solidFill>
                  <a:srgbClr val="FFC000">
                    <a:lumMod val="60000"/>
                    <a:lumOff val="4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5"/>
                <c:pt idx="0">
                  <c:v>2018</c:v>
                </c:pt>
                <c:pt idx="1">
                  <c:v>2019</c:v>
                </c:pt>
                <c:pt idx="2">
                  <c:v>2020</c:v>
                </c:pt>
                <c:pt idx="3">
                  <c:v>2021*</c:v>
                </c:pt>
                <c:pt idx="4">
                  <c:v>2022*</c:v>
                </c:pt>
              </c:strCache>
            </c:strRef>
          </c:cat>
          <c:val>
            <c:numRef>
              <c:f>Sheet1!$B$2:$G$2</c:f>
              <c:numCache>
                <c:formatCode>0.0</c:formatCode>
                <c:ptCount val="5"/>
                <c:pt idx="0">
                  <c:v>-7.0305485843998303</c:v>
                </c:pt>
                <c:pt idx="1">
                  <c:v>-7.3591240712202897</c:v>
                </c:pt>
                <c:pt idx="2">
                  <c:v>-3.786869106981785</c:v>
                </c:pt>
                <c:pt idx="3">
                  <c:v>-1.7423409000493983</c:v>
                </c:pt>
                <c:pt idx="4">
                  <c:v>-2.9865455559182683</c:v>
                </c:pt>
              </c:numCache>
            </c:numRef>
          </c:val>
          <c:smooth val="0"/>
          <c:extLst>
            <c:ext xmlns:c16="http://schemas.microsoft.com/office/drawing/2014/chart" uri="{C3380CC4-5D6E-409C-BE32-E72D297353CC}">
              <c16:uniqueId val="{00000003-799A-42B8-A905-5FB69E1989A4}"/>
            </c:ext>
          </c:extLst>
        </c:ser>
        <c:dLbls>
          <c:showLegendKey val="0"/>
          <c:showVal val="0"/>
          <c:showCatName val="0"/>
          <c:showSerName val="0"/>
          <c:showPercent val="0"/>
          <c:showBubbleSize val="0"/>
        </c:dLbls>
        <c:marker val="1"/>
        <c:smooth val="0"/>
        <c:axId val="326720896"/>
        <c:axId val="326719360"/>
      </c:lineChart>
      <c:valAx>
        <c:axId val="326711936"/>
        <c:scaling>
          <c:orientation val="minMax"/>
          <c:max val="11"/>
          <c:min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717824"/>
        <c:crosses val="autoZero"/>
        <c:crossBetween val="between"/>
      </c:valAx>
      <c:catAx>
        <c:axId val="326717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6711936"/>
        <c:crosses val="autoZero"/>
        <c:auto val="1"/>
        <c:lblAlgn val="ctr"/>
        <c:lblOffset val="100"/>
        <c:noMultiLvlLbl val="0"/>
      </c:catAx>
      <c:valAx>
        <c:axId val="326719360"/>
        <c:scaling>
          <c:orientation val="minMax"/>
        </c:scaling>
        <c:delete val="1"/>
        <c:axPos val="r"/>
        <c:numFmt formatCode="0.0" sourceLinked="1"/>
        <c:majorTickMark val="out"/>
        <c:minorTickMark val="none"/>
        <c:tickLblPos val="none"/>
        <c:crossAx val="326720896"/>
        <c:crosses val="max"/>
        <c:crossBetween val="between"/>
      </c:valAx>
      <c:catAx>
        <c:axId val="326720896"/>
        <c:scaling>
          <c:orientation val="minMax"/>
        </c:scaling>
        <c:delete val="1"/>
        <c:axPos val="b"/>
        <c:numFmt formatCode="General" sourceLinked="1"/>
        <c:majorTickMark val="out"/>
        <c:minorTickMark val="none"/>
        <c:tickLblPos val="none"/>
        <c:crossAx val="326719360"/>
        <c:crosses val="autoZero"/>
        <c:auto val="1"/>
        <c:lblAlgn val="ctr"/>
        <c:lblOffset val="100"/>
        <c:noMultiLvlLbl val="0"/>
      </c:catAx>
      <c:spPr>
        <a:solidFill>
          <a:schemeClr val="bg1"/>
        </a:solidFill>
        <a:ln>
          <a:noFill/>
        </a:ln>
        <a:effectLst/>
      </c:spPr>
    </c:plotArea>
    <c:legend>
      <c:legendPos val="b"/>
      <c:layout>
        <c:manualLayout>
          <c:xMode val="edge"/>
          <c:yMode val="edge"/>
          <c:x val="5.3783209225543877E-3"/>
          <c:y val="0.7846087943437805"/>
          <c:w val="0.97570090670484499"/>
          <c:h val="0.21539120565621953"/>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zero"/>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6378599935282063"/>
          <c:h val="0.73564911528916299"/>
        </c:manualLayout>
      </c:layout>
      <c:barChart>
        <c:barDir val="col"/>
        <c:grouping val="clustered"/>
        <c:varyColors val="0"/>
        <c:ser>
          <c:idx val="0"/>
          <c:order val="0"/>
          <c:tx>
            <c:strRef>
              <c:f>Sheet1!$A$2</c:f>
              <c:strCache>
                <c:ptCount val="1"/>
                <c:pt idx="0">
                  <c:v>Ապրանքների և ծառայությունների արտահանում</c:v>
                </c:pt>
              </c:strCache>
            </c:strRef>
          </c:tx>
          <c:spPr>
            <a:ln w="28575" cap="rnd">
              <a:solidFill>
                <a:srgbClr val="4472C4"/>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c:v>
                </c:pt>
                <c:pt idx="1">
                  <c:v>2019</c:v>
                </c:pt>
                <c:pt idx="2">
                  <c:v>2020</c:v>
                </c:pt>
                <c:pt idx="3">
                  <c:v>2021*</c:v>
                </c:pt>
                <c:pt idx="4">
                  <c:v>2022*</c:v>
                </c:pt>
              </c:strCache>
            </c:strRef>
          </c:cat>
          <c:val>
            <c:numRef>
              <c:f>Sheet1!$B$2:$F$2</c:f>
              <c:numCache>
                <c:formatCode>0.0</c:formatCode>
                <c:ptCount val="5"/>
                <c:pt idx="0">
                  <c:v>39.667608515572965</c:v>
                </c:pt>
                <c:pt idx="1">
                  <c:v>41.985467543342466</c:v>
                </c:pt>
                <c:pt idx="2">
                  <c:v>29.764298371950591</c:v>
                </c:pt>
                <c:pt idx="3">
                  <c:v>32.581679137168507</c:v>
                </c:pt>
                <c:pt idx="4">
                  <c:v>34.5479475509227</c:v>
                </c:pt>
              </c:numCache>
            </c:numRef>
          </c:val>
          <c:extLst>
            <c:ext xmlns:c16="http://schemas.microsoft.com/office/drawing/2014/chart" uri="{C3380CC4-5D6E-409C-BE32-E72D297353CC}">
              <c16:uniqueId val="{00000000-6B07-4DE6-8540-86FB64FABC9A}"/>
            </c:ext>
          </c:extLst>
        </c:ser>
        <c:ser>
          <c:idx val="1"/>
          <c:order val="1"/>
          <c:tx>
            <c:strRef>
              <c:f>Sheet1!$A$3</c:f>
              <c:strCache>
                <c:ptCount val="1"/>
                <c:pt idx="0">
                  <c:v>Ապրանքների և ծառայությունների ներմուծում</c:v>
                </c:pt>
              </c:strCache>
            </c:strRef>
          </c:tx>
          <c:spPr>
            <a:solidFill>
              <a:srgbClr val="C00000"/>
            </a:solidFill>
            <a:ln>
              <a:solidFill>
                <a:srgbClr val="C00000"/>
              </a:solidFill>
              <a:headEnd type="none"/>
              <a:tailEnd type="none"/>
            </a:ln>
            <a:effectLst/>
          </c:spPr>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Sheet1!$B$1:$F$1</c:f>
              <c:strCache>
                <c:ptCount val="5"/>
                <c:pt idx="0">
                  <c:v>2018</c:v>
                </c:pt>
                <c:pt idx="1">
                  <c:v>2019</c:v>
                </c:pt>
                <c:pt idx="2">
                  <c:v>2020</c:v>
                </c:pt>
                <c:pt idx="3">
                  <c:v>2021*</c:v>
                </c:pt>
                <c:pt idx="4">
                  <c:v>2022*</c:v>
                </c:pt>
              </c:strCache>
            </c:strRef>
          </c:cat>
          <c:val>
            <c:numRef>
              <c:f>Sheet1!$B$3:$F$3</c:f>
              <c:numCache>
                <c:formatCode>0.0</c:formatCode>
                <c:ptCount val="5"/>
                <c:pt idx="0">
                  <c:v>53.31186683755206</c:v>
                </c:pt>
                <c:pt idx="1">
                  <c:v>55.164226569505161</c:v>
                </c:pt>
                <c:pt idx="2">
                  <c:v>39.70086105537515</c:v>
                </c:pt>
                <c:pt idx="3">
                  <c:v>42.199387534861046</c:v>
                </c:pt>
                <c:pt idx="4">
                  <c:v>45.412373162407064</c:v>
                </c:pt>
              </c:numCache>
            </c:numRef>
          </c:val>
          <c:extLst>
            <c:ext xmlns:c16="http://schemas.microsoft.com/office/drawing/2014/chart" uri="{C3380CC4-5D6E-409C-BE32-E72D297353CC}">
              <c16:uniqueId val="{00000001-6B07-4DE6-8540-86FB64FABC9A}"/>
            </c:ext>
          </c:extLst>
        </c:ser>
        <c:dLbls>
          <c:showLegendKey val="0"/>
          <c:showVal val="0"/>
          <c:showCatName val="0"/>
          <c:showSerName val="0"/>
          <c:showPercent val="0"/>
          <c:showBubbleSize val="0"/>
        </c:dLbls>
        <c:gapWidth val="150"/>
        <c:axId val="326758784"/>
        <c:axId val="326589056"/>
      </c:barChart>
      <c:valAx>
        <c:axId val="326589056"/>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n-US"/>
          </a:p>
        </c:txPr>
        <c:crossAx val="326758784"/>
        <c:crosses val="autoZero"/>
        <c:crossBetween val="between"/>
        <c:majorUnit val="10"/>
      </c:valAx>
      <c:catAx>
        <c:axId val="326758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6589056"/>
        <c:crosses val="autoZero"/>
        <c:auto val="1"/>
        <c:lblAlgn val="ctr"/>
        <c:lblOffset val="100"/>
        <c:noMultiLvlLbl val="0"/>
      </c:catAx>
      <c:spPr>
        <a:solidFill>
          <a:schemeClr val="bg1"/>
        </a:solidFill>
        <a:ln>
          <a:noFill/>
        </a:ln>
        <a:effectLst/>
      </c:spPr>
    </c:plotArea>
    <c:legend>
      <c:legendPos val="b"/>
      <c:layout>
        <c:manualLayout>
          <c:xMode val="edge"/>
          <c:yMode val="edge"/>
          <c:x val="2.3948413133595012E-2"/>
          <c:y val="0.85107968646776433"/>
          <c:w val="0.92111602488045008"/>
          <c:h val="0.1400820565299374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6"/>
          <c:y val="7.7192982456140605E-2"/>
          <c:w val="0.85358700104683449"/>
          <c:h val="0.53218566100289999"/>
        </c:manualLayout>
      </c:layout>
      <c:lineChart>
        <c:grouping val="standard"/>
        <c:varyColors val="0"/>
        <c:ser>
          <c:idx val="0"/>
          <c:order val="0"/>
          <c:tx>
            <c:strRef>
              <c:f>Sheet1!$A$2</c:f>
              <c:strCache>
                <c:ptCount val="1"/>
                <c:pt idx="0">
                  <c:v>12 ամսյա փոփոխություն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-7.5999999999999943</c:v>
                </c:pt>
                <c:pt idx="1">
                  <c:v>-1</c:v>
                </c:pt>
                <c:pt idx="2">
                  <c:v>19.900000000000006</c:v>
                </c:pt>
                <c:pt idx="3">
                  <c:v>64.300000000000011</c:v>
                </c:pt>
                <c:pt idx="4">
                  <c:v>37.099999999999994</c:v>
                </c:pt>
                <c:pt idx="5">
                  <c:v>31.300000000000011</c:v>
                </c:pt>
                <c:pt idx="6">
                  <c:v>24.299999999999997</c:v>
                </c:pt>
                <c:pt idx="7">
                  <c:v>13.900000000000006</c:v>
                </c:pt>
              </c:numCache>
            </c:numRef>
          </c:val>
          <c:smooth val="0"/>
          <c:extLst>
            <c:ext xmlns:c16="http://schemas.microsoft.com/office/drawing/2014/chart" uri="{C3380CC4-5D6E-409C-BE32-E72D297353CC}">
              <c16:uniqueId val="{00000000-2FF0-4882-96A6-48ECF3E972F5}"/>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dLbl>
              <c:idx val="0"/>
              <c:layout>
                <c:manualLayout>
                  <c:x val="-2.6974951830443159E-2"/>
                  <c:y val="5.00782472613457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FF0-4882-96A6-48ECF3E972F5}"/>
                </c:ext>
              </c:extLst>
            </c:dLbl>
            <c:dLbl>
              <c:idx val="1"/>
              <c:layout>
                <c:manualLayout>
                  <c:x val="-1.1560693641618497E-2"/>
                  <c:y val="5.633802816901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FF0-4882-96A6-48ECF3E972F5}"/>
                </c:ext>
              </c:extLst>
            </c:dLbl>
            <c:dLbl>
              <c:idx val="2"/>
              <c:delete val="1"/>
              <c:extLst>
                <c:ext xmlns:c15="http://schemas.microsoft.com/office/drawing/2012/chart" uri="{CE6537A1-D6FC-4f65-9D91-7224C49458BB}"/>
                <c:ext xmlns:c16="http://schemas.microsoft.com/office/drawing/2014/chart" uri="{C3380CC4-5D6E-409C-BE32-E72D297353CC}">
                  <c16:uniqueId val="{00000003-2FF0-4882-96A6-48ECF3E972F5}"/>
                </c:ext>
              </c:extLst>
            </c:dLbl>
            <c:dLbl>
              <c:idx val="3"/>
              <c:layout>
                <c:manualLayout>
                  <c:x val="-4.6242774566474062E-2"/>
                  <c:y val="6.43111160400724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FF0-4882-96A6-48ECF3E972F5}"/>
                </c:ext>
              </c:extLst>
            </c:dLbl>
            <c:dLbl>
              <c:idx val="4"/>
              <c:layout>
                <c:manualLayout>
                  <c:x val="-1.5414258188824592E-2"/>
                  <c:y val="4.91228070175438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FF0-4882-96A6-48ECF3E972F5}"/>
                </c:ext>
              </c:extLst>
            </c:dLbl>
            <c:dLbl>
              <c:idx val="5"/>
              <c:layout>
                <c:manualLayout>
                  <c:x val="-2.6974951830443159E-2"/>
                  <c:y val="6.31578947368421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FF0-4882-96A6-48ECF3E972F5}"/>
                </c:ext>
              </c:extLst>
            </c:dLbl>
            <c:dLbl>
              <c:idx val="6"/>
              <c:layout>
                <c:manualLayout>
                  <c:x val="-3.8535645472061654E-2"/>
                  <c:y val="5.6897958177762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FF0-4882-96A6-48ECF3E972F5}"/>
                </c:ext>
              </c:extLst>
            </c:dLbl>
            <c:dLbl>
              <c:idx val="7"/>
              <c:layout>
                <c:manualLayout>
                  <c:x val="-2.6974951830443301E-2"/>
                  <c:y val="-6.12798048131307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FF0-4882-96A6-48ECF3E972F5}"/>
                </c:ext>
              </c:extLst>
            </c:dLbl>
            <c:dLbl>
              <c:idx val="8"/>
              <c:layout>
                <c:manualLayout>
                  <c:x val="-4.238921001926782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F0-4882-96A6-48ECF3E972F5}"/>
                </c:ext>
              </c:extLst>
            </c:dLbl>
            <c:dLbl>
              <c:idx val="9"/>
              <c:layout>
                <c:manualLayout>
                  <c:x val="-2.3121387283236993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F0-4882-96A6-48ECF3E972F5}"/>
                </c:ext>
              </c:extLst>
            </c:dLbl>
            <c:spPr>
              <a:noFill/>
              <a:ln>
                <a:noFill/>
              </a:ln>
              <a:effectLst/>
            </c:spPr>
            <c:txPr>
              <a:bodyPr/>
              <a:lstStyle/>
              <a:p>
                <a:pPr>
                  <a:defRPr b="1">
                    <a:solidFill>
                      <a:srgbClr val="9900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-7.5999999999999801</c:v>
                </c:pt>
                <c:pt idx="1">
                  <c:v>-4.0966066481994545</c:v>
                </c:pt>
                <c:pt idx="2">
                  <c:v>3.7114366660808855</c:v>
                </c:pt>
                <c:pt idx="3">
                  <c:v>16.43022202826954</c:v>
                </c:pt>
                <c:pt idx="4">
                  <c:v>20.867873601539515</c:v>
                </c:pt>
                <c:pt idx="5">
                  <c:v>22.942751413008835</c:v>
                </c:pt>
                <c:pt idx="6">
                  <c:v>23.161063782467608</c:v>
                </c:pt>
                <c:pt idx="7">
                  <c:v>21.761863237321606</c:v>
                </c:pt>
              </c:numCache>
            </c:numRef>
          </c:val>
          <c:smooth val="0"/>
          <c:extLst>
            <c:ext xmlns:c16="http://schemas.microsoft.com/office/drawing/2014/chart" uri="{C3380CC4-5D6E-409C-BE32-E72D297353CC}">
              <c16:uniqueId val="{0000000B-2FF0-4882-96A6-48ECF3E972F5}"/>
            </c:ext>
          </c:extLst>
        </c:ser>
        <c:dLbls>
          <c:showLegendKey val="0"/>
          <c:showVal val="0"/>
          <c:showCatName val="0"/>
          <c:showSerName val="0"/>
          <c:showPercent val="0"/>
          <c:showBubbleSize val="0"/>
        </c:dLbls>
        <c:marker val="1"/>
        <c:smooth val="0"/>
        <c:axId val="326868352"/>
        <c:axId val="326902912"/>
      </c:lineChart>
      <c:catAx>
        <c:axId val="326868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902912"/>
        <c:crosses val="autoZero"/>
        <c:auto val="1"/>
        <c:lblAlgn val="ctr"/>
        <c:lblOffset val="100"/>
        <c:noMultiLvlLbl val="0"/>
      </c:catAx>
      <c:valAx>
        <c:axId val="326902912"/>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868352"/>
        <c:crosses val="autoZero"/>
        <c:crossBetween val="between"/>
        <c:majorUnit val="10"/>
      </c:valAx>
      <c:spPr>
        <a:noFill/>
        <a:ln>
          <a:noFill/>
        </a:ln>
        <a:effectLst/>
      </c:spPr>
    </c:plotArea>
    <c:legend>
      <c:legendPos val="b"/>
      <c:layout>
        <c:manualLayout>
          <c:xMode val="edge"/>
          <c:yMode val="edge"/>
          <c:x val="1.7440690881381768E-2"/>
          <c:y val="0.80522613620665839"/>
          <c:w val="0.97802150537634414"/>
          <c:h val="0.15266860063544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52192175627783854"/>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5.4262288421377688E-2"/>
                  <c:y val="-3.15183479423562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7D7-425C-A2E2-6BD56D1DEF8C}"/>
                </c:ext>
              </c:extLst>
            </c:dLbl>
            <c:dLbl>
              <c:idx val="1"/>
              <c:layout>
                <c:manualLayout>
                  <c:x val="-2.1651349308890587E-2"/>
                  <c:y val="-4.42186132983377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7D7-425C-A2E2-6BD56D1DEF8C}"/>
                </c:ext>
              </c:extLst>
            </c:dLbl>
            <c:dLbl>
              <c:idx val="2"/>
              <c:layout>
                <c:manualLayout>
                  <c:x val="-3.4272527079625893E-2"/>
                  <c:y val="-6.50519466316710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7D7-425C-A2E2-6BD56D1DEF8C}"/>
                </c:ext>
              </c:extLst>
            </c:dLbl>
            <c:dLbl>
              <c:idx val="3"/>
              <c:layout>
                <c:manualLayout>
                  <c:x val="-6.9360246377871512E-2"/>
                  <c:y val="5.99480533683290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7D7-425C-A2E2-6BD56D1DEF8C}"/>
                </c:ext>
              </c:extLst>
            </c:dLbl>
            <c:dLbl>
              <c:idx val="4"/>
              <c:layout>
                <c:manualLayout>
                  <c:x val="-6.4375807513224928E-2"/>
                  <c:y val="6.68924978127734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7D7-425C-A2E2-6BD56D1DEF8C}"/>
                </c:ext>
              </c:extLst>
            </c:dLbl>
            <c:dLbl>
              <c:idx val="5"/>
              <c:layout>
                <c:manualLayout>
                  <c:x val="-6.9256884685079997E-2"/>
                  <c:y val="6.03078521434820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7D7-425C-A2E2-6BD56D1DEF8C}"/>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7D7-425C-A2E2-6BD56D1DEF8C}"/>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D7-425C-A2E2-6BD56D1DEF8C}"/>
                </c:ext>
              </c:extLst>
            </c:dLbl>
            <c:dLbl>
              <c:idx val="8"/>
              <c:layout>
                <c:manualLayout>
                  <c:x val="-4.0763511372223997E-2"/>
                  <c:y val="6.7466097987751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D7-425C-A2E2-6BD56D1DEF8C}"/>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7"/>
                <c:pt idx="0">
                  <c:v>հունվար</c:v>
                </c:pt>
                <c:pt idx="1">
                  <c:v>փետրվար</c:v>
                </c:pt>
                <c:pt idx="2">
                  <c:v>մարտ</c:v>
                </c:pt>
                <c:pt idx="3">
                  <c:v>ապրիլ</c:v>
                </c:pt>
                <c:pt idx="4">
                  <c:v>մայիս</c:v>
                </c:pt>
                <c:pt idx="5">
                  <c:v>հունիս</c:v>
                </c:pt>
                <c:pt idx="6">
                  <c:v>հուլիս</c:v>
                </c:pt>
              </c:strCache>
            </c:strRef>
          </c:cat>
          <c:val>
            <c:numRef>
              <c:f>Sheet1!$B$2:$H$2</c:f>
              <c:numCache>
                <c:formatCode>0.0</c:formatCode>
                <c:ptCount val="7"/>
                <c:pt idx="0">
                  <c:v>-16.333448913510452</c:v>
                </c:pt>
                <c:pt idx="1">
                  <c:v>-14.028754642553395</c:v>
                </c:pt>
                <c:pt idx="2">
                  <c:v>-7.9393825897907391</c:v>
                </c:pt>
                <c:pt idx="3">
                  <c:v>3.6916617016594415</c:v>
                </c:pt>
                <c:pt idx="4">
                  <c:v>4.853192802181681</c:v>
                </c:pt>
                <c:pt idx="5">
                  <c:v>5.1791005531108141</c:v>
                </c:pt>
                <c:pt idx="6">
                  <c:v>5.6232876574529627</c:v>
                </c:pt>
              </c:numCache>
            </c:numRef>
          </c:val>
          <c:smooth val="0"/>
          <c:extLst>
            <c:ext xmlns:c16="http://schemas.microsoft.com/office/drawing/2014/chart" uri="{C3380CC4-5D6E-409C-BE32-E72D297353CC}">
              <c16:uniqueId val="{00000009-57D7-425C-A2E2-6BD56D1DEF8C}"/>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Sheet1!$B$1:$H$1</c:f>
              <c:strCache>
                <c:ptCount val="7"/>
                <c:pt idx="0">
                  <c:v>հունվար</c:v>
                </c:pt>
                <c:pt idx="1">
                  <c:v>փետրվար</c:v>
                </c:pt>
                <c:pt idx="2">
                  <c:v>մարտ</c:v>
                </c:pt>
                <c:pt idx="3">
                  <c:v>ապրիլ</c:v>
                </c:pt>
                <c:pt idx="4">
                  <c:v>մայիս</c:v>
                </c:pt>
                <c:pt idx="5">
                  <c:v>հունիս</c:v>
                </c:pt>
                <c:pt idx="6">
                  <c:v>հուլիս</c:v>
                </c:pt>
              </c:strCache>
            </c:strRef>
          </c:cat>
          <c:val>
            <c:numRef>
              <c:f>Sheet1!$B$3:$H$3</c:f>
              <c:numCache>
                <c:formatCode>0.0</c:formatCode>
                <c:ptCount val="7"/>
                <c:pt idx="0">
                  <c:v>19.599999999999994</c:v>
                </c:pt>
                <c:pt idx="1">
                  <c:v>21.599999999999994</c:v>
                </c:pt>
                <c:pt idx="2">
                  <c:v>22.400000000000006</c:v>
                </c:pt>
                <c:pt idx="3">
                  <c:v>22.200000000000003</c:v>
                </c:pt>
                <c:pt idx="4">
                  <c:v>24.900000000000006</c:v>
                </c:pt>
                <c:pt idx="5">
                  <c:v>26.299999999999997</c:v>
                </c:pt>
                <c:pt idx="6">
                  <c:v>24.700000000000003</c:v>
                </c:pt>
              </c:numCache>
            </c:numRef>
          </c:val>
          <c:smooth val="0"/>
          <c:extLst>
            <c:ext xmlns:c16="http://schemas.microsoft.com/office/drawing/2014/chart" uri="{C3380CC4-5D6E-409C-BE32-E72D297353CC}">
              <c16:uniqueId val="{0000000A-57D7-425C-A2E2-6BD56D1DEF8C}"/>
            </c:ext>
          </c:extLst>
        </c:ser>
        <c:dLbls>
          <c:showLegendKey val="0"/>
          <c:showVal val="0"/>
          <c:showCatName val="0"/>
          <c:showSerName val="0"/>
          <c:showPercent val="0"/>
          <c:showBubbleSize val="0"/>
        </c:dLbls>
        <c:marker val="1"/>
        <c:smooth val="0"/>
        <c:axId val="326793856"/>
        <c:axId val="326959872"/>
      </c:lineChart>
      <c:catAx>
        <c:axId val="326793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959872"/>
        <c:crosses val="autoZero"/>
        <c:auto val="1"/>
        <c:lblAlgn val="ctr"/>
        <c:lblOffset val="100"/>
        <c:noMultiLvlLbl val="0"/>
      </c:catAx>
      <c:valAx>
        <c:axId val="326959872"/>
        <c:scaling>
          <c:orientation val="minMax"/>
          <c:max val="35"/>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793856"/>
        <c:crosses val="autoZero"/>
        <c:crossBetween val="between"/>
        <c:majorUnit val="10"/>
      </c:valAx>
      <c:spPr>
        <a:noFill/>
        <a:ln>
          <a:noFill/>
        </a:ln>
        <a:effectLst/>
      </c:spPr>
    </c:plotArea>
    <c:legend>
      <c:legendPos val="b"/>
      <c:layout>
        <c:manualLayout>
          <c:xMode val="edge"/>
          <c:yMode val="edge"/>
          <c:x val="1.290348140444713E-2"/>
          <c:y val="0.77859664093712422"/>
          <c:w val="0.95869985292086213"/>
          <c:h val="0.187681884592012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614709925968"/>
          <c:y val="0.12727272727272718"/>
          <c:w val="0.82715542910077533"/>
          <c:h val="0.45733767572247186"/>
        </c:manualLayout>
      </c:layout>
      <c:barChart>
        <c:barDir val="col"/>
        <c:grouping val="clustered"/>
        <c:varyColors val="0"/>
        <c:ser>
          <c:idx val="1"/>
          <c:order val="1"/>
          <c:tx>
            <c:strRef>
              <c:f>Sheet1!$C$1</c:f>
              <c:strCache>
                <c:ptCount val="1"/>
                <c:pt idx="0">
                  <c:v>Արտահանում</c:v>
                </c:pt>
              </c:strCache>
            </c:strRef>
          </c:tx>
          <c:spPr>
            <a:solidFill>
              <a:schemeClr val="accent2"/>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Sheet1!$C$2:$C$7</c:f>
              <c:numCache>
                <c:formatCode>#,##0.0;"–"#,##0.0</c:formatCode>
                <c:ptCount val="5"/>
                <c:pt idx="0">
                  <c:v>3.7</c:v>
                </c:pt>
                <c:pt idx="1">
                  <c:v>1</c:v>
                </c:pt>
                <c:pt idx="2">
                  <c:v>-8.1</c:v>
                </c:pt>
                <c:pt idx="3">
                  <c:v>7.79</c:v>
                </c:pt>
                <c:pt idx="4">
                  <c:v>6.3</c:v>
                </c:pt>
              </c:numCache>
            </c:numRef>
          </c:val>
          <c:extLst>
            <c:ext xmlns:c16="http://schemas.microsoft.com/office/drawing/2014/chart" uri="{C3380CC4-5D6E-409C-BE32-E72D297353CC}">
              <c16:uniqueId val="{00000000-E461-4F63-9725-54370B685EF8}"/>
            </c:ext>
          </c:extLst>
        </c:ser>
        <c:ser>
          <c:idx val="2"/>
          <c:order val="2"/>
          <c:tx>
            <c:strRef>
              <c:f>Sheet1!$D$1</c:f>
              <c:strCache>
                <c:ptCount val="1"/>
                <c:pt idx="0">
                  <c:v>Ներմուծում</c:v>
                </c:pt>
              </c:strCache>
            </c:strRef>
          </c:tx>
          <c:spPr>
            <a:solidFill>
              <a:srgbClr val="0070C0"/>
            </a:solidFill>
            <a:ln>
              <a:solidFill>
                <a:schemeClr val="accent1"/>
              </a:solid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Sheet1!$D$2:$D$7</c:f>
              <c:numCache>
                <c:formatCode>#,##0.0;"–"#,##0.0</c:formatCode>
                <c:ptCount val="5"/>
                <c:pt idx="0">
                  <c:v>4.0730000000000004</c:v>
                </c:pt>
                <c:pt idx="1">
                  <c:v>0.73499999999999999</c:v>
                </c:pt>
                <c:pt idx="2">
                  <c:v>-8.9</c:v>
                </c:pt>
                <c:pt idx="3">
                  <c:v>9.1</c:v>
                </c:pt>
                <c:pt idx="4">
                  <c:v>6.75</c:v>
                </c:pt>
              </c:numCache>
            </c:numRef>
          </c:val>
          <c:extLst>
            <c:ext xmlns:c16="http://schemas.microsoft.com/office/drawing/2014/chart" uri="{C3380CC4-5D6E-409C-BE32-E72D297353CC}">
              <c16:uniqueId val="{00000001-E461-4F63-9725-54370B685EF8}"/>
            </c:ext>
          </c:extLst>
        </c:ser>
        <c:dLbls>
          <c:showLegendKey val="0"/>
          <c:showVal val="0"/>
          <c:showCatName val="0"/>
          <c:showSerName val="0"/>
          <c:showPercent val="0"/>
          <c:showBubbleSize val="0"/>
        </c:dLbls>
        <c:gapWidth val="150"/>
        <c:axId val="281591808"/>
        <c:axId val="281593344"/>
      </c:barChart>
      <c:lineChart>
        <c:grouping val="standard"/>
        <c:varyColors val="0"/>
        <c:ser>
          <c:idx val="0"/>
          <c:order val="0"/>
          <c:tx>
            <c:strRef>
              <c:f>Sheet1!$B$1</c:f>
              <c:strCache>
                <c:ptCount val="1"/>
                <c:pt idx="0">
                  <c:v>Առևտրաշրջանառություն</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2018</c:v>
                </c:pt>
                <c:pt idx="1">
                  <c:v>2019</c:v>
                </c:pt>
                <c:pt idx="2">
                  <c:v>2020</c:v>
                </c:pt>
                <c:pt idx="3">
                  <c:v>2021</c:v>
                </c:pt>
                <c:pt idx="4">
                  <c:v>2022</c:v>
                </c:pt>
              </c:numCache>
            </c:numRef>
          </c:cat>
          <c:val>
            <c:numRef>
              <c:f>Sheet1!$B$2:$B$7</c:f>
              <c:numCache>
                <c:formatCode>#,##0.0;"–"#,##0.0</c:formatCode>
                <c:ptCount val="5"/>
                <c:pt idx="0">
                  <c:v>3.8860000000000001</c:v>
                </c:pt>
                <c:pt idx="1">
                  <c:v>0.85199999999999998</c:v>
                </c:pt>
                <c:pt idx="2">
                  <c:v>-8.5</c:v>
                </c:pt>
                <c:pt idx="3">
                  <c:v>8.4</c:v>
                </c:pt>
                <c:pt idx="4">
                  <c:v>6.5</c:v>
                </c:pt>
              </c:numCache>
            </c:numRef>
          </c:val>
          <c:smooth val="0"/>
          <c:extLst>
            <c:ext xmlns:c16="http://schemas.microsoft.com/office/drawing/2014/chart" uri="{C3380CC4-5D6E-409C-BE32-E72D297353CC}">
              <c16:uniqueId val="{00000002-E461-4F63-9725-54370B685EF8}"/>
            </c:ext>
          </c:extLst>
        </c:ser>
        <c:dLbls>
          <c:showLegendKey val="0"/>
          <c:showVal val="0"/>
          <c:showCatName val="0"/>
          <c:showSerName val="0"/>
          <c:showPercent val="0"/>
          <c:showBubbleSize val="0"/>
        </c:dLbls>
        <c:marker val="1"/>
        <c:smooth val="0"/>
        <c:axId val="281591808"/>
        <c:axId val="281593344"/>
      </c:lineChart>
      <c:catAx>
        <c:axId val="281591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593344"/>
        <c:crosses val="autoZero"/>
        <c:auto val="1"/>
        <c:lblAlgn val="ctr"/>
        <c:lblOffset val="100"/>
        <c:noMultiLvlLbl val="0"/>
      </c:catAx>
      <c:valAx>
        <c:axId val="28159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layout/>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591808"/>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4.6399353926912981E-2"/>
          <c:y val="0.80366684530925792"/>
          <c:w val="0.9400150504156628"/>
          <c:h val="0.193829410067197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Sheet1!$B$1:$H$1</c:f>
              <c:strCache>
                <c:ptCount val="7"/>
                <c:pt idx="0">
                  <c:v>հունվար</c:v>
                </c:pt>
                <c:pt idx="1">
                  <c:v>փետրվար</c:v>
                </c:pt>
                <c:pt idx="2">
                  <c:v>մարտ</c:v>
                </c:pt>
                <c:pt idx="3">
                  <c:v>ապրիլ</c:v>
                </c:pt>
                <c:pt idx="4">
                  <c:v>մայիս</c:v>
                </c:pt>
                <c:pt idx="5">
                  <c:v>հունիս</c:v>
                </c:pt>
                <c:pt idx="6">
                  <c:v>հուլիս </c:v>
                </c:pt>
              </c:strCache>
            </c:strRef>
          </c:cat>
          <c:val>
            <c:numRef>
              <c:f>Sheet1!$B$2:$H$2</c:f>
              <c:numCache>
                <c:formatCode>0.0</c:formatCode>
                <c:ptCount val="7"/>
                <c:pt idx="0">
                  <c:v>-15.782192675769508</c:v>
                </c:pt>
                <c:pt idx="1">
                  <c:v>-13.929290550657313</c:v>
                </c:pt>
                <c:pt idx="2">
                  <c:v>-9.3586397895597031</c:v>
                </c:pt>
                <c:pt idx="3">
                  <c:v>0.48781203042173615</c:v>
                </c:pt>
                <c:pt idx="4">
                  <c:v>6.2464955928162738</c:v>
                </c:pt>
                <c:pt idx="5">
                  <c:v>6.355805871933768</c:v>
                </c:pt>
                <c:pt idx="6">
                  <c:v>7.7648456633481402</c:v>
                </c:pt>
              </c:numCache>
            </c:numRef>
          </c:val>
          <c:smooth val="0"/>
          <c:extLst>
            <c:ext xmlns:c16="http://schemas.microsoft.com/office/drawing/2014/chart" uri="{C3380CC4-5D6E-409C-BE32-E72D297353CC}">
              <c16:uniqueId val="{00000000-DCFE-4D34-88A9-4449D4B5CC66}"/>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Sheet1!$B$1:$H$1</c:f>
              <c:strCache>
                <c:ptCount val="7"/>
                <c:pt idx="0">
                  <c:v>հունվար</c:v>
                </c:pt>
                <c:pt idx="1">
                  <c:v>փետրվար</c:v>
                </c:pt>
                <c:pt idx="2">
                  <c:v>մարտ</c:v>
                </c:pt>
                <c:pt idx="3">
                  <c:v>ապրիլ</c:v>
                </c:pt>
                <c:pt idx="4">
                  <c:v>մայիս</c:v>
                </c:pt>
                <c:pt idx="5">
                  <c:v>հունիս</c:v>
                </c:pt>
                <c:pt idx="6">
                  <c:v>հուլիս </c:v>
                </c:pt>
              </c:strCache>
            </c:strRef>
          </c:cat>
          <c:val>
            <c:numRef>
              <c:f>Sheet1!$B$3:$H$3</c:f>
              <c:numCache>
                <c:formatCode>0.0</c:formatCode>
                <c:ptCount val="7"/>
                <c:pt idx="0">
                  <c:v>3.9000000000000057</c:v>
                </c:pt>
                <c:pt idx="1">
                  <c:v>4.7000000000000028</c:v>
                </c:pt>
                <c:pt idx="2">
                  <c:v>6.7999999999999972</c:v>
                </c:pt>
                <c:pt idx="3">
                  <c:v>8.0999999999999943</c:v>
                </c:pt>
                <c:pt idx="4">
                  <c:v>8.9000000000000057</c:v>
                </c:pt>
                <c:pt idx="5">
                  <c:v>10</c:v>
                </c:pt>
                <c:pt idx="6">
                  <c:v>9.7999999999999972</c:v>
                </c:pt>
              </c:numCache>
            </c:numRef>
          </c:val>
          <c:smooth val="0"/>
          <c:extLst>
            <c:ext xmlns:c16="http://schemas.microsoft.com/office/drawing/2014/chart" uri="{C3380CC4-5D6E-409C-BE32-E72D297353CC}">
              <c16:uniqueId val="{00000001-DCFE-4D34-88A9-4449D4B5CC66}"/>
            </c:ext>
          </c:extLst>
        </c:ser>
        <c:dLbls>
          <c:showLegendKey val="0"/>
          <c:showVal val="0"/>
          <c:showCatName val="0"/>
          <c:showSerName val="0"/>
          <c:showPercent val="0"/>
          <c:showBubbleSize val="0"/>
        </c:dLbls>
        <c:marker val="1"/>
        <c:smooth val="0"/>
        <c:axId val="327027328"/>
        <c:axId val="327029504"/>
      </c:lineChart>
      <c:catAx>
        <c:axId val="3270273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29504"/>
        <c:crosses val="autoZero"/>
        <c:auto val="1"/>
        <c:lblAlgn val="ctr"/>
        <c:lblOffset val="100"/>
        <c:noMultiLvlLbl val="0"/>
      </c:catAx>
      <c:valAx>
        <c:axId val="327029504"/>
        <c:scaling>
          <c:orientation val="minMax"/>
          <c:max val="1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27328"/>
        <c:crosses val="autoZero"/>
        <c:crossBetween val="between"/>
        <c:majorUnit val="5"/>
      </c:valAx>
      <c:spPr>
        <a:noFill/>
        <a:ln>
          <a:noFill/>
        </a:ln>
        <a:effectLst/>
      </c:spPr>
    </c:plotArea>
    <c:legend>
      <c:legendPos val="b"/>
      <c:layout>
        <c:manualLayout>
          <c:xMode val="edge"/>
          <c:yMode val="edge"/>
          <c:x val="3.9658303581617586E-2"/>
          <c:y val="0.84919510061242365"/>
          <c:w val="0.83083600954714498"/>
          <c:h val="0.15080489938757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400231947783"/>
          <c:y val="6.636500754147813E-2"/>
          <c:w val="0.8241503387657938"/>
          <c:h val="0.59055021348137959"/>
        </c:manualLayout>
      </c:layout>
      <c:lineChart>
        <c:grouping val="standard"/>
        <c:varyColors val="0"/>
        <c:ser>
          <c:idx val="0"/>
          <c:order val="0"/>
          <c:tx>
            <c:strRef>
              <c:f>Sheet1!$A$2</c:f>
              <c:strCache>
                <c:ptCount val="1"/>
                <c:pt idx="0">
                  <c:v>12 ամսյա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Sheet1!$B$2:$I$2</c:f>
              <c:numCache>
                <c:formatCode>0.0</c:formatCode>
                <c:ptCount val="8"/>
                <c:pt idx="0">
                  <c:v>-19.5</c:v>
                </c:pt>
                <c:pt idx="1">
                  <c:v>-15.599999999999994</c:v>
                </c:pt>
                <c:pt idx="2">
                  <c:v>1.4000000000000057</c:v>
                </c:pt>
                <c:pt idx="3">
                  <c:v>39</c:v>
                </c:pt>
                <c:pt idx="4">
                  <c:v>34.699999999999989</c:v>
                </c:pt>
                <c:pt idx="5">
                  <c:v>15.900000000000006</c:v>
                </c:pt>
                <c:pt idx="6">
                  <c:v>22.599999999999994</c:v>
                </c:pt>
                <c:pt idx="7">
                  <c:v>-7.2999999999999972</c:v>
                </c:pt>
              </c:numCache>
            </c:numRef>
          </c:val>
          <c:smooth val="0"/>
          <c:extLst>
            <c:ext xmlns:c16="http://schemas.microsoft.com/office/drawing/2014/chart" uri="{C3380CC4-5D6E-409C-BE32-E72D297353CC}">
              <c16:uniqueId val="{00000000-D684-4457-A048-8A9924C03893}"/>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spPr>
              <a:noFill/>
              <a:ln>
                <a:noFill/>
              </a:ln>
              <a:effectLst/>
            </c:spPr>
            <c:txPr>
              <a:bodyPr wrap="square" lIns="38100" tIns="19050" rIns="38100" bIns="19050" anchor="ctr">
                <a:spAutoFit/>
              </a:bodyPr>
              <a:lstStyle/>
              <a:p>
                <a:pPr>
                  <a:defRPr b="1">
                    <a:solidFill>
                      <a:srgbClr val="990033"/>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Sheet1!$B$3:$I$3</c:f>
              <c:numCache>
                <c:formatCode>0.0</c:formatCode>
                <c:ptCount val="8"/>
                <c:pt idx="0">
                  <c:v>-19.499999999999986</c:v>
                </c:pt>
                <c:pt idx="1">
                  <c:v>-17.362186882073999</c:v>
                </c:pt>
                <c:pt idx="2">
                  <c:v>-10.936176816043599</c:v>
                </c:pt>
                <c:pt idx="3">
                  <c:v>7.998177219646152E-2</c:v>
                </c:pt>
                <c:pt idx="4">
                  <c:v>6.6190706655119271</c:v>
                </c:pt>
                <c:pt idx="5">
                  <c:v>8.2858067414749712</c:v>
                </c:pt>
                <c:pt idx="6">
                  <c:v>10.537632413553482</c:v>
                </c:pt>
                <c:pt idx="7">
                  <c:v>7.6770114832931426</c:v>
                </c:pt>
              </c:numCache>
            </c:numRef>
          </c:val>
          <c:smooth val="0"/>
          <c:extLst>
            <c:ext xmlns:c16="http://schemas.microsoft.com/office/drawing/2014/chart" uri="{C3380CC4-5D6E-409C-BE32-E72D297353CC}">
              <c16:uniqueId val="{00000001-D684-4457-A048-8A9924C03893}"/>
            </c:ext>
          </c:extLst>
        </c:ser>
        <c:dLbls>
          <c:showLegendKey val="0"/>
          <c:showVal val="0"/>
          <c:showCatName val="0"/>
          <c:showSerName val="0"/>
          <c:showPercent val="0"/>
          <c:showBubbleSize val="0"/>
        </c:dLbls>
        <c:marker val="1"/>
        <c:smooth val="0"/>
        <c:axId val="327015808"/>
        <c:axId val="327083136"/>
      </c:lineChart>
      <c:catAx>
        <c:axId val="327015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83136"/>
        <c:crosses val="autoZero"/>
        <c:auto val="1"/>
        <c:lblAlgn val="ctr"/>
        <c:lblOffset val="100"/>
        <c:noMultiLvlLbl val="0"/>
      </c:catAx>
      <c:valAx>
        <c:axId val="327083136"/>
        <c:scaling>
          <c:orientation val="minMax"/>
          <c:max val="4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15808"/>
        <c:crosses val="autoZero"/>
        <c:crossBetween val="between"/>
        <c:majorUnit val="10"/>
      </c:valAx>
      <c:spPr>
        <a:noFill/>
        <a:ln>
          <a:noFill/>
        </a:ln>
        <a:effectLst/>
      </c:spPr>
    </c:plotArea>
    <c:legend>
      <c:legendPos val="b"/>
      <c:layout>
        <c:manualLayout>
          <c:xMode val="edge"/>
          <c:yMode val="edge"/>
          <c:x val="0"/>
          <c:y val="0.82552036199094836"/>
          <c:w val="1"/>
          <c:h val="0.146048823543074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26771653564"/>
          <c:y val="9.1389048471945289E-2"/>
          <c:w val="0.89352514220179968"/>
          <c:h val="0.74930440561882716"/>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Sheet1!$B$1:$E$1</c:f>
              <c:strCache>
                <c:ptCount val="4"/>
                <c:pt idx="0">
                  <c:v>2018</c:v>
                </c:pt>
                <c:pt idx="1">
                  <c:v>2019</c:v>
                </c:pt>
                <c:pt idx="2">
                  <c:v>2020</c:v>
                </c:pt>
                <c:pt idx="3">
                  <c:v>2021*</c:v>
                </c:pt>
              </c:strCache>
            </c:strRef>
          </c:cat>
          <c:val>
            <c:numRef>
              <c:f>Sheet1!$B$2:$E$2</c:f>
              <c:numCache>
                <c:formatCode>0.0</c:formatCode>
                <c:ptCount val="4"/>
                <c:pt idx="0">
                  <c:v>39.667608515572965</c:v>
                </c:pt>
                <c:pt idx="1">
                  <c:v>41.985467543342466</c:v>
                </c:pt>
                <c:pt idx="2">
                  <c:v>29.764298371950591</c:v>
                </c:pt>
                <c:pt idx="3">
                  <c:v>32.581679137168507</c:v>
                </c:pt>
              </c:numCache>
            </c:numRef>
          </c:val>
          <c:extLst>
            <c:ext xmlns:c16="http://schemas.microsoft.com/office/drawing/2014/chart" uri="{C3380CC4-5D6E-409C-BE32-E72D297353CC}">
              <c16:uniqueId val="{00000000-80A9-4A75-BECF-D058B1CF712E}"/>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Sheet1!$B$1:$E$1</c:f>
              <c:strCache>
                <c:ptCount val="4"/>
                <c:pt idx="0">
                  <c:v>2018</c:v>
                </c:pt>
                <c:pt idx="1">
                  <c:v>2019</c:v>
                </c:pt>
                <c:pt idx="2">
                  <c:v>2020</c:v>
                </c:pt>
                <c:pt idx="3">
                  <c:v>2021*</c:v>
                </c:pt>
              </c:strCache>
            </c:strRef>
          </c:cat>
          <c:val>
            <c:numRef>
              <c:f>Sheet1!$B$3:$E$3</c:f>
              <c:numCache>
                <c:formatCode>0.0</c:formatCode>
                <c:ptCount val="4"/>
                <c:pt idx="0">
                  <c:v>12.066791952367396</c:v>
                </c:pt>
                <c:pt idx="1">
                  <c:v>15.709804500958342</c:v>
                </c:pt>
                <c:pt idx="2">
                  <c:v>-34.198868672796166</c:v>
                </c:pt>
                <c:pt idx="3">
                  <c:v>20.161771070210449</c:v>
                </c:pt>
              </c:numCache>
            </c:numRef>
          </c:val>
          <c:extLst>
            <c:ext xmlns:c16="http://schemas.microsoft.com/office/drawing/2014/chart" uri="{C3380CC4-5D6E-409C-BE32-E72D297353CC}">
              <c16:uniqueId val="{00000001-80A9-4A75-BECF-D058B1CF712E}"/>
            </c:ext>
          </c:extLst>
        </c:ser>
        <c:dLbls>
          <c:showLegendKey val="0"/>
          <c:showVal val="0"/>
          <c:showCatName val="0"/>
          <c:showSerName val="0"/>
          <c:showPercent val="0"/>
          <c:showBubbleSize val="0"/>
        </c:dLbls>
        <c:gapWidth val="150"/>
        <c:axId val="327142784"/>
        <c:axId val="327156864"/>
      </c:barChart>
      <c:catAx>
        <c:axId val="32714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156864"/>
        <c:crosses val="autoZero"/>
        <c:auto val="1"/>
        <c:lblAlgn val="ctr"/>
        <c:lblOffset val="100"/>
        <c:noMultiLvlLbl val="0"/>
      </c:catAx>
      <c:valAx>
        <c:axId val="327156864"/>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142784"/>
        <c:crosses val="autoZero"/>
        <c:crossBetween val="between"/>
        <c:majorUnit val="20"/>
      </c:valAx>
      <c:spPr>
        <a:noFill/>
        <a:ln>
          <a:noFill/>
        </a:ln>
        <a:effectLst/>
      </c:spPr>
    </c:plotArea>
    <c:legend>
      <c:legendPos val="b"/>
      <c:layout>
        <c:manualLayout>
          <c:xMode val="edge"/>
          <c:yMode val="edge"/>
          <c:x val="0.05"/>
          <c:y val="0.91940387279916191"/>
          <c:w val="0.92515703461595589"/>
          <c:h val="7.75356979460139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7462150075816"/>
          <c:y val="9.8556430446194623E-2"/>
          <c:w val="0.85282510140778012"/>
          <c:h val="0.74838039641596521"/>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Sheet1!$B$1:$E$1</c:f>
              <c:strCache>
                <c:ptCount val="4"/>
                <c:pt idx="0">
                  <c:v>2018</c:v>
                </c:pt>
                <c:pt idx="1">
                  <c:v>2019</c:v>
                </c:pt>
                <c:pt idx="2">
                  <c:v>2020</c:v>
                </c:pt>
                <c:pt idx="3">
                  <c:v>2021*</c:v>
                </c:pt>
              </c:strCache>
            </c:strRef>
          </c:cat>
          <c:val>
            <c:numRef>
              <c:f>Sheet1!$B$2:$E$2</c:f>
              <c:numCache>
                <c:formatCode>0.0</c:formatCode>
                <c:ptCount val="4"/>
                <c:pt idx="0">
                  <c:v>53.31186683755206</c:v>
                </c:pt>
                <c:pt idx="1">
                  <c:v>55.164226569505161</c:v>
                </c:pt>
                <c:pt idx="2">
                  <c:v>39.70086105537515</c:v>
                </c:pt>
                <c:pt idx="3">
                  <c:v>42.199387534861046</c:v>
                </c:pt>
              </c:numCache>
            </c:numRef>
          </c:val>
          <c:extLst>
            <c:ext xmlns:c16="http://schemas.microsoft.com/office/drawing/2014/chart" uri="{C3380CC4-5D6E-409C-BE32-E72D297353CC}">
              <c16:uniqueId val="{00000000-70CF-4320-8D96-566F387F711C}"/>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Sheet1!$B$1:$E$1</c:f>
              <c:strCache>
                <c:ptCount val="4"/>
                <c:pt idx="0">
                  <c:v>2018</c:v>
                </c:pt>
                <c:pt idx="1">
                  <c:v>2019</c:v>
                </c:pt>
                <c:pt idx="2">
                  <c:v>2020</c:v>
                </c:pt>
                <c:pt idx="3">
                  <c:v>2021*</c:v>
                </c:pt>
              </c:strCache>
            </c:strRef>
          </c:cat>
          <c:val>
            <c:numRef>
              <c:f>Sheet1!$B$3:$E$3</c:f>
              <c:numCache>
                <c:formatCode>0.0</c:formatCode>
                <c:ptCount val="4"/>
                <c:pt idx="0">
                  <c:v>17.537608776426111</c:v>
                </c:pt>
                <c:pt idx="1">
                  <c:v>13.120372725442422</c:v>
                </c:pt>
                <c:pt idx="2">
                  <c:v>-33.19959470782247</c:v>
                </c:pt>
                <c:pt idx="3">
                  <c:v>16.679545712550791</c:v>
                </c:pt>
              </c:numCache>
            </c:numRef>
          </c:val>
          <c:extLst>
            <c:ext xmlns:c16="http://schemas.microsoft.com/office/drawing/2014/chart" uri="{C3380CC4-5D6E-409C-BE32-E72D297353CC}">
              <c16:uniqueId val="{00000001-70CF-4320-8D96-566F387F711C}"/>
            </c:ext>
          </c:extLst>
        </c:ser>
        <c:dLbls>
          <c:showLegendKey val="0"/>
          <c:showVal val="0"/>
          <c:showCatName val="0"/>
          <c:showSerName val="0"/>
          <c:showPercent val="0"/>
          <c:showBubbleSize val="0"/>
        </c:dLbls>
        <c:gapWidth val="150"/>
        <c:axId val="327860608"/>
        <c:axId val="327862144"/>
      </c:barChart>
      <c:catAx>
        <c:axId val="3278606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862144"/>
        <c:crosses val="autoZero"/>
        <c:auto val="1"/>
        <c:lblAlgn val="ctr"/>
        <c:lblOffset val="100"/>
        <c:noMultiLvlLbl val="0"/>
      </c:catAx>
      <c:valAx>
        <c:axId val="327862144"/>
        <c:scaling>
          <c:orientation val="minMax"/>
          <c:max val="6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860608"/>
        <c:crosses val="autoZero"/>
        <c:crossBetween val="between"/>
        <c:majorUnit val="20"/>
      </c:valAx>
      <c:spPr>
        <a:noFill/>
        <a:ln>
          <a:noFill/>
        </a:ln>
        <a:effectLst/>
      </c:spPr>
    </c:plotArea>
    <c:legend>
      <c:legendPos val="b"/>
      <c:layout>
        <c:manualLayout>
          <c:xMode val="edge"/>
          <c:yMode val="edge"/>
          <c:x val="4.9999900955776971E-2"/>
          <c:y val="0.9160701503221188"/>
          <c:w val="0.92515703461595589"/>
          <c:h val="8.392984967788157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0622581751751"/>
          <c:y val="6.2146892655367263E-2"/>
          <c:w val="0.79139809651453141"/>
          <c:h val="0.61186351706036746"/>
        </c:manualLayout>
      </c:layout>
      <c:lineChart>
        <c:grouping val="standard"/>
        <c:varyColors val="0"/>
        <c:ser>
          <c:idx val="0"/>
          <c:order val="0"/>
          <c:tx>
            <c:strRef>
              <c:f>Sheet1!$B$1</c:f>
              <c:strCache>
                <c:ptCount val="1"/>
                <c:pt idx="0">
                  <c:v> USD/AMD </c:v>
                </c:pt>
              </c:strCache>
            </c:strRef>
          </c:tx>
          <c:spPr>
            <a:ln w="28575" cap="rnd">
              <a:solidFill>
                <a:srgbClr val="0070C0"/>
              </a:solidFill>
              <a:round/>
            </a:ln>
            <a:effectLst/>
          </c:spPr>
          <c:marker>
            <c:symbol val="none"/>
          </c:marker>
          <c:cat>
            <c:numRef>
              <c:f>Sheet1!$A$2:$A$423</c:f>
              <c:numCache>
                <c:formatCode>m/d/yyyy</c:formatCode>
                <c:ptCount val="42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numCache>
            </c:numRef>
          </c:cat>
          <c:val>
            <c:numRef>
              <c:f>Sheet1!$B$2:$B$423</c:f>
              <c:numCache>
                <c:formatCode>0</c:formatCode>
                <c:ptCount val="422"/>
                <c:pt idx="0">
                  <c:v>100</c:v>
                </c:pt>
                <c:pt idx="1">
                  <c:v>100.02918977523873</c:v>
                </c:pt>
                <c:pt idx="2">
                  <c:v>100.10432750490341</c:v>
                </c:pt>
                <c:pt idx="3">
                  <c:v>100.0834445927904</c:v>
                </c:pt>
                <c:pt idx="4">
                  <c:v>100.07718141805213</c:v>
                </c:pt>
                <c:pt idx="5">
                  <c:v>100.02710422617436</c:v>
                </c:pt>
                <c:pt idx="6">
                  <c:v>100.00000000000001</c:v>
                </c:pt>
                <c:pt idx="7">
                  <c:v>100.03127541127168</c:v>
                </c:pt>
                <c:pt idx="8">
                  <c:v>100.08762047815749</c:v>
                </c:pt>
                <c:pt idx="9">
                  <c:v>100.08970855151985</c:v>
                </c:pt>
                <c:pt idx="10">
                  <c:v>100.17957820004179</c:v>
                </c:pt>
                <c:pt idx="11">
                  <c:v>100.21515259123099</c:v>
                </c:pt>
                <c:pt idx="12">
                  <c:v>100.18585419842549</c:v>
                </c:pt>
                <c:pt idx="13">
                  <c:v>100.24656274812992</c:v>
                </c:pt>
                <c:pt idx="14">
                  <c:v>100.22352670830811</c:v>
                </c:pt>
                <c:pt idx="15">
                  <c:v>100.24237358963646</c:v>
                </c:pt>
                <c:pt idx="16">
                  <c:v>100.20887292171446</c:v>
                </c:pt>
                <c:pt idx="17">
                  <c:v>100.19003863422786</c:v>
                </c:pt>
                <c:pt idx="18">
                  <c:v>100.20050125313286</c:v>
                </c:pt>
                <c:pt idx="19">
                  <c:v>100.21724598930484</c:v>
                </c:pt>
                <c:pt idx="20">
                  <c:v>100.19003863422786</c:v>
                </c:pt>
                <c:pt idx="21">
                  <c:v>100.26960937989844</c:v>
                </c:pt>
                <c:pt idx="22">
                  <c:v>100.1628460478517</c:v>
                </c:pt>
                <c:pt idx="23">
                  <c:v>100.14820999895629</c:v>
                </c:pt>
                <c:pt idx="24">
                  <c:v>100.0980617162887</c:v>
                </c:pt>
                <c:pt idx="25">
                  <c:v>100.13566821815452</c:v>
                </c:pt>
                <c:pt idx="26">
                  <c:v>100.1482099989563</c:v>
                </c:pt>
                <c:pt idx="27">
                  <c:v>100.1482099989563</c:v>
                </c:pt>
                <c:pt idx="28">
                  <c:v>100.16911994989042</c:v>
                </c:pt>
                <c:pt idx="29">
                  <c:v>100.23609050832587</c:v>
                </c:pt>
                <c:pt idx="30">
                  <c:v>100.29057006083158</c:v>
                </c:pt>
                <c:pt idx="31">
                  <c:v>100.29476324866729</c:v>
                </c:pt>
                <c:pt idx="32">
                  <c:v>100.28008862505749</c:v>
                </c:pt>
                <c:pt idx="33">
                  <c:v>100.29895678715532</c:v>
                </c:pt>
                <c:pt idx="34">
                  <c:v>100.28637722360418</c:v>
                </c:pt>
                <c:pt idx="35">
                  <c:v>100.26541829505319</c:v>
                </c:pt>
                <c:pt idx="36">
                  <c:v>100.24237358963644</c:v>
                </c:pt>
                <c:pt idx="37">
                  <c:v>100.20050125313283</c:v>
                </c:pt>
                <c:pt idx="38">
                  <c:v>100.18585419842545</c:v>
                </c:pt>
                <c:pt idx="39">
                  <c:v>100.13357822674902</c:v>
                </c:pt>
                <c:pt idx="40">
                  <c:v>100.03336113427854</c:v>
                </c:pt>
                <c:pt idx="41">
                  <c:v>99.987495310741508</c:v>
                </c:pt>
                <c:pt idx="42">
                  <c:v>99.850149850149819</c:v>
                </c:pt>
                <c:pt idx="43">
                  <c:v>99.516687755398337</c:v>
                </c:pt>
                <c:pt idx="44">
                  <c:v>99.323023414694717</c:v>
                </c:pt>
                <c:pt idx="45">
                  <c:v>99.056428468193147</c:v>
                </c:pt>
                <c:pt idx="46">
                  <c:v>98.341703392436173</c:v>
                </c:pt>
                <c:pt idx="47">
                  <c:v>97.950183748468746</c:v>
                </c:pt>
                <c:pt idx="48">
                  <c:v>97.758578531257626</c:v>
                </c:pt>
                <c:pt idx="49">
                  <c:v>97.804415632071411</c:v>
                </c:pt>
                <c:pt idx="50">
                  <c:v>97.468611596440581</c:v>
                </c:pt>
                <c:pt idx="51">
                  <c:v>97.200048624336461</c:v>
                </c:pt>
                <c:pt idx="52">
                  <c:v>96.919254156481671</c:v>
                </c:pt>
                <c:pt idx="53">
                  <c:v>96.837091011848273</c:v>
                </c:pt>
                <c:pt idx="54">
                  <c:v>96.739459197870644</c:v>
                </c:pt>
                <c:pt idx="55">
                  <c:v>96.484594964202373</c:v>
                </c:pt>
                <c:pt idx="56">
                  <c:v>96.254238308288009</c:v>
                </c:pt>
                <c:pt idx="57">
                  <c:v>95.798722044728422</c:v>
                </c:pt>
                <c:pt idx="58">
                  <c:v>95.101789997423012</c:v>
                </c:pt>
                <c:pt idx="59">
                  <c:v>95.009505703422036</c:v>
                </c:pt>
                <c:pt idx="60">
                  <c:v>95.096134786917716</c:v>
                </c:pt>
                <c:pt idx="61">
                  <c:v>95.385410660675547</c:v>
                </c:pt>
                <c:pt idx="62">
                  <c:v>95.655468049047897</c:v>
                </c:pt>
                <c:pt idx="63">
                  <c:v>96.07305204557737</c:v>
                </c:pt>
                <c:pt idx="64">
                  <c:v>96.612831769301977</c:v>
                </c:pt>
                <c:pt idx="65">
                  <c:v>97.294666396268454</c:v>
                </c:pt>
                <c:pt idx="66">
                  <c:v>97.6749867665621</c:v>
                </c:pt>
                <c:pt idx="67">
                  <c:v>98.608513349639239</c:v>
                </c:pt>
                <c:pt idx="68">
                  <c:v>98.813643104300496</c:v>
                </c:pt>
                <c:pt idx="69">
                  <c:v>98.691681066403305</c:v>
                </c:pt>
                <c:pt idx="70">
                  <c:v>99.007367356625409</c:v>
                </c:pt>
                <c:pt idx="71">
                  <c:v>99.132159682618351</c:v>
                </c:pt>
                <c:pt idx="72">
                  <c:v>99.42800298433221</c:v>
                </c:pt>
                <c:pt idx="73">
                  <c:v>99.769168382307015</c:v>
                </c:pt>
                <c:pt idx="74">
                  <c:v>99.989579208436609</c:v>
                </c:pt>
                <c:pt idx="75">
                  <c:v>100.01876289949332</c:v>
                </c:pt>
                <c:pt idx="76">
                  <c:v>100.03753284123601</c:v>
                </c:pt>
                <c:pt idx="77">
                  <c:v>100.02710422617427</c:v>
                </c:pt>
                <c:pt idx="78">
                  <c:v>100.05005005004998</c:v>
                </c:pt>
                <c:pt idx="79">
                  <c:v>100.10015022533794</c:v>
                </c:pt>
                <c:pt idx="80">
                  <c:v>99.949999999999932</c:v>
                </c:pt>
                <c:pt idx="81">
                  <c:v>99.810680924542751</c:v>
                </c:pt>
                <c:pt idx="82">
                  <c:v>99.541465236425424</c:v>
                </c:pt>
                <c:pt idx="83">
                  <c:v>99.300409819099983</c:v>
                </c:pt>
                <c:pt idx="84">
                  <c:v>99.101443886719878</c:v>
                </c:pt>
                <c:pt idx="85">
                  <c:v>98.711987161022108</c:v>
                </c:pt>
                <c:pt idx="86">
                  <c:v>98.483013445550583</c:v>
                </c:pt>
                <c:pt idx="87">
                  <c:v>98.380018865603006</c:v>
                </c:pt>
                <c:pt idx="88">
                  <c:v>98.130497034158239</c:v>
                </c:pt>
                <c:pt idx="89">
                  <c:v>98.333640779683861</c:v>
                </c:pt>
                <c:pt idx="90">
                  <c:v>98.740429735737138</c:v>
                </c:pt>
                <c:pt idx="91">
                  <c:v>98.991024450634413</c:v>
                </c:pt>
                <c:pt idx="92">
                  <c:v>99.199801501147505</c:v>
                </c:pt>
                <c:pt idx="93">
                  <c:v>99.601395117090107</c:v>
                </c:pt>
                <c:pt idx="94">
                  <c:v>99.53733479947708</c:v>
                </c:pt>
                <c:pt idx="95">
                  <c:v>99.485733244857244</c:v>
                </c:pt>
                <c:pt idx="96">
                  <c:v>99.329192546583769</c:v>
                </c:pt>
                <c:pt idx="97">
                  <c:v>99.160844942333853</c:v>
                </c:pt>
                <c:pt idx="98">
                  <c:v>99.142402512863882</c:v>
                </c:pt>
                <c:pt idx="99">
                  <c:v>99.325079706844377</c:v>
                </c:pt>
                <c:pt idx="100">
                  <c:v>99.434185164459308</c:v>
                </c:pt>
                <c:pt idx="101">
                  <c:v>99.456859737136654</c:v>
                </c:pt>
                <c:pt idx="102">
                  <c:v>99.512559374416583</c:v>
                </c:pt>
                <c:pt idx="103">
                  <c:v>99.588989911570508</c:v>
                </c:pt>
                <c:pt idx="104">
                  <c:v>99.655186739229734</c:v>
                </c:pt>
                <c:pt idx="105">
                  <c:v>99.694532759802954</c:v>
                </c:pt>
                <c:pt idx="106">
                  <c:v>99.735983202710798</c:v>
                </c:pt>
                <c:pt idx="107">
                  <c:v>99.615871763460007</c:v>
                </c:pt>
                <c:pt idx="108">
                  <c:v>99.578654600552056</c:v>
                </c:pt>
                <c:pt idx="109">
                  <c:v>99.657256808126078</c:v>
                </c:pt>
                <c:pt idx="110">
                  <c:v>99.686246805327514</c:v>
                </c:pt>
                <c:pt idx="111">
                  <c:v>99.881331584535573</c:v>
                </c:pt>
                <c:pt idx="112">
                  <c:v>99.964578167649393</c:v>
                </c:pt>
                <c:pt idx="113">
                  <c:v>100.01876289949335</c:v>
                </c:pt>
                <c:pt idx="114">
                  <c:v>100.16075492181461</c:v>
                </c:pt>
                <c:pt idx="115">
                  <c:v>100.06883173768847</c:v>
                </c:pt>
                <c:pt idx="116">
                  <c:v>99.933344442592869</c:v>
                </c:pt>
                <c:pt idx="117">
                  <c:v>99.680033243299349</c:v>
                </c:pt>
                <c:pt idx="118">
                  <c:v>99.547661534630819</c:v>
                </c:pt>
                <c:pt idx="119">
                  <c:v>99.44449050659145</c:v>
                </c:pt>
                <c:pt idx="120">
                  <c:v>99.460983497802417</c:v>
                </c:pt>
                <c:pt idx="121">
                  <c:v>99.42800298433221</c:v>
                </c:pt>
                <c:pt idx="122">
                  <c:v>99.255213505461725</c:v>
                </c:pt>
                <c:pt idx="123">
                  <c:v>99.156746031745996</c:v>
                </c:pt>
                <c:pt idx="124">
                  <c:v>99.052338185196604</c:v>
                </c:pt>
                <c:pt idx="125">
                  <c:v>98.895118733509179</c:v>
                </c:pt>
                <c:pt idx="126">
                  <c:v>98.768888705891996</c:v>
                </c:pt>
                <c:pt idx="127">
                  <c:v>98.594327990135582</c:v>
                </c:pt>
                <c:pt idx="128">
                  <c:v>98.567994576048264</c:v>
                </c:pt>
                <c:pt idx="129">
                  <c:v>98.606486619805096</c:v>
                </c:pt>
                <c:pt idx="130">
                  <c:v>98.793295169062176</c:v>
                </c:pt>
                <c:pt idx="131">
                  <c:v>99.021671826625337</c:v>
                </c:pt>
                <c:pt idx="132">
                  <c:v>99.197750392854147</c:v>
                </c:pt>
                <c:pt idx="133">
                  <c:v>99.40740126807836</c:v>
                </c:pt>
                <c:pt idx="134">
                  <c:v>99.368281518609763</c:v>
                </c:pt>
                <c:pt idx="135">
                  <c:v>99.185445524085139</c:v>
                </c:pt>
                <c:pt idx="136">
                  <c:v>99.091209517514827</c:v>
                </c:pt>
                <c:pt idx="137">
                  <c:v>98.880850800717212</c:v>
                </c:pt>
                <c:pt idx="138">
                  <c:v>98.860475179789361</c:v>
                </c:pt>
                <c:pt idx="139">
                  <c:v>98.92570674474706</c:v>
                </c:pt>
                <c:pt idx="140">
                  <c:v>98.993067018818067</c:v>
                </c:pt>
                <c:pt idx="141">
                  <c:v>99.038024854465107</c:v>
                </c:pt>
                <c:pt idx="142">
                  <c:v>98.886965124907221</c:v>
                </c:pt>
                <c:pt idx="143">
                  <c:v>98.852327282467584</c:v>
                </c:pt>
                <c:pt idx="144">
                  <c:v>98.750591770783998</c:v>
                </c:pt>
                <c:pt idx="145">
                  <c:v>98.785158341226349</c:v>
                </c:pt>
                <c:pt idx="146">
                  <c:v>98.813643104300525</c:v>
                </c:pt>
                <c:pt idx="147">
                  <c:v>98.882888824766042</c:v>
                </c:pt>
                <c:pt idx="148">
                  <c:v>98.919587628865955</c:v>
                </c:pt>
                <c:pt idx="149">
                  <c:v>98.872699544545853</c:v>
                </c:pt>
                <c:pt idx="150">
                  <c:v>98.854364130882686</c:v>
                </c:pt>
                <c:pt idx="151">
                  <c:v>98.919587628865955</c:v>
                </c:pt>
                <c:pt idx="152">
                  <c:v>98.884926932827639</c:v>
                </c:pt>
                <c:pt idx="153">
                  <c:v>98.954272631644059</c:v>
                </c:pt>
                <c:pt idx="154">
                  <c:v>98.991024450634455</c:v>
                </c:pt>
                <c:pt idx="155">
                  <c:v>99.080977261931793</c:v>
                </c:pt>
                <c:pt idx="156">
                  <c:v>99.062564526120156</c:v>
                </c:pt>
                <c:pt idx="157">
                  <c:v>98.976728833140768</c:v>
                </c:pt>
                <c:pt idx="158">
                  <c:v>98.909390784455198</c:v>
                </c:pt>
                <c:pt idx="159">
                  <c:v>98.868624420401844</c:v>
                </c:pt>
                <c:pt idx="160">
                  <c:v>98.77498919108109</c:v>
                </c:pt>
                <c:pt idx="161">
                  <c:v>98.478970379949502</c:v>
                </c:pt>
                <c:pt idx="162">
                  <c:v>98.507278812393508</c:v>
                </c:pt>
                <c:pt idx="163">
                  <c:v>98.464822264181933</c:v>
                </c:pt>
                <c:pt idx="164">
                  <c:v>98.472906403940897</c:v>
                </c:pt>
                <c:pt idx="165">
                  <c:v>98.541675224910662</c:v>
                </c:pt>
                <c:pt idx="166">
                  <c:v>98.454718955857913</c:v>
                </c:pt>
                <c:pt idx="167">
                  <c:v>98.41634528596046</c:v>
                </c:pt>
                <c:pt idx="168">
                  <c:v>98.311475409836078</c:v>
                </c:pt>
                <c:pt idx="169">
                  <c:v>98.287306400065575</c:v>
                </c:pt>
                <c:pt idx="170">
                  <c:v>98.196778353153093</c:v>
                </c:pt>
                <c:pt idx="171">
                  <c:v>98.148564882060526</c:v>
                </c:pt>
                <c:pt idx="172">
                  <c:v>98.245039215284763</c:v>
                </c:pt>
                <c:pt idx="173">
                  <c:v>98.378001517419563</c:v>
                </c:pt>
                <c:pt idx="174">
                  <c:v>98.640952361370978</c:v>
                </c:pt>
                <c:pt idx="175">
                  <c:v>98.856401063237939</c:v>
                </c:pt>
                <c:pt idx="176">
                  <c:v>98.933866743653724</c:v>
                </c:pt>
                <c:pt idx="177">
                  <c:v>99.042113955408752</c:v>
                </c:pt>
                <c:pt idx="178">
                  <c:v>98.866586984297072</c:v>
                </c:pt>
                <c:pt idx="179">
                  <c:v>98.86047517978939</c:v>
                </c:pt>
                <c:pt idx="180">
                  <c:v>98.833999423179918</c:v>
                </c:pt>
                <c:pt idx="181">
                  <c:v>98.854364130882715</c:v>
                </c:pt>
                <c:pt idx="182">
                  <c:v>98.864549632163545</c:v>
                </c:pt>
                <c:pt idx="183">
                  <c:v>98.785158341226364</c:v>
                </c:pt>
                <c:pt idx="184">
                  <c:v>98.388089085763497</c:v>
                </c:pt>
                <c:pt idx="185">
                  <c:v>98.228946991257331</c:v>
                </c:pt>
                <c:pt idx="186">
                  <c:v>98.194768512833107</c:v>
                </c:pt>
                <c:pt idx="187">
                  <c:v>98.190749079001208</c:v>
                </c:pt>
                <c:pt idx="188">
                  <c:v>98.192758754784151</c:v>
                </c:pt>
                <c:pt idx="189">
                  <c:v>97.882237727996056</c:v>
                </c:pt>
                <c:pt idx="190">
                  <c:v>97.876247016341239</c:v>
                </c:pt>
                <c:pt idx="191">
                  <c:v>97.680952865723285</c:v>
                </c:pt>
                <c:pt idx="192">
                  <c:v>97.720745493431082</c:v>
                </c:pt>
                <c:pt idx="193">
                  <c:v>97.980189931583766</c:v>
                </c:pt>
                <c:pt idx="194">
                  <c:v>97.712784374427144</c:v>
                </c:pt>
                <c:pt idx="195">
                  <c:v>97.643179875442641</c:v>
                </c:pt>
                <c:pt idx="196">
                  <c:v>97.57565896518058</c:v>
                </c:pt>
                <c:pt idx="197">
                  <c:v>97.482474855227039</c:v>
                </c:pt>
                <c:pt idx="198">
                  <c:v>97.432981316003222</c:v>
                </c:pt>
                <c:pt idx="199">
                  <c:v>97.249305738552266</c:v>
                </c:pt>
                <c:pt idx="200">
                  <c:v>97.044723587596309</c:v>
                </c:pt>
                <c:pt idx="201">
                  <c:v>97.056503004187633</c:v>
                </c:pt>
                <c:pt idx="202">
                  <c:v>97.115443007226546</c:v>
                </c:pt>
                <c:pt idx="203">
                  <c:v>97.267050523071902</c:v>
                </c:pt>
                <c:pt idx="204">
                  <c:v>97.278883977452409</c:v>
                </c:pt>
                <c:pt idx="205">
                  <c:v>97.371679081000963</c:v>
                </c:pt>
                <c:pt idx="206">
                  <c:v>97.284801784446884</c:v>
                </c:pt>
                <c:pt idx="207">
                  <c:v>97.196110210696872</c:v>
                </c:pt>
                <c:pt idx="208">
                  <c:v>97.164614387556668</c:v>
                </c:pt>
                <c:pt idx="209">
                  <c:v>97.184296884495353</c:v>
                </c:pt>
                <c:pt idx="210">
                  <c:v>97.215805471124568</c:v>
                </c:pt>
                <c:pt idx="211">
                  <c:v>97.142972847105469</c:v>
                </c:pt>
                <c:pt idx="212">
                  <c:v>97.168550249118923</c:v>
                </c:pt>
                <c:pt idx="213">
                  <c:v>97.166582278480973</c:v>
                </c:pt>
                <c:pt idx="214">
                  <c:v>97.091858417825222</c:v>
                </c:pt>
                <c:pt idx="215">
                  <c:v>96.96822701916075</c:v>
                </c:pt>
                <c:pt idx="216">
                  <c:v>96.807780782113838</c:v>
                </c:pt>
                <c:pt idx="217">
                  <c:v>96.737508569584989</c:v>
                </c:pt>
                <c:pt idx="218">
                  <c:v>96.504002896568338</c:v>
                </c:pt>
                <c:pt idx="219">
                  <c:v>96.4574369697213</c:v>
                </c:pt>
                <c:pt idx="220">
                  <c:v>96.18283881315152</c:v>
                </c:pt>
                <c:pt idx="221">
                  <c:v>95.794896369953236</c:v>
                </c:pt>
                <c:pt idx="222">
                  <c:v>95.338023131036081</c:v>
                </c:pt>
                <c:pt idx="223">
                  <c:v>94.941819045357363</c:v>
                </c:pt>
                <c:pt idx="224">
                  <c:v>93.646425016103507</c:v>
                </c:pt>
                <c:pt idx="225">
                  <c:v>93.759893685629933</c:v>
                </c:pt>
                <c:pt idx="226">
                  <c:v>94.418641265842666</c:v>
                </c:pt>
                <c:pt idx="227">
                  <c:v>94.401920465949075</c:v>
                </c:pt>
                <c:pt idx="228">
                  <c:v>94.739336492890956</c:v>
                </c:pt>
                <c:pt idx="229">
                  <c:v>94.63095191131795</c:v>
                </c:pt>
                <c:pt idx="230">
                  <c:v>94.229485013945038</c:v>
                </c:pt>
                <c:pt idx="231">
                  <c:v>94.070588235294068</c:v>
                </c:pt>
                <c:pt idx="232">
                  <c:v>93.840586797065967</c:v>
                </c:pt>
                <c:pt idx="233">
                  <c:v>93.604401607679364</c:v>
                </c:pt>
                <c:pt idx="234">
                  <c:v>93.31492035088398</c:v>
                </c:pt>
                <c:pt idx="235">
                  <c:v>93.070536199270549</c:v>
                </c:pt>
                <c:pt idx="236">
                  <c:v>92.480289916533309</c:v>
                </c:pt>
                <c:pt idx="237">
                  <c:v>92.151665322115903</c:v>
                </c:pt>
                <c:pt idx="238">
                  <c:v>91.827125521570991</c:v>
                </c:pt>
                <c:pt idx="239">
                  <c:v>91.367194195280774</c:v>
                </c:pt>
                <c:pt idx="240">
                  <c:v>91.400266717469975</c:v>
                </c:pt>
                <c:pt idx="241">
                  <c:v>91.658706201520758</c:v>
                </c:pt>
                <c:pt idx="242">
                  <c:v>91.867567929839311</c:v>
                </c:pt>
                <c:pt idx="243">
                  <c:v>91.967948472184929</c:v>
                </c:pt>
                <c:pt idx="244">
                  <c:v>91.913328352204118</c:v>
                </c:pt>
                <c:pt idx="245">
                  <c:v>91.871086344573982</c:v>
                </c:pt>
                <c:pt idx="246">
                  <c:v>91.823610473128113</c:v>
                </c:pt>
                <c:pt idx="247">
                  <c:v>91.807796084735003</c:v>
                </c:pt>
                <c:pt idx="248">
                  <c:v>91.688485427615817</c:v>
                </c:pt>
                <c:pt idx="249">
                  <c:v>91.855255600229711</c:v>
                </c:pt>
                <c:pt idx="250">
                  <c:v>91.804282515930211</c:v>
                </c:pt>
                <c:pt idx="251">
                  <c:v>91.7691616136498</c:v>
                </c:pt>
                <c:pt idx="252">
                  <c:v>91.59920574308839</c:v>
                </c:pt>
                <c:pt idx="253">
                  <c:v>91.306333739342207</c:v>
                </c:pt>
                <c:pt idx="254">
                  <c:v>91.055058930706551</c:v>
                </c:pt>
                <c:pt idx="255">
                  <c:v>91.304596060519486</c:v>
                </c:pt>
                <c:pt idx="256">
                  <c:v>91.814824029242274</c:v>
                </c:pt>
                <c:pt idx="257">
                  <c:v>91.874605028820838</c:v>
                </c:pt>
                <c:pt idx="258">
                  <c:v>92.384125089060419</c:v>
                </c:pt>
                <c:pt idx="259">
                  <c:v>92.405477763439123</c:v>
                </c:pt>
                <c:pt idx="260">
                  <c:v>92.458902657595942</c:v>
                </c:pt>
                <c:pt idx="261">
                  <c:v>92.539155929326341</c:v>
                </c:pt>
                <c:pt idx="262">
                  <c:v>92.553437765259574</c:v>
                </c:pt>
                <c:pt idx="263">
                  <c:v>92.571296260564111</c:v>
                </c:pt>
                <c:pt idx="264">
                  <c:v>92.589161648911457</c:v>
                </c:pt>
                <c:pt idx="265">
                  <c:v>92.569510100912566</c:v>
                </c:pt>
                <c:pt idx="266">
                  <c:v>92.460684551341259</c:v>
                </c:pt>
                <c:pt idx="267">
                  <c:v>92.40369799691824</c:v>
                </c:pt>
                <c:pt idx="268">
                  <c:v>92.2349322310871</c:v>
                </c:pt>
                <c:pt idx="269">
                  <c:v>92.15520553207827</c:v>
                </c:pt>
                <c:pt idx="270">
                  <c:v>92.061481779978024</c:v>
                </c:pt>
                <c:pt idx="271">
                  <c:v>91.943273284783345</c:v>
                </c:pt>
                <c:pt idx="272">
                  <c:v>91.802525832376475</c:v>
                </c:pt>
                <c:pt idx="273">
                  <c:v>91.709517710702784</c:v>
                </c:pt>
                <c:pt idx="274">
                  <c:v>91.545022611483091</c:v>
                </c:pt>
                <c:pt idx="275">
                  <c:v>91.508354314488344</c:v>
                </c:pt>
                <c:pt idx="276">
                  <c:v>91.452535264963672</c:v>
                </c:pt>
                <c:pt idx="277">
                  <c:v>91.396784271888947</c:v>
                </c:pt>
                <c:pt idx="278">
                  <c:v>91.499628096809133</c:v>
                </c:pt>
                <c:pt idx="279">
                  <c:v>91.497883052980754</c:v>
                </c:pt>
                <c:pt idx="280">
                  <c:v>91.473459426479423</c:v>
                </c:pt>
                <c:pt idx="281">
                  <c:v>91.365454199200016</c:v>
                </c:pt>
                <c:pt idx="282">
                  <c:v>91.250760803408269</c:v>
                </c:pt>
                <c:pt idx="283">
                  <c:v>91.131161553803651</c:v>
                </c:pt>
                <c:pt idx="284">
                  <c:v>91.04123574397012</c:v>
                </c:pt>
                <c:pt idx="285">
                  <c:v>90.870520493976684</c:v>
                </c:pt>
                <c:pt idx="286">
                  <c:v>90.800007570452408</c:v>
                </c:pt>
                <c:pt idx="287">
                  <c:v>90.97390776699018</c:v>
                </c:pt>
                <c:pt idx="288">
                  <c:v>91.210859522044032</c:v>
                </c:pt>
                <c:pt idx="289">
                  <c:v>91.386338527181863</c:v>
                </c:pt>
                <c:pt idx="290">
                  <c:v>91.302858447836059</c:v>
                </c:pt>
                <c:pt idx="291">
                  <c:v>91.332406860971929</c:v>
                </c:pt>
                <c:pt idx="292">
                  <c:v>91.221265187382258</c:v>
                </c:pt>
                <c:pt idx="293">
                  <c:v>91.143280519776482</c:v>
                </c:pt>
                <c:pt idx="294">
                  <c:v>91.056787124202742</c:v>
                </c:pt>
                <c:pt idx="295">
                  <c:v>91.027416753628586</c:v>
                </c:pt>
                <c:pt idx="296">
                  <c:v>90.917015672080083</c:v>
                </c:pt>
                <c:pt idx="297">
                  <c:v>90.917015672080083</c:v>
                </c:pt>
                <c:pt idx="298">
                  <c:v>90.963558454362641</c:v>
                </c:pt>
                <c:pt idx="299">
                  <c:v>90.886013601833682</c:v>
                </c:pt>
                <c:pt idx="300">
                  <c:v>90.904956798544688</c:v>
                </c:pt>
                <c:pt idx="301">
                  <c:v>90.842990229493196</c:v>
                </c:pt>
                <c:pt idx="302">
                  <c:v>90.808600847970823</c:v>
                </c:pt>
                <c:pt idx="303">
                  <c:v>90.746765529242552</c:v>
                </c:pt>
                <c:pt idx="304">
                  <c:v>90.60794349279486</c:v>
                </c:pt>
                <c:pt idx="305">
                  <c:v>90.507093268940437</c:v>
                </c:pt>
                <c:pt idx="306">
                  <c:v>90.401356698699729</c:v>
                </c:pt>
                <c:pt idx="307">
                  <c:v>90.321366041003728</c:v>
                </c:pt>
                <c:pt idx="308">
                  <c:v>90.156725673694794</c:v>
                </c:pt>
                <c:pt idx="309">
                  <c:v>89.98255715812958</c:v>
                </c:pt>
                <c:pt idx="310">
                  <c:v>89.869623857335412</c:v>
                </c:pt>
                <c:pt idx="311">
                  <c:v>89.656332342882649</c:v>
                </c:pt>
                <c:pt idx="312">
                  <c:v>89.410712288940942</c:v>
                </c:pt>
                <c:pt idx="313">
                  <c:v>89.280928986154407</c:v>
                </c:pt>
                <c:pt idx="314">
                  <c:v>90.048425241187601</c:v>
                </c:pt>
                <c:pt idx="315">
                  <c:v>90.846430600264966</c:v>
                </c:pt>
                <c:pt idx="316">
                  <c:v>92.362782280576667</c:v>
                </c:pt>
                <c:pt idx="317">
                  <c:v>92.378788462278919</c:v>
                </c:pt>
                <c:pt idx="318">
                  <c:v>92.049117421335254</c:v>
                </c:pt>
                <c:pt idx="319">
                  <c:v>91.87284565300638</c:v>
                </c:pt>
                <c:pt idx="320">
                  <c:v>91.871086344573882</c:v>
                </c:pt>
                <c:pt idx="321">
                  <c:v>91.927417655061276</c:v>
                </c:pt>
                <c:pt idx="322">
                  <c:v>91.867567929839197</c:v>
                </c:pt>
                <c:pt idx="323">
                  <c:v>91.865808823529264</c:v>
                </c:pt>
                <c:pt idx="324">
                  <c:v>91.927417655061262</c:v>
                </c:pt>
                <c:pt idx="325">
                  <c:v>92.17999462014356</c:v>
                </c:pt>
                <c:pt idx="326">
                  <c:v>92.210113590497471</c:v>
                </c:pt>
                <c:pt idx="327">
                  <c:v>92.295261730247461</c:v>
                </c:pt>
                <c:pt idx="328">
                  <c:v>92.149895319132455</c:v>
                </c:pt>
                <c:pt idx="329">
                  <c:v>92.139276728955664</c:v>
                </c:pt>
                <c:pt idx="330">
                  <c:v>92.149895319132455</c:v>
                </c:pt>
                <c:pt idx="331">
                  <c:v>92.105667332206906</c:v>
                </c:pt>
                <c:pt idx="332">
                  <c:v>92.077383694150043</c:v>
                </c:pt>
                <c:pt idx="333">
                  <c:v>92.00498609646165</c:v>
                </c:pt>
                <c:pt idx="334">
                  <c:v>91.892202493822765</c:v>
                </c:pt>
                <c:pt idx="335">
                  <c:v>91.842946570438443</c:v>
                </c:pt>
                <c:pt idx="336">
                  <c:v>91.890442443976099</c:v>
                </c:pt>
                <c:pt idx="337">
                  <c:v>91.860531908782662</c:v>
                </c:pt>
                <c:pt idx="338">
                  <c:v>91.714777289237077</c:v>
                </c:pt>
                <c:pt idx="339">
                  <c:v>91.823610473127999</c:v>
                </c:pt>
                <c:pt idx="340">
                  <c:v>91.92389492441211</c:v>
                </c:pt>
                <c:pt idx="341">
                  <c:v>91.98734541271196</c:v>
                </c:pt>
                <c:pt idx="342">
                  <c:v>92.133968351513118</c:v>
                </c:pt>
                <c:pt idx="343">
                  <c:v>92.130429773015152</c:v>
                </c:pt>
                <c:pt idx="344">
                  <c:v>92.165827794213541</c:v>
                </c:pt>
                <c:pt idx="345">
                  <c:v>92.158746014061066</c:v>
                </c:pt>
                <c:pt idx="346">
                  <c:v>92.160516357069952</c:v>
                </c:pt>
                <c:pt idx="347">
                  <c:v>92.141046324037632</c:v>
                </c:pt>
                <c:pt idx="348">
                  <c:v>92.123353431391195</c:v>
                </c:pt>
                <c:pt idx="349">
                  <c:v>92.153435393096373</c:v>
                </c:pt>
                <c:pt idx="350">
                  <c:v>92.142815987093385</c:v>
                </c:pt>
                <c:pt idx="351">
                  <c:v>92.142815987093385</c:v>
                </c:pt>
                <c:pt idx="352">
                  <c:v>92.22252124101324</c:v>
                </c:pt>
                <c:pt idx="353">
                  <c:v>92.254441966002446</c:v>
                </c:pt>
                <c:pt idx="354">
                  <c:v>92.256215987539022</c:v>
                </c:pt>
                <c:pt idx="355">
                  <c:v>92.291710751591694</c:v>
                </c:pt>
                <c:pt idx="356">
                  <c:v>92.337894797620933</c:v>
                </c:pt>
                <c:pt idx="357">
                  <c:v>92.38946233246017</c:v>
                </c:pt>
                <c:pt idx="358">
                  <c:v>92.508821657893051</c:v>
                </c:pt>
                <c:pt idx="359">
                  <c:v>92.798700168281627</c:v>
                </c:pt>
                <c:pt idx="360">
                  <c:v>93.034439962767465</c:v>
                </c:pt>
                <c:pt idx="361">
                  <c:v>93.180802921125562</c:v>
                </c:pt>
                <c:pt idx="362">
                  <c:v>93.318550504755635</c:v>
                </c:pt>
                <c:pt idx="363">
                  <c:v>93.38757713195632</c:v>
                </c:pt>
                <c:pt idx="364">
                  <c:v>93.467630384382943</c:v>
                </c:pt>
                <c:pt idx="365">
                  <c:v>93.507708499814683</c:v>
                </c:pt>
                <c:pt idx="366">
                  <c:v>93.701294896583903</c:v>
                </c:pt>
                <c:pt idx="367">
                  <c:v>94.459539279385567</c:v>
                </c:pt>
                <c:pt idx="368">
                  <c:v>96.071128198966576</c:v>
                </c:pt>
                <c:pt idx="369">
                  <c:v>96.564217136646192</c:v>
                </c:pt>
                <c:pt idx="370">
                  <c:v>96.848820073884028</c:v>
                </c:pt>
                <c:pt idx="371">
                  <c:v>96.753115798814051</c:v>
                </c:pt>
                <c:pt idx="372">
                  <c:v>96.757018393029881</c:v>
                </c:pt>
                <c:pt idx="373">
                  <c:v>96.825364790409367</c:v>
                </c:pt>
                <c:pt idx="374">
                  <c:v>96.805827397647136</c:v>
                </c:pt>
                <c:pt idx="375">
                  <c:v>96.880111467862008</c:v>
                </c:pt>
                <c:pt idx="376">
                  <c:v>96.846865032903921</c:v>
                </c:pt>
                <c:pt idx="377">
                  <c:v>96.770679952397174</c:v>
                </c:pt>
                <c:pt idx="378">
                  <c:v>96.749213519399746</c:v>
                </c:pt>
                <c:pt idx="379">
                  <c:v>96.694614640438459</c:v>
                </c:pt>
                <c:pt idx="380">
                  <c:v>96.801920865196308</c:v>
                </c:pt>
                <c:pt idx="381">
                  <c:v>96.835136444372566</c:v>
                </c:pt>
                <c:pt idx="382">
                  <c:v>96.964307368931543</c:v>
                </c:pt>
                <c:pt idx="383">
                  <c:v>97.332170173053797</c:v>
                </c:pt>
                <c:pt idx="384">
                  <c:v>97.680952865723199</c:v>
                </c:pt>
                <c:pt idx="385">
                  <c:v>98.39817872305504</c:v>
                </c:pt>
                <c:pt idx="386">
                  <c:v>99.038024854465021</c:v>
                </c:pt>
                <c:pt idx="387">
                  <c:v>99.242894377559765</c:v>
                </c:pt>
                <c:pt idx="388">
                  <c:v>99.428002984332153</c:v>
                </c:pt>
                <c:pt idx="389">
                  <c:v>99.477481960686646</c:v>
                </c:pt>
                <c:pt idx="390">
                  <c:v>99.469232045115177</c:v>
                </c:pt>
                <c:pt idx="391">
                  <c:v>99.050293170369045</c:v>
                </c:pt>
                <c:pt idx="392">
                  <c:v>98.667324777887359</c:v>
                </c:pt>
                <c:pt idx="393">
                  <c:v>98.273213298101041</c:v>
                </c:pt>
                <c:pt idx="394">
                  <c:v>97.724726539425063</c:v>
                </c:pt>
                <c:pt idx="395">
                  <c:v>97.45277269957333</c:v>
                </c:pt>
                <c:pt idx="396">
                  <c:v>97.245363332319755</c:v>
                </c:pt>
                <c:pt idx="397">
                  <c:v>97.389468555884775</c:v>
                </c:pt>
                <c:pt idx="398">
                  <c:v>97.653117303425589</c:v>
                </c:pt>
                <c:pt idx="399">
                  <c:v>97.782488178705293</c:v>
                </c:pt>
                <c:pt idx="400">
                  <c:v>97.696866027246557</c:v>
                </c:pt>
                <c:pt idx="401">
                  <c:v>97.56176919166235</c:v>
                </c:pt>
                <c:pt idx="402">
                  <c:v>97.460691504489418</c:v>
                </c:pt>
                <c:pt idx="403">
                  <c:v>97.409242264273459</c:v>
                </c:pt>
                <c:pt idx="404">
                  <c:v>97.48445564270321</c:v>
                </c:pt>
                <c:pt idx="405">
                  <c:v>97.694876598517467</c:v>
                </c:pt>
                <c:pt idx="406">
                  <c:v>97.772524404410035</c:v>
                </c:pt>
                <c:pt idx="407">
                  <c:v>97.888229173042703</c:v>
                </c:pt>
                <c:pt idx="408">
                  <c:v>97.798434442269979</c:v>
                </c:pt>
                <c:pt idx="409">
                  <c:v>97.714774532567432</c:v>
                </c:pt>
                <c:pt idx="410">
                  <c:v>97.456731941171611</c:v>
                </c:pt>
                <c:pt idx="411">
                  <c:v>97.302559526223902</c:v>
                </c:pt>
                <c:pt idx="412">
                  <c:v>97.174454639363105</c:v>
                </c:pt>
                <c:pt idx="413">
                  <c:v>97.217775436178968</c:v>
                </c:pt>
                <c:pt idx="414">
                  <c:v>97.29072031148597</c:v>
                </c:pt>
                <c:pt idx="415">
                  <c:v>97.196110210696844</c:v>
                </c:pt>
                <c:pt idx="416">
                  <c:v>97.207926409206877</c:v>
                </c:pt>
                <c:pt idx="417">
                  <c:v>97.186265572774175</c:v>
                </c:pt>
                <c:pt idx="418">
                  <c:v>97.219745481073133</c:v>
                </c:pt>
                <c:pt idx="419">
                  <c:v>97.186265572774175</c:v>
                </c:pt>
                <c:pt idx="420">
                  <c:v>97.184296884495339</c:v>
                </c:pt>
                <c:pt idx="421">
                  <c:v>97.280856499787035</c:v>
                </c:pt>
              </c:numCache>
            </c:numRef>
          </c:val>
          <c:smooth val="0"/>
          <c:extLst>
            <c:ext xmlns:c16="http://schemas.microsoft.com/office/drawing/2014/chart" uri="{C3380CC4-5D6E-409C-BE32-E72D297353CC}">
              <c16:uniqueId val="{00000000-5BA9-4A8D-83D1-54277AA4E92F}"/>
            </c:ext>
          </c:extLst>
        </c:ser>
        <c:ser>
          <c:idx val="1"/>
          <c:order val="1"/>
          <c:tx>
            <c:strRef>
              <c:f>Sheet1!$C$1</c:f>
              <c:strCache>
                <c:ptCount val="1"/>
                <c:pt idx="0">
                  <c:v> RUB/AMD </c:v>
                </c:pt>
              </c:strCache>
            </c:strRef>
          </c:tx>
          <c:spPr>
            <a:ln w="28575" cap="rnd">
              <a:solidFill>
                <a:srgbClr val="FFC000"/>
              </a:solidFill>
              <a:round/>
            </a:ln>
            <a:effectLst/>
          </c:spPr>
          <c:marker>
            <c:symbol val="none"/>
          </c:marker>
          <c:cat>
            <c:numRef>
              <c:f>Sheet1!$A$2:$A$423</c:f>
              <c:numCache>
                <c:formatCode>m/d/yyyy</c:formatCode>
                <c:ptCount val="42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numCache>
            </c:numRef>
          </c:cat>
          <c:val>
            <c:numRef>
              <c:f>Sheet1!$C$2:$C$423</c:f>
              <c:numCache>
                <c:formatCode>0</c:formatCode>
                <c:ptCount val="422"/>
                <c:pt idx="0">
                  <c:v>100</c:v>
                </c:pt>
                <c:pt idx="1">
                  <c:v>98.852040816326536</c:v>
                </c:pt>
                <c:pt idx="2">
                  <c:v>99.231754161331622</c:v>
                </c:pt>
                <c:pt idx="3">
                  <c:v>98.600508905852394</c:v>
                </c:pt>
                <c:pt idx="4">
                  <c:v>99.231754161331608</c:v>
                </c:pt>
                <c:pt idx="5">
                  <c:v>99.486521181001265</c:v>
                </c:pt>
                <c:pt idx="6">
                  <c:v>99.486521181001265</c:v>
                </c:pt>
                <c:pt idx="7">
                  <c:v>99.231754161331608</c:v>
                </c:pt>
                <c:pt idx="8">
                  <c:v>99.614395886889426</c:v>
                </c:pt>
                <c:pt idx="9">
                  <c:v>99.999999999999972</c:v>
                </c:pt>
                <c:pt idx="10">
                  <c:v>100.25873221216038</c:v>
                </c:pt>
                <c:pt idx="11">
                  <c:v>100.25873221216038</c:v>
                </c:pt>
                <c:pt idx="12">
                  <c:v>99.999999999999972</c:v>
                </c:pt>
                <c:pt idx="13">
                  <c:v>101.30718954248363</c:v>
                </c:pt>
                <c:pt idx="14">
                  <c:v>101.83968462549274</c:v>
                </c:pt>
                <c:pt idx="15">
                  <c:v>102.51322751322749</c:v>
                </c:pt>
                <c:pt idx="16">
                  <c:v>102.51322751322749</c:v>
                </c:pt>
                <c:pt idx="17">
                  <c:v>103.47129506008007</c:v>
                </c:pt>
                <c:pt idx="18">
                  <c:v>102.37780713342136</c:v>
                </c:pt>
                <c:pt idx="19">
                  <c:v>101.43979057591619</c:v>
                </c:pt>
                <c:pt idx="20">
                  <c:v>102.24274406332449</c:v>
                </c:pt>
                <c:pt idx="21">
                  <c:v>103.33333333333329</c:v>
                </c:pt>
                <c:pt idx="22">
                  <c:v>103.47129506008007</c:v>
                </c:pt>
                <c:pt idx="23">
                  <c:v>103.3333333333333</c:v>
                </c:pt>
                <c:pt idx="24">
                  <c:v>102.10803689064556</c:v>
                </c:pt>
                <c:pt idx="25">
                  <c:v>103.05851063829786</c:v>
                </c:pt>
                <c:pt idx="26">
                  <c:v>102.78514588859414</c:v>
                </c:pt>
                <c:pt idx="27">
                  <c:v>102.37780713342137</c:v>
                </c:pt>
                <c:pt idx="28">
                  <c:v>103.19573901464712</c:v>
                </c:pt>
                <c:pt idx="29">
                  <c:v>102.9216467463479</c:v>
                </c:pt>
                <c:pt idx="30">
                  <c:v>103.3333333333333</c:v>
                </c:pt>
                <c:pt idx="31">
                  <c:v>104.30686406460293</c:v>
                </c:pt>
                <c:pt idx="32">
                  <c:v>104.30686406460293</c:v>
                </c:pt>
                <c:pt idx="33">
                  <c:v>106.01915184678521</c:v>
                </c:pt>
                <c:pt idx="34">
                  <c:v>106.45604395604394</c:v>
                </c:pt>
                <c:pt idx="35">
                  <c:v>106.45604395604394</c:v>
                </c:pt>
                <c:pt idx="36">
                  <c:v>109.3088857545839</c:v>
                </c:pt>
                <c:pt idx="37">
                  <c:v>107.78859527120999</c:v>
                </c:pt>
                <c:pt idx="38">
                  <c:v>107.4895977808599</c:v>
                </c:pt>
                <c:pt idx="39">
                  <c:v>106.3100137174211</c:v>
                </c:pt>
                <c:pt idx="40">
                  <c:v>107.19225449515903</c:v>
                </c:pt>
                <c:pt idx="41">
                  <c:v>110.08522727272725</c:v>
                </c:pt>
                <c:pt idx="42">
                  <c:v>119.04761904761904</c:v>
                </c:pt>
                <c:pt idx="43">
                  <c:v>115.67164179104476</c:v>
                </c:pt>
                <c:pt idx="44">
                  <c:v>114.8148148148148</c:v>
                </c:pt>
                <c:pt idx="45">
                  <c:v>119.23076923076923</c:v>
                </c:pt>
                <c:pt idx="46">
                  <c:v>115.49925484351714</c:v>
                </c:pt>
                <c:pt idx="47">
                  <c:v>118.32061068702289</c:v>
                </c:pt>
                <c:pt idx="48">
                  <c:v>118.14024390243902</c:v>
                </c:pt>
                <c:pt idx="49">
                  <c:v>123.01587301587303</c:v>
                </c:pt>
                <c:pt idx="50">
                  <c:v>126.01626016260164</c:v>
                </c:pt>
                <c:pt idx="51">
                  <c:v>122.23974763406942</c:v>
                </c:pt>
                <c:pt idx="52">
                  <c:v>126.42740619902123</c:v>
                </c:pt>
                <c:pt idx="53">
                  <c:v>123.21144674085852</c:v>
                </c:pt>
                <c:pt idx="54">
                  <c:v>121.09375000000001</c:v>
                </c:pt>
                <c:pt idx="55">
                  <c:v>122.04724409448824</c:v>
                </c:pt>
                <c:pt idx="56">
                  <c:v>121.09375000000003</c:v>
                </c:pt>
                <c:pt idx="57">
                  <c:v>123.01587301587307</c:v>
                </c:pt>
                <c:pt idx="58">
                  <c:v>119.96904024767807</c:v>
                </c:pt>
                <c:pt idx="59">
                  <c:v>121.09375000000004</c:v>
                </c:pt>
                <c:pt idx="60">
                  <c:v>120.5287713841369</c:v>
                </c:pt>
                <c:pt idx="61">
                  <c:v>118.14024390243907</c:v>
                </c:pt>
                <c:pt idx="62">
                  <c:v>117.7811550151976</c:v>
                </c:pt>
                <c:pt idx="63">
                  <c:v>117.06948640483385</c:v>
                </c:pt>
                <c:pt idx="64">
                  <c:v>118.14024390243905</c:v>
                </c:pt>
                <c:pt idx="65">
                  <c:v>116.36636636636638</c:v>
                </c:pt>
                <c:pt idx="66">
                  <c:v>116.19190404797602</c:v>
                </c:pt>
                <c:pt idx="67">
                  <c:v>117.42424242424245</c:v>
                </c:pt>
                <c:pt idx="68">
                  <c:v>117.24659606656581</c:v>
                </c:pt>
                <c:pt idx="69">
                  <c:v>117.96042617960427</c:v>
                </c:pt>
                <c:pt idx="70">
                  <c:v>118.50152905198779</c:v>
                </c:pt>
                <c:pt idx="71">
                  <c:v>118.86503067484665</c:v>
                </c:pt>
                <c:pt idx="72">
                  <c:v>119.41448382126349</c:v>
                </c:pt>
                <c:pt idx="73">
                  <c:v>123.40764331210192</c:v>
                </c:pt>
                <c:pt idx="74">
                  <c:v>123.80191693290737</c:v>
                </c:pt>
                <c:pt idx="75">
                  <c:v>121.47335423197495</c:v>
                </c:pt>
                <c:pt idx="76">
                  <c:v>120.15503875968994</c:v>
                </c:pt>
                <c:pt idx="77">
                  <c:v>119.4144838212635</c:v>
                </c:pt>
                <c:pt idx="78">
                  <c:v>119.04761904761908</c:v>
                </c:pt>
                <c:pt idx="79">
                  <c:v>118.14024390243907</c:v>
                </c:pt>
                <c:pt idx="80">
                  <c:v>121.85534591194973</c:v>
                </c:pt>
                <c:pt idx="81">
                  <c:v>119.41448382126352</c:v>
                </c:pt>
                <c:pt idx="82">
                  <c:v>119.59876543209879</c:v>
                </c:pt>
                <c:pt idx="83">
                  <c:v>118.32061068702293</c:v>
                </c:pt>
                <c:pt idx="84">
                  <c:v>117.7811550151976</c:v>
                </c:pt>
                <c:pt idx="85">
                  <c:v>117.6024279210926</c:v>
                </c:pt>
                <c:pt idx="86">
                  <c:v>116.89291101055811</c:v>
                </c:pt>
                <c:pt idx="87">
                  <c:v>116.54135338345867</c:v>
                </c:pt>
                <c:pt idx="88">
                  <c:v>116.89291101055809</c:v>
                </c:pt>
                <c:pt idx="89">
                  <c:v>116.54135338345866</c:v>
                </c:pt>
                <c:pt idx="90">
                  <c:v>116.19190404797602</c:v>
                </c:pt>
                <c:pt idx="91">
                  <c:v>115.67164179104479</c:v>
                </c:pt>
                <c:pt idx="92">
                  <c:v>115.15601783060923</c:v>
                </c:pt>
                <c:pt idx="93">
                  <c:v>114.13843888070694</c:v>
                </c:pt>
                <c:pt idx="94">
                  <c:v>115.49925484351716</c:v>
                </c:pt>
                <c:pt idx="95">
                  <c:v>115.49925484351716</c:v>
                </c:pt>
                <c:pt idx="96">
                  <c:v>114.64497041420121</c:v>
                </c:pt>
                <c:pt idx="97">
                  <c:v>113.80323054331868</c:v>
                </c:pt>
                <c:pt idx="98">
                  <c:v>113.46998535871158</c:v>
                </c:pt>
                <c:pt idx="99">
                  <c:v>111.99421965317921</c:v>
                </c:pt>
                <c:pt idx="100">
                  <c:v>110.39886039886042</c:v>
                </c:pt>
                <c:pt idx="101">
                  <c:v>109.92907801418441</c:v>
                </c:pt>
                <c:pt idx="102">
                  <c:v>111.19081779053086</c:v>
                </c:pt>
                <c:pt idx="103">
                  <c:v>110.55634807417975</c:v>
                </c:pt>
                <c:pt idx="104">
                  <c:v>109.77337110481588</c:v>
                </c:pt>
                <c:pt idx="105">
                  <c:v>110.87267525035766</c:v>
                </c:pt>
                <c:pt idx="106">
                  <c:v>110.87267525035766</c:v>
                </c:pt>
                <c:pt idx="107">
                  <c:v>110.87267525035766</c:v>
                </c:pt>
                <c:pt idx="108">
                  <c:v>111.83261183261186</c:v>
                </c:pt>
                <c:pt idx="109">
                  <c:v>113.30409356725148</c:v>
                </c:pt>
                <c:pt idx="110">
                  <c:v>112.31884057971016</c:v>
                </c:pt>
                <c:pt idx="111">
                  <c:v>112.64534883720931</c:v>
                </c:pt>
                <c:pt idx="112">
                  <c:v>111.83261183261185</c:v>
                </c:pt>
                <c:pt idx="113">
                  <c:v>112.15629522431259</c:v>
                </c:pt>
                <c:pt idx="114">
                  <c:v>112.31884057971013</c:v>
                </c:pt>
                <c:pt idx="115">
                  <c:v>111.19081779053084</c:v>
                </c:pt>
                <c:pt idx="116">
                  <c:v>111.51079136690647</c:v>
                </c:pt>
                <c:pt idx="117">
                  <c:v>111.671469740634</c:v>
                </c:pt>
                <c:pt idx="118">
                  <c:v>111.51079136690646</c:v>
                </c:pt>
                <c:pt idx="119">
                  <c:v>112.48185776487662</c:v>
                </c:pt>
                <c:pt idx="120">
                  <c:v>113.80323054331865</c:v>
                </c:pt>
                <c:pt idx="121">
                  <c:v>114.13843888070691</c:v>
                </c:pt>
                <c:pt idx="122">
                  <c:v>112.6453488372093</c:v>
                </c:pt>
                <c:pt idx="123">
                  <c:v>113.80323054331865</c:v>
                </c:pt>
                <c:pt idx="124">
                  <c:v>114.98516320474776</c:v>
                </c:pt>
                <c:pt idx="125">
                  <c:v>115.32738095238093</c:v>
                </c:pt>
                <c:pt idx="126">
                  <c:v>113.63636363636361</c:v>
                </c:pt>
                <c:pt idx="127">
                  <c:v>112.8093158660844</c:v>
                </c:pt>
                <c:pt idx="128">
                  <c:v>113.30409356725146</c:v>
                </c:pt>
                <c:pt idx="129">
                  <c:v>112.97376093294459</c:v>
                </c:pt>
                <c:pt idx="130">
                  <c:v>113.63636363636361</c:v>
                </c:pt>
                <c:pt idx="131">
                  <c:v>113.46998535871155</c:v>
                </c:pt>
                <c:pt idx="132">
                  <c:v>114.1384388807069</c:v>
                </c:pt>
                <c:pt idx="133">
                  <c:v>115.32738095238093</c:v>
                </c:pt>
                <c:pt idx="134">
                  <c:v>115.15601783060919</c:v>
                </c:pt>
                <c:pt idx="135">
                  <c:v>113.46998535871155</c:v>
                </c:pt>
                <c:pt idx="136">
                  <c:v>113.46998535871155</c:v>
                </c:pt>
                <c:pt idx="137">
                  <c:v>113.63636363636363</c:v>
                </c:pt>
                <c:pt idx="138">
                  <c:v>113.9705882352941</c:v>
                </c:pt>
                <c:pt idx="139">
                  <c:v>114.30678466076694</c:v>
                </c:pt>
                <c:pt idx="140">
                  <c:v>115.49925484351712</c:v>
                </c:pt>
                <c:pt idx="141">
                  <c:v>115.84454409566514</c:v>
                </c:pt>
                <c:pt idx="142">
                  <c:v>117.42424242424239</c:v>
                </c:pt>
                <c:pt idx="143">
                  <c:v>117.96042617960423</c:v>
                </c:pt>
                <c:pt idx="144">
                  <c:v>117.96042617960423</c:v>
                </c:pt>
                <c:pt idx="145">
                  <c:v>117.60242792109254</c:v>
                </c:pt>
                <c:pt idx="146">
                  <c:v>116.36636636636634</c:v>
                </c:pt>
                <c:pt idx="147">
                  <c:v>117.0694864048338</c:v>
                </c:pt>
                <c:pt idx="148">
                  <c:v>117.78115501519753</c:v>
                </c:pt>
                <c:pt idx="149">
                  <c:v>117.60242792109253</c:v>
                </c:pt>
                <c:pt idx="150">
                  <c:v>116.36636636636632</c:v>
                </c:pt>
                <c:pt idx="151">
                  <c:v>116.71686746987947</c:v>
                </c:pt>
                <c:pt idx="152">
                  <c:v>117.42424242424238</c:v>
                </c:pt>
                <c:pt idx="153">
                  <c:v>117.24659606656574</c:v>
                </c:pt>
                <c:pt idx="154">
                  <c:v>117.42424242424238</c:v>
                </c:pt>
                <c:pt idx="155">
                  <c:v>117.06948640483378</c:v>
                </c:pt>
                <c:pt idx="156">
                  <c:v>117.42424242424238</c:v>
                </c:pt>
                <c:pt idx="157">
                  <c:v>118.14024390243898</c:v>
                </c:pt>
                <c:pt idx="158">
                  <c:v>118.68300153139351</c:v>
                </c:pt>
                <c:pt idx="159">
                  <c:v>118.50152905198772</c:v>
                </c:pt>
                <c:pt idx="160">
                  <c:v>119.23076923076918</c:v>
                </c:pt>
                <c:pt idx="161">
                  <c:v>120.5287713841368</c:v>
                </c:pt>
                <c:pt idx="162">
                  <c:v>119.41448382126342</c:v>
                </c:pt>
                <c:pt idx="163">
                  <c:v>118.5015290519877</c:v>
                </c:pt>
                <c:pt idx="164">
                  <c:v>117.24659606656574</c:v>
                </c:pt>
                <c:pt idx="165">
                  <c:v>117.42424242424238</c:v>
                </c:pt>
                <c:pt idx="166">
                  <c:v>117.60242792109251</c:v>
                </c:pt>
                <c:pt idx="167">
                  <c:v>119.78361669242653</c:v>
                </c:pt>
                <c:pt idx="168">
                  <c:v>119.04761904761899</c:v>
                </c:pt>
                <c:pt idx="169">
                  <c:v>120.71651090342674</c:v>
                </c:pt>
                <c:pt idx="170">
                  <c:v>121.28325508607195</c:v>
                </c:pt>
                <c:pt idx="171">
                  <c:v>120.34161490683225</c:v>
                </c:pt>
                <c:pt idx="172">
                  <c:v>119.59876543209872</c:v>
                </c:pt>
                <c:pt idx="173">
                  <c:v>119.04761904761901</c:v>
                </c:pt>
                <c:pt idx="174">
                  <c:v>119.96904024767797</c:v>
                </c:pt>
                <c:pt idx="175">
                  <c:v>119.96904024767797</c:v>
                </c:pt>
                <c:pt idx="176">
                  <c:v>119.41448382126343</c:v>
                </c:pt>
                <c:pt idx="177">
                  <c:v>119.96904024767797</c:v>
                </c:pt>
                <c:pt idx="178">
                  <c:v>119.96904024767797</c:v>
                </c:pt>
                <c:pt idx="179">
                  <c:v>121.28325508607193</c:v>
                </c:pt>
                <c:pt idx="180">
                  <c:v>121.85534591194961</c:v>
                </c:pt>
                <c:pt idx="181">
                  <c:v>123.40764331210184</c:v>
                </c:pt>
                <c:pt idx="182">
                  <c:v>123.40764331210184</c:v>
                </c:pt>
                <c:pt idx="183">
                  <c:v>125.81168831168823</c:v>
                </c:pt>
                <c:pt idx="184">
                  <c:v>126.22149837133543</c:v>
                </c:pt>
                <c:pt idx="185">
                  <c:v>124.19871794871787</c:v>
                </c:pt>
                <c:pt idx="186">
                  <c:v>122.62658227848094</c:v>
                </c:pt>
                <c:pt idx="187">
                  <c:v>124.59807073954977</c:v>
                </c:pt>
                <c:pt idx="188">
                  <c:v>124.19871794871787</c:v>
                </c:pt>
                <c:pt idx="189">
                  <c:v>123.99999999999993</c:v>
                </c:pt>
                <c:pt idx="190">
                  <c:v>123.80191693290728</c:v>
                </c:pt>
                <c:pt idx="191">
                  <c:v>123.01587301587294</c:v>
                </c:pt>
                <c:pt idx="192">
                  <c:v>121.8553459119496</c:v>
                </c:pt>
                <c:pt idx="193">
                  <c:v>122.04724409448811</c:v>
                </c:pt>
                <c:pt idx="194">
                  <c:v>121.66405023547873</c:v>
                </c:pt>
                <c:pt idx="195">
                  <c:v>121.8553459119496</c:v>
                </c:pt>
                <c:pt idx="196">
                  <c:v>123.01587301587296</c:v>
                </c:pt>
                <c:pt idx="197">
                  <c:v>123.21144674085843</c:v>
                </c:pt>
                <c:pt idx="198">
                  <c:v>122.23974763406933</c:v>
                </c:pt>
                <c:pt idx="199">
                  <c:v>122.43285939968398</c:v>
                </c:pt>
                <c:pt idx="200">
                  <c:v>120.90483619344766</c:v>
                </c:pt>
                <c:pt idx="201">
                  <c:v>120.71651090342672</c:v>
                </c:pt>
                <c:pt idx="202">
                  <c:v>119.78361669242652</c:v>
                </c:pt>
                <c:pt idx="203">
                  <c:v>120.15503875968984</c:v>
                </c:pt>
                <c:pt idx="204">
                  <c:v>120.34161490683222</c:v>
                </c:pt>
                <c:pt idx="205">
                  <c:v>122.82091917591119</c:v>
                </c:pt>
                <c:pt idx="206">
                  <c:v>124.79871175523341</c:v>
                </c:pt>
                <c:pt idx="207">
                  <c:v>124.19871794871786</c:v>
                </c:pt>
                <c:pt idx="208">
                  <c:v>126.01626016260154</c:v>
                </c:pt>
                <c:pt idx="209">
                  <c:v>124.99999999999991</c:v>
                </c:pt>
                <c:pt idx="210">
                  <c:v>124.39807383627598</c:v>
                </c:pt>
                <c:pt idx="211">
                  <c:v>122.04724409448811</c:v>
                </c:pt>
                <c:pt idx="212">
                  <c:v>121.8553459119496</c:v>
                </c:pt>
                <c:pt idx="213">
                  <c:v>121.09374999999991</c:v>
                </c:pt>
                <c:pt idx="214">
                  <c:v>119.59876543209867</c:v>
                </c:pt>
                <c:pt idx="215">
                  <c:v>119.23076923076916</c:v>
                </c:pt>
                <c:pt idx="216">
                  <c:v>120.15503875968984</c:v>
                </c:pt>
                <c:pt idx="217">
                  <c:v>120.71651090342672</c:v>
                </c:pt>
                <c:pt idx="218">
                  <c:v>119.78361669242652</c:v>
                </c:pt>
                <c:pt idx="219">
                  <c:v>119.4144838212634</c:v>
                </c:pt>
                <c:pt idx="220">
                  <c:v>117.60242792109248</c:v>
                </c:pt>
                <c:pt idx="221">
                  <c:v>118.32061068702282</c:v>
                </c:pt>
                <c:pt idx="222">
                  <c:v>117.42424242424235</c:v>
                </c:pt>
                <c:pt idx="223">
                  <c:v>116.36636636636629</c:v>
                </c:pt>
                <c:pt idx="224">
                  <c:v>114.81481481481474</c:v>
                </c:pt>
                <c:pt idx="225">
                  <c:v>114.30678466076688</c:v>
                </c:pt>
                <c:pt idx="226">
                  <c:v>115.32738095238086</c:v>
                </c:pt>
                <c:pt idx="227">
                  <c:v>115.67164179104468</c:v>
                </c:pt>
                <c:pt idx="228">
                  <c:v>116.54135338345856</c:v>
                </c:pt>
                <c:pt idx="229">
                  <c:v>116.36636636636628</c:v>
                </c:pt>
                <c:pt idx="230">
                  <c:v>115.15601783060912</c:v>
                </c:pt>
                <c:pt idx="231">
                  <c:v>114.13843888070683</c:v>
                </c:pt>
                <c:pt idx="232">
                  <c:v>112.64534883720921</c:v>
                </c:pt>
                <c:pt idx="233">
                  <c:v>112.48185776487655</c:v>
                </c:pt>
                <c:pt idx="234">
                  <c:v>110.24182076813646</c:v>
                </c:pt>
                <c:pt idx="235">
                  <c:v>110.24182076813646</c:v>
                </c:pt>
                <c:pt idx="236">
                  <c:v>109.77337110481578</c:v>
                </c:pt>
                <c:pt idx="237">
                  <c:v>109.00140646976081</c:v>
                </c:pt>
                <c:pt idx="238">
                  <c:v>108.24022346368706</c:v>
                </c:pt>
                <c:pt idx="239">
                  <c:v>108.3916083916083</c:v>
                </c:pt>
                <c:pt idx="240">
                  <c:v>108.24022346368706</c:v>
                </c:pt>
                <c:pt idx="241">
                  <c:v>107.78859527120991</c:v>
                </c:pt>
                <c:pt idx="242">
                  <c:v>109.15492957746471</c:v>
                </c:pt>
                <c:pt idx="243">
                  <c:v>111.51079136690639</c:v>
                </c:pt>
                <c:pt idx="244">
                  <c:v>112.1562952243125</c:v>
                </c:pt>
                <c:pt idx="245">
                  <c:v>111.83261183261175</c:v>
                </c:pt>
                <c:pt idx="246">
                  <c:v>110.87267525035756</c:v>
                </c:pt>
                <c:pt idx="247">
                  <c:v>109.30888575458383</c:v>
                </c:pt>
                <c:pt idx="248">
                  <c:v>109.1549295774647</c:v>
                </c:pt>
                <c:pt idx="249">
                  <c:v>109.1549295774647</c:v>
                </c:pt>
                <c:pt idx="250">
                  <c:v>110.39886039886031</c:v>
                </c:pt>
                <c:pt idx="251">
                  <c:v>110.39886039886031</c:v>
                </c:pt>
                <c:pt idx="252">
                  <c:v>110.24182076813646</c:v>
                </c:pt>
                <c:pt idx="253">
                  <c:v>109.30888575458383</c:v>
                </c:pt>
                <c:pt idx="254">
                  <c:v>108.54341736694668</c:v>
                </c:pt>
                <c:pt idx="255">
                  <c:v>108.24022346368706</c:v>
                </c:pt>
                <c:pt idx="256">
                  <c:v>108.69565217391296</c:v>
                </c:pt>
                <c:pt idx="257">
                  <c:v>110.24182076813646</c:v>
                </c:pt>
                <c:pt idx="258">
                  <c:v>110.08522727272718</c:v>
                </c:pt>
                <c:pt idx="259">
                  <c:v>109.4632768361581</c:v>
                </c:pt>
                <c:pt idx="260">
                  <c:v>109.92907801418431</c:v>
                </c:pt>
                <c:pt idx="261">
                  <c:v>111.51079136690637</c:v>
                </c:pt>
                <c:pt idx="262">
                  <c:v>112.64534883720921</c:v>
                </c:pt>
                <c:pt idx="263">
                  <c:v>112.9737609329445</c:v>
                </c:pt>
                <c:pt idx="264">
                  <c:v>112.48185776487654</c:v>
                </c:pt>
                <c:pt idx="265">
                  <c:v>113.97058823529402</c:v>
                </c:pt>
                <c:pt idx="266">
                  <c:v>112.80931586608432</c:v>
                </c:pt>
                <c:pt idx="267">
                  <c:v>113.30409356725137</c:v>
                </c:pt>
                <c:pt idx="268">
                  <c:v>113.30409356725137</c:v>
                </c:pt>
                <c:pt idx="269">
                  <c:v>112.31884057971004</c:v>
                </c:pt>
                <c:pt idx="270">
                  <c:v>111.51079136690637</c:v>
                </c:pt>
                <c:pt idx="271">
                  <c:v>110.55634807417965</c:v>
                </c:pt>
                <c:pt idx="272">
                  <c:v>109.77337110481578</c:v>
                </c:pt>
                <c:pt idx="273">
                  <c:v>109.30888575458384</c:v>
                </c:pt>
                <c:pt idx="274">
                  <c:v>109.00140646976081</c:v>
                </c:pt>
                <c:pt idx="275">
                  <c:v>109.77337110481579</c:v>
                </c:pt>
                <c:pt idx="276">
                  <c:v>108.24022346368707</c:v>
                </c:pt>
                <c:pt idx="277">
                  <c:v>108.24022346368707</c:v>
                </c:pt>
                <c:pt idx="278">
                  <c:v>109.00140646976082</c:v>
                </c:pt>
                <c:pt idx="279">
                  <c:v>108.84831460674151</c:v>
                </c:pt>
                <c:pt idx="280">
                  <c:v>109.15492957746473</c:v>
                </c:pt>
                <c:pt idx="281">
                  <c:v>110.24182076813648</c:v>
                </c:pt>
                <c:pt idx="282">
                  <c:v>109.46327683615812</c:v>
                </c:pt>
                <c:pt idx="283">
                  <c:v>108.24022346368707</c:v>
                </c:pt>
                <c:pt idx="284">
                  <c:v>108.24022346368707</c:v>
                </c:pt>
                <c:pt idx="285">
                  <c:v>109.46327683615813</c:v>
                </c:pt>
                <c:pt idx="286">
                  <c:v>108.69565217391298</c:v>
                </c:pt>
                <c:pt idx="287">
                  <c:v>109.61810466760953</c:v>
                </c:pt>
                <c:pt idx="288">
                  <c:v>108.5434173669467</c:v>
                </c:pt>
                <c:pt idx="289">
                  <c:v>109.00140646976081</c:v>
                </c:pt>
                <c:pt idx="290">
                  <c:v>110.24182076813648</c:v>
                </c:pt>
                <c:pt idx="291">
                  <c:v>109.15492957746473</c:v>
                </c:pt>
                <c:pt idx="292">
                  <c:v>109.00140646976084</c:v>
                </c:pt>
                <c:pt idx="293">
                  <c:v>108.24022346368709</c:v>
                </c:pt>
                <c:pt idx="294">
                  <c:v>108.39160839160833</c:v>
                </c:pt>
                <c:pt idx="295">
                  <c:v>107.48959778085985</c:v>
                </c:pt>
                <c:pt idx="296">
                  <c:v>107.04419889502756</c:v>
                </c:pt>
                <c:pt idx="297">
                  <c:v>107.34072022160659</c:v>
                </c:pt>
                <c:pt idx="298">
                  <c:v>108.24022346368707</c:v>
                </c:pt>
                <c:pt idx="299">
                  <c:v>108.84831460674148</c:v>
                </c:pt>
                <c:pt idx="300">
                  <c:v>109.30888575458383</c:v>
                </c:pt>
                <c:pt idx="301">
                  <c:v>111.83261183261173</c:v>
                </c:pt>
                <c:pt idx="302">
                  <c:v>111.19081779053074</c:v>
                </c:pt>
                <c:pt idx="303">
                  <c:v>111.35057471264356</c:v>
                </c:pt>
                <c:pt idx="304">
                  <c:v>111.03151862464171</c:v>
                </c:pt>
                <c:pt idx="305">
                  <c:v>111.03151862464171</c:v>
                </c:pt>
                <c:pt idx="306">
                  <c:v>110.87267525035753</c:v>
                </c:pt>
                <c:pt idx="307">
                  <c:v>110.39886039886029</c:v>
                </c:pt>
                <c:pt idx="308">
                  <c:v>110.55634807417962</c:v>
                </c:pt>
                <c:pt idx="309">
                  <c:v>110.71428571428558</c:v>
                </c:pt>
                <c:pt idx="310">
                  <c:v>110.87267525035752</c:v>
                </c:pt>
                <c:pt idx="311">
                  <c:v>110.71428571428558</c:v>
                </c:pt>
                <c:pt idx="312">
                  <c:v>111.99421965317907</c:v>
                </c:pt>
                <c:pt idx="313">
                  <c:v>111.19081779053073</c:v>
                </c:pt>
                <c:pt idx="314">
                  <c:v>112.31884057971001</c:v>
                </c:pt>
                <c:pt idx="315">
                  <c:v>113.46998535871144</c:v>
                </c:pt>
                <c:pt idx="316">
                  <c:v>115.15601783060907</c:v>
                </c:pt>
                <c:pt idx="317">
                  <c:v>112.97376093294447</c:v>
                </c:pt>
                <c:pt idx="318">
                  <c:v>114.13843888070679</c:v>
                </c:pt>
                <c:pt idx="319">
                  <c:v>112.48185776487649</c:v>
                </c:pt>
                <c:pt idx="320">
                  <c:v>112.80931586608428</c:v>
                </c:pt>
                <c:pt idx="321">
                  <c:v>113.13868613138672</c:v>
                </c:pt>
                <c:pt idx="322">
                  <c:v>114.13843888070677</c:v>
                </c:pt>
                <c:pt idx="323">
                  <c:v>112.97376093294446</c:v>
                </c:pt>
                <c:pt idx="324">
                  <c:v>111.67146974063387</c:v>
                </c:pt>
                <c:pt idx="325">
                  <c:v>111.51079136690633</c:v>
                </c:pt>
                <c:pt idx="326">
                  <c:v>111.67146974063385</c:v>
                </c:pt>
                <c:pt idx="327">
                  <c:v>111.51079136690632</c:v>
                </c:pt>
                <c:pt idx="328">
                  <c:v>110.5563480741796</c:v>
                </c:pt>
                <c:pt idx="329">
                  <c:v>111.5107913669063</c:v>
                </c:pt>
                <c:pt idx="330">
                  <c:v>112.80931586608426</c:v>
                </c:pt>
                <c:pt idx="331">
                  <c:v>111.83261183261168</c:v>
                </c:pt>
                <c:pt idx="332">
                  <c:v>111.19081779053069</c:v>
                </c:pt>
                <c:pt idx="333">
                  <c:v>110.87267525035749</c:v>
                </c:pt>
                <c:pt idx="334">
                  <c:v>109.92907801418424</c:v>
                </c:pt>
                <c:pt idx="335">
                  <c:v>109.77337110481571</c:v>
                </c:pt>
                <c:pt idx="336">
                  <c:v>109.77337110481571</c:v>
                </c:pt>
                <c:pt idx="337">
                  <c:v>110.24182076813639</c:v>
                </c:pt>
                <c:pt idx="338">
                  <c:v>110.24182076813639</c:v>
                </c:pt>
                <c:pt idx="339">
                  <c:v>109.77337110481571</c:v>
                </c:pt>
                <c:pt idx="340">
                  <c:v>109.77337110481571</c:v>
                </c:pt>
                <c:pt idx="341">
                  <c:v>109.46327683615803</c:v>
                </c:pt>
                <c:pt idx="342">
                  <c:v>109.61810466760944</c:v>
                </c:pt>
                <c:pt idx="343">
                  <c:v>109.61810466760944</c:v>
                </c:pt>
                <c:pt idx="344">
                  <c:v>109.30888575458376</c:v>
                </c:pt>
                <c:pt idx="345">
                  <c:v>109.61810466760944</c:v>
                </c:pt>
                <c:pt idx="346">
                  <c:v>109.15492957746463</c:v>
                </c:pt>
                <c:pt idx="347">
                  <c:v>109.46327683615802</c:v>
                </c:pt>
                <c:pt idx="348">
                  <c:v>109.30888575458374</c:v>
                </c:pt>
                <c:pt idx="349">
                  <c:v>109.30888575458374</c:v>
                </c:pt>
                <c:pt idx="350">
                  <c:v>109.46327683615802</c:v>
                </c:pt>
                <c:pt idx="351">
                  <c:v>109.46327683615802</c:v>
                </c:pt>
                <c:pt idx="352">
                  <c:v>109.00140646976072</c:v>
                </c:pt>
                <c:pt idx="353">
                  <c:v>109.15492957746461</c:v>
                </c:pt>
                <c:pt idx="354">
                  <c:v>108.54341736694661</c:v>
                </c:pt>
                <c:pt idx="355">
                  <c:v>108.39160839160822</c:v>
                </c:pt>
                <c:pt idx="356">
                  <c:v>107.63888888888872</c:v>
                </c:pt>
                <c:pt idx="357">
                  <c:v>107.78859527120984</c:v>
                </c:pt>
                <c:pt idx="358">
                  <c:v>107.04419889502746</c:v>
                </c:pt>
                <c:pt idx="359">
                  <c:v>108.39160839160823</c:v>
                </c:pt>
                <c:pt idx="360">
                  <c:v>107.9387186629525</c:v>
                </c:pt>
                <c:pt idx="361">
                  <c:v>108.240223463687</c:v>
                </c:pt>
                <c:pt idx="362">
                  <c:v>109.30888575458377</c:v>
                </c:pt>
                <c:pt idx="363">
                  <c:v>108.84831460674143</c:v>
                </c:pt>
                <c:pt idx="364">
                  <c:v>110.24182076813641</c:v>
                </c:pt>
                <c:pt idx="365">
                  <c:v>110.5563480741796</c:v>
                </c:pt>
                <c:pt idx="366">
                  <c:v>109.92907801418426</c:v>
                </c:pt>
                <c:pt idx="367">
                  <c:v>110.24182076813641</c:v>
                </c:pt>
                <c:pt idx="368">
                  <c:v>111.99421965317903</c:v>
                </c:pt>
                <c:pt idx="369">
                  <c:v>112.48185776487648</c:v>
                </c:pt>
                <c:pt idx="370">
                  <c:v>113.3040935672513</c:v>
                </c:pt>
                <c:pt idx="371">
                  <c:v>114.30678466076679</c:v>
                </c:pt>
                <c:pt idx="372">
                  <c:v>113.97058823529395</c:v>
                </c:pt>
                <c:pt idx="373">
                  <c:v>115.32738095238078</c:v>
                </c:pt>
                <c:pt idx="374">
                  <c:v>114.81481481481464</c:v>
                </c:pt>
                <c:pt idx="375">
                  <c:v>116.19190404797584</c:v>
                </c:pt>
                <c:pt idx="376">
                  <c:v>117.42424242424227</c:v>
                </c:pt>
                <c:pt idx="377">
                  <c:v>116.19190404797585</c:v>
                </c:pt>
                <c:pt idx="378">
                  <c:v>116.71686746987936</c:v>
                </c:pt>
                <c:pt idx="379">
                  <c:v>115.67164179104461</c:v>
                </c:pt>
                <c:pt idx="380">
                  <c:v>115.84454409566501</c:v>
                </c:pt>
                <c:pt idx="381">
                  <c:v>115.84454409566501</c:v>
                </c:pt>
                <c:pt idx="382">
                  <c:v>116.01796407185616</c:v>
                </c:pt>
                <c:pt idx="383">
                  <c:v>117.24659606656566</c:v>
                </c:pt>
                <c:pt idx="384">
                  <c:v>117.60242792109241</c:v>
                </c:pt>
                <c:pt idx="385">
                  <c:v>118.14024390243888</c:v>
                </c:pt>
                <c:pt idx="386">
                  <c:v>117.96042617960411</c:v>
                </c:pt>
                <c:pt idx="387">
                  <c:v>117.96042617960411</c:v>
                </c:pt>
                <c:pt idx="388">
                  <c:v>118.86503067484648</c:v>
                </c:pt>
                <c:pt idx="389">
                  <c:v>118.68300153139342</c:v>
                </c:pt>
                <c:pt idx="390">
                  <c:v>118.14024390243888</c:v>
                </c:pt>
                <c:pt idx="391">
                  <c:v>117.0694864048337</c:v>
                </c:pt>
                <c:pt idx="392">
                  <c:v>116.36636636636624</c:v>
                </c:pt>
                <c:pt idx="393">
                  <c:v>115.84454409566504</c:v>
                </c:pt>
                <c:pt idx="394">
                  <c:v>114.98516320474765</c:v>
                </c:pt>
                <c:pt idx="395">
                  <c:v>114.64497041420107</c:v>
                </c:pt>
                <c:pt idx="396">
                  <c:v>114.8148148148147</c:v>
                </c:pt>
                <c:pt idx="397">
                  <c:v>115.15601783060909</c:v>
                </c:pt>
                <c:pt idx="398">
                  <c:v>115.84454409566506</c:v>
                </c:pt>
                <c:pt idx="399">
                  <c:v>116.1919040479759</c:v>
                </c:pt>
                <c:pt idx="400">
                  <c:v>116.89291101055795</c:v>
                </c:pt>
                <c:pt idx="401">
                  <c:v>115.84454409566506</c:v>
                </c:pt>
                <c:pt idx="402">
                  <c:v>115.67164179104466</c:v>
                </c:pt>
                <c:pt idx="403">
                  <c:v>115.49925484351704</c:v>
                </c:pt>
                <c:pt idx="404">
                  <c:v>115.67164179104468</c:v>
                </c:pt>
                <c:pt idx="405">
                  <c:v>116.01796407185618</c:v>
                </c:pt>
                <c:pt idx="406">
                  <c:v>117.06948640483374</c:v>
                </c:pt>
                <c:pt idx="407">
                  <c:v>117.78115501519747</c:v>
                </c:pt>
                <c:pt idx="408">
                  <c:v>117.06948640483373</c:v>
                </c:pt>
                <c:pt idx="409">
                  <c:v>116.71686746987942</c:v>
                </c:pt>
                <c:pt idx="410">
                  <c:v>116.01796407185618</c:v>
                </c:pt>
                <c:pt idx="411">
                  <c:v>116.36636636636626</c:v>
                </c:pt>
                <c:pt idx="412">
                  <c:v>116.19190404797591</c:v>
                </c:pt>
                <c:pt idx="413">
                  <c:v>115.67164179104468</c:v>
                </c:pt>
                <c:pt idx="414">
                  <c:v>115.15601783060912</c:v>
                </c:pt>
                <c:pt idx="415">
                  <c:v>114.81481481481472</c:v>
                </c:pt>
                <c:pt idx="416">
                  <c:v>114.30678466076687</c:v>
                </c:pt>
                <c:pt idx="417">
                  <c:v>114.30678466076687</c:v>
                </c:pt>
                <c:pt idx="418">
                  <c:v>114.6449704142011</c:v>
                </c:pt>
                <c:pt idx="419">
                  <c:v>114.98516320474769</c:v>
                </c:pt>
                <c:pt idx="420">
                  <c:v>115.32738095238086</c:v>
                </c:pt>
                <c:pt idx="421">
                  <c:v>114.81481481481472</c:v>
                </c:pt>
              </c:numCache>
            </c:numRef>
          </c:val>
          <c:smooth val="0"/>
          <c:extLst>
            <c:ext xmlns:c16="http://schemas.microsoft.com/office/drawing/2014/chart" uri="{C3380CC4-5D6E-409C-BE32-E72D297353CC}">
              <c16:uniqueId val="{00000001-5BA9-4A8D-83D1-54277AA4E92F}"/>
            </c:ext>
          </c:extLst>
        </c:ser>
        <c:ser>
          <c:idx val="2"/>
          <c:order val="2"/>
          <c:tx>
            <c:strRef>
              <c:f>Sheet1!$D$1</c:f>
              <c:strCache>
                <c:ptCount val="1"/>
                <c:pt idx="0">
                  <c:v> EUR/AMD </c:v>
                </c:pt>
              </c:strCache>
            </c:strRef>
          </c:tx>
          <c:spPr>
            <a:ln w="28575" cap="rnd">
              <a:solidFill>
                <a:srgbClr val="C00000"/>
              </a:solidFill>
              <a:round/>
            </a:ln>
            <a:effectLst/>
          </c:spPr>
          <c:marker>
            <c:symbol val="none"/>
          </c:marker>
          <c:cat>
            <c:numRef>
              <c:f>Sheet1!$A$2:$A$423</c:f>
              <c:numCache>
                <c:formatCode>m/d/yyyy</c:formatCode>
                <c:ptCount val="42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numCache>
            </c:numRef>
          </c:cat>
          <c:val>
            <c:numRef>
              <c:f>Sheet1!$D$2:$D$423</c:f>
              <c:numCache>
                <c:formatCode>0</c:formatCode>
                <c:ptCount val="422"/>
                <c:pt idx="0">
                  <c:v>100</c:v>
                </c:pt>
                <c:pt idx="1">
                  <c:v>100.34377172054927</c:v>
                </c:pt>
                <c:pt idx="2">
                  <c:v>100.44566464205796</c:v>
                </c:pt>
                <c:pt idx="3">
                  <c:v>100.27219312571567</c:v>
                </c:pt>
                <c:pt idx="4">
                  <c:v>100.10307153164297</c:v>
                </c:pt>
                <c:pt idx="5">
                  <c:v>100.08994153800032</c:v>
                </c:pt>
                <c:pt idx="6">
                  <c:v>99.820600986694572</c:v>
                </c:pt>
                <c:pt idx="7">
                  <c:v>100.08431545221188</c:v>
                </c:pt>
                <c:pt idx="8">
                  <c:v>100.48345529449388</c:v>
                </c:pt>
                <c:pt idx="9">
                  <c:v>100.43999849573164</c:v>
                </c:pt>
                <c:pt idx="10">
                  <c:v>100.54965740531588</c:v>
                </c:pt>
                <c:pt idx="11">
                  <c:v>100.66714409558631</c:v>
                </c:pt>
                <c:pt idx="12">
                  <c:v>101.08434418939125</c:v>
                </c:pt>
                <c:pt idx="13">
                  <c:v>101.44911021214369</c:v>
                </c:pt>
                <c:pt idx="14">
                  <c:v>101.26831857735988</c:v>
                </c:pt>
                <c:pt idx="15">
                  <c:v>101.20500189465712</c:v>
                </c:pt>
                <c:pt idx="16">
                  <c:v>101.17049888253347</c:v>
                </c:pt>
                <c:pt idx="17">
                  <c:v>100.74118778643233</c:v>
                </c:pt>
                <c:pt idx="18">
                  <c:v>100.91628724188099</c:v>
                </c:pt>
                <c:pt idx="19">
                  <c:v>101.20691941870825</c:v>
                </c:pt>
                <c:pt idx="20">
                  <c:v>101.40096434944385</c:v>
                </c:pt>
                <c:pt idx="21">
                  <c:v>101.90781440781448</c:v>
                </c:pt>
                <c:pt idx="22">
                  <c:v>101.84563758389268</c:v>
                </c:pt>
                <c:pt idx="23">
                  <c:v>102.18464246087927</c:v>
                </c:pt>
                <c:pt idx="24">
                  <c:v>102.06748958611998</c:v>
                </c:pt>
                <c:pt idx="25">
                  <c:v>102.4531522718991</c:v>
                </c:pt>
                <c:pt idx="26">
                  <c:v>102.81600677535472</c:v>
                </c:pt>
                <c:pt idx="27">
                  <c:v>102.83580078162611</c:v>
                </c:pt>
                <c:pt idx="28">
                  <c:v>103.04608677199691</c:v>
                </c:pt>
                <c:pt idx="29">
                  <c:v>103.30715971067197</c:v>
                </c:pt>
                <c:pt idx="30">
                  <c:v>103.38113762604276</c:v>
                </c:pt>
                <c:pt idx="31">
                  <c:v>103.30915772169044</c:v>
                </c:pt>
                <c:pt idx="32">
                  <c:v>103.20935175345384</c:v>
                </c:pt>
                <c:pt idx="33">
                  <c:v>103.22730259343723</c:v>
                </c:pt>
                <c:pt idx="34">
                  <c:v>102.54165706826392</c:v>
                </c:pt>
                <c:pt idx="35">
                  <c:v>102.10846252365576</c:v>
                </c:pt>
                <c:pt idx="36">
                  <c:v>101.05757042586607</c:v>
                </c:pt>
                <c:pt idx="37">
                  <c:v>100.7070002450935</c:v>
                </c:pt>
                <c:pt idx="38">
                  <c:v>100.23832310608201</c:v>
                </c:pt>
                <c:pt idx="39">
                  <c:v>99.934519466427275</c:v>
                </c:pt>
                <c:pt idx="40">
                  <c:v>99.67345263197187</c:v>
                </c:pt>
                <c:pt idx="41">
                  <c:v>98.56077939331324</c:v>
                </c:pt>
                <c:pt idx="42">
                  <c:v>97.527843710060324</c:v>
                </c:pt>
                <c:pt idx="43">
                  <c:v>97.631232636350418</c:v>
                </c:pt>
                <c:pt idx="44">
                  <c:v>97.811796158283187</c:v>
                </c:pt>
                <c:pt idx="45">
                  <c:v>98.104613576256284</c:v>
                </c:pt>
                <c:pt idx="46">
                  <c:v>98.084797737747706</c:v>
                </c:pt>
                <c:pt idx="47">
                  <c:v>97.433558907757742</c:v>
                </c:pt>
                <c:pt idx="48">
                  <c:v>98.137056770163568</c:v>
                </c:pt>
                <c:pt idx="49">
                  <c:v>98.931342951864195</c:v>
                </c:pt>
                <c:pt idx="50">
                  <c:v>100.33246304400915</c:v>
                </c:pt>
                <c:pt idx="51">
                  <c:v>100.952524947082</c:v>
                </c:pt>
                <c:pt idx="52">
                  <c:v>101.01934678593722</c:v>
                </c:pt>
                <c:pt idx="53">
                  <c:v>99.380453589834261</c:v>
                </c:pt>
                <c:pt idx="54">
                  <c:v>99.334250753152105</c:v>
                </c:pt>
                <c:pt idx="55">
                  <c:v>98.131648081127267</c:v>
                </c:pt>
                <c:pt idx="56">
                  <c:v>97.435336178906297</c:v>
                </c:pt>
                <c:pt idx="57">
                  <c:v>96.359634881119916</c:v>
                </c:pt>
                <c:pt idx="58">
                  <c:v>96.514590297226519</c:v>
                </c:pt>
                <c:pt idx="59">
                  <c:v>96.755846178926603</c:v>
                </c:pt>
                <c:pt idx="60">
                  <c:v>96.834777564265295</c:v>
                </c:pt>
                <c:pt idx="61">
                  <c:v>98.2164527635789</c:v>
                </c:pt>
                <c:pt idx="62">
                  <c:v>98.484457391496775</c:v>
                </c:pt>
                <c:pt idx="63">
                  <c:v>98.361138732368488</c:v>
                </c:pt>
                <c:pt idx="64">
                  <c:v>99.023042841517963</c:v>
                </c:pt>
                <c:pt idx="65">
                  <c:v>99.547140274697682</c:v>
                </c:pt>
                <c:pt idx="66">
                  <c:v>99.360119047619108</c:v>
                </c:pt>
                <c:pt idx="67">
                  <c:v>100.40224051727387</c:v>
                </c:pt>
                <c:pt idx="68">
                  <c:v>100.53830227743281</c:v>
                </c:pt>
                <c:pt idx="69">
                  <c:v>100.49668874172194</c:v>
                </c:pt>
                <c:pt idx="70">
                  <c:v>101.40096434944388</c:v>
                </c:pt>
                <c:pt idx="71">
                  <c:v>102.04604069156565</c:v>
                </c:pt>
                <c:pt idx="72">
                  <c:v>101.76608432242955</c:v>
                </c:pt>
                <c:pt idx="73">
                  <c:v>102.53968863378967</c:v>
                </c:pt>
                <c:pt idx="74">
                  <c:v>102.53968863378967</c:v>
                </c:pt>
                <c:pt idx="75">
                  <c:v>103.35113381317244</c:v>
                </c:pt>
                <c:pt idx="76">
                  <c:v>102.68358323721654</c:v>
                </c:pt>
                <c:pt idx="77">
                  <c:v>102.3804960325067</c:v>
                </c:pt>
                <c:pt idx="78">
                  <c:v>102.6105999193193</c:v>
                </c:pt>
                <c:pt idx="79">
                  <c:v>102.57710181664564</c:v>
                </c:pt>
                <c:pt idx="80">
                  <c:v>101.75832968205296</c:v>
                </c:pt>
                <c:pt idx="81">
                  <c:v>102.45118723387942</c:v>
                </c:pt>
                <c:pt idx="82">
                  <c:v>102.76260100038486</c:v>
                </c:pt>
                <c:pt idx="83">
                  <c:v>102.3804960325067</c:v>
                </c:pt>
                <c:pt idx="84">
                  <c:v>101.7971147066111</c:v>
                </c:pt>
                <c:pt idx="85">
                  <c:v>101.51080367153806</c:v>
                </c:pt>
                <c:pt idx="86">
                  <c:v>101.34901811972307</c:v>
                </c:pt>
                <c:pt idx="87">
                  <c:v>101.03845499082611</c:v>
                </c:pt>
                <c:pt idx="88">
                  <c:v>101.09008327024989</c:v>
                </c:pt>
                <c:pt idx="89">
                  <c:v>101.27983921427361</c:v>
                </c:pt>
                <c:pt idx="90">
                  <c:v>101.73701051348478</c:v>
                </c:pt>
                <c:pt idx="91">
                  <c:v>100.68991517436389</c:v>
                </c:pt>
                <c:pt idx="92">
                  <c:v>100.86674094076334</c:v>
                </c:pt>
                <c:pt idx="93">
                  <c:v>101.15325619709516</c:v>
                </c:pt>
                <c:pt idx="94">
                  <c:v>101.75639120661417</c:v>
                </c:pt>
                <c:pt idx="95">
                  <c:v>101.70408027265293</c:v>
                </c:pt>
                <c:pt idx="96">
                  <c:v>101.44140380196374</c:v>
                </c:pt>
                <c:pt idx="97">
                  <c:v>100.70700024509352</c:v>
                </c:pt>
                <c:pt idx="98">
                  <c:v>100.09369261327448</c:v>
                </c:pt>
                <c:pt idx="99">
                  <c:v>99.511904318342829</c:v>
                </c:pt>
                <c:pt idx="100">
                  <c:v>99.050585966473932</c:v>
                </c:pt>
                <c:pt idx="101">
                  <c:v>98.755754404777434</c:v>
                </c:pt>
                <c:pt idx="102">
                  <c:v>98.942337970252225</c:v>
                </c:pt>
                <c:pt idx="103">
                  <c:v>97.831501831501953</c:v>
                </c:pt>
                <c:pt idx="104">
                  <c:v>98.250777125830126</c:v>
                </c:pt>
                <c:pt idx="105">
                  <c:v>98.526238125980015</c:v>
                </c:pt>
                <c:pt idx="106">
                  <c:v>97.759882869692646</c:v>
                </c:pt>
                <c:pt idx="107">
                  <c:v>97.444223507306248</c:v>
                </c:pt>
                <c:pt idx="108">
                  <c:v>97.915788315949754</c:v>
                </c:pt>
                <c:pt idx="109">
                  <c:v>98.628113517605698</c:v>
                </c:pt>
                <c:pt idx="110">
                  <c:v>97.960680751173854</c:v>
                </c:pt>
                <c:pt idx="111">
                  <c:v>99.008359437267288</c:v>
                </c:pt>
                <c:pt idx="112">
                  <c:v>98.942337970252225</c:v>
                </c:pt>
                <c:pt idx="113">
                  <c:v>99.321321656347166</c:v>
                </c:pt>
                <c:pt idx="114">
                  <c:v>99.454467593885681</c:v>
                </c:pt>
                <c:pt idx="115">
                  <c:v>98.7119546134941</c:v>
                </c:pt>
                <c:pt idx="116">
                  <c:v>98.420945958395635</c:v>
                </c:pt>
                <c:pt idx="117">
                  <c:v>98.852616774002627</c:v>
                </c:pt>
                <c:pt idx="118">
                  <c:v>98.792283933492499</c:v>
                </c:pt>
                <c:pt idx="119">
                  <c:v>98.218258711041756</c:v>
                </c:pt>
                <c:pt idx="120">
                  <c:v>98.837983864998989</c:v>
                </c:pt>
                <c:pt idx="121">
                  <c:v>98.779495524817037</c:v>
                </c:pt>
                <c:pt idx="122">
                  <c:v>97.92655874750227</c:v>
                </c:pt>
                <c:pt idx="123">
                  <c:v>98.317688201730292</c:v>
                </c:pt>
                <c:pt idx="124">
                  <c:v>97.640155738753833</c:v>
                </c:pt>
                <c:pt idx="125">
                  <c:v>97.66693483507656</c:v>
                </c:pt>
                <c:pt idx="126">
                  <c:v>97.550998045912053</c:v>
                </c:pt>
                <c:pt idx="127">
                  <c:v>96.905046986684198</c:v>
                </c:pt>
                <c:pt idx="128">
                  <c:v>97.187147483716146</c:v>
                </c:pt>
                <c:pt idx="129">
                  <c:v>96.99478854569567</c:v>
                </c:pt>
                <c:pt idx="130">
                  <c:v>96.827756226661464</c:v>
                </c:pt>
                <c:pt idx="131">
                  <c:v>96.481468102015867</c:v>
                </c:pt>
                <c:pt idx="132">
                  <c:v>97.061762942234765</c:v>
                </c:pt>
                <c:pt idx="133">
                  <c:v>96.984222089075416</c:v>
                </c:pt>
                <c:pt idx="134">
                  <c:v>96.582649260478192</c:v>
                </c:pt>
                <c:pt idx="135">
                  <c:v>96.490182264853161</c:v>
                </c:pt>
                <c:pt idx="136">
                  <c:v>95.563188779161408</c:v>
                </c:pt>
                <c:pt idx="137">
                  <c:v>94.973596714257894</c:v>
                </c:pt>
                <c:pt idx="138">
                  <c:v>94.912844933278961</c:v>
                </c:pt>
                <c:pt idx="139">
                  <c:v>94.090292578957673</c:v>
                </c:pt>
                <c:pt idx="140">
                  <c:v>93.994263492231198</c:v>
                </c:pt>
                <c:pt idx="141">
                  <c:v>93.837397231396352</c:v>
                </c:pt>
                <c:pt idx="142">
                  <c:v>93.669554238417675</c:v>
                </c:pt>
                <c:pt idx="143">
                  <c:v>92.823132798109441</c:v>
                </c:pt>
                <c:pt idx="144">
                  <c:v>93.620302860347834</c:v>
                </c:pt>
                <c:pt idx="145">
                  <c:v>93.25581801358274</c:v>
                </c:pt>
                <c:pt idx="146">
                  <c:v>92.795719472577971</c:v>
                </c:pt>
                <c:pt idx="147">
                  <c:v>92.837652293307016</c:v>
                </c:pt>
                <c:pt idx="148">
                  <c:v>93.193991311478371</c:v>
                </c:pt>
                <c:pt idx="149">
                  <c:v>93.600616808018614</c:v>
                </c:pt>
                <c:pt idx="150">
                  <c:v>93.36176460306929</c:v>
                </c:pt>
                <c:pt idx="151">
                  <c:v>93.6137399228883</c:v>
                </c:pt>
                <c:pt idx="152">
                  <c:v>93.034921187843011</c:v>
                </c:pt>
                <c:pt idx="153">
                  <c:v>93.399311080414876</c:v>
                </c:pt>
                <c:pt idx="154">
                  <c:v>92.978241949521447</c:v>
                </c:pt>
                <c:pt idx="155">
                  <c:v>92.694269947593227</c:v>
                </c:pt>
                <c:pt idx="156">
                  <c:v>92.381660642327304</c:v>
                </c:pt>
                <c:pt idx="157">
                  <c:v>93.106273204232238</c:v>
                </c:pt>
                <c:pt idx="158">
                  <c:v>93.231402939225873</c:v>
                </c:pt>
                <c:pt idx="159">
                  <c:v>93.026819923371775</c:v>
                </c:pt>
                <c:pt idx="160">
                  <c:v>92.978241949521461</c:v>
                </c:pt>
                <c:pt idx="161">
                  <c:v>92.786048046691931</c:v>
                </c:pt>
                <c:pt idx="162">
                  <c:v>92.750603392891392</c:v>
                </c:pt>
                <c:pt idx="163">
                  <c:v>92.218980370491991</c:v>
                </c:pt>
                <c:pt idx="164">
                  <c:v>92.009301524416642</c:v>
                </c:pt>
                <c:pt idx="165">
                  <c:v>91.621069964494737</c:v>
                </c:pt>
                <c:pt idx="166">
                  <c:v>92.333753954123651</c:v>
                </c:pt>
                <c:pt idx="167">
                  <c:v>92.679795263295006</c:v>
                </c:pt>
                <c:pt idx="168">
                  <c:v>92.346524212091495</c:v>
                </c:pt>
                <c:pt idx="169">
                  <c:v>92.535296665223186</c:v>
                </c:pt>
                <c:pt idx="170">
                  <c:v>92.755435160102948</c:v>
                </c:pt>
                <c:pt idx="171">
                  <c:v>92.884468247896081</c:v>
                </c:pt>
                <c:pt idx="172">
                  <c:v>92.400837239876282</c:v>
                </c:pt>
                <c:pt idx="173">
                  <c:v>92.254019792404421</c:v>
                </c:pt>
                <c:pt idx="174">
                  <c:v>92.633185349611679</c:v>
                </c:pt>
                <c:pt idx="175">
                  <c:v>92.639611515782306</c:v>
                </c:pt>
                <c:pt idx="176">
                  <c:v>92.744161819602525</c:v>
                </c:pt>
                <c:pt idx="177">
                  <c:v>93.451599923021874</c:v>
                </c:pt>
                <c:pt idx="178">
                  <c:v>92.900622630352487</c:v>
                </c:pt>
                <c:pt idx="179">
                  <c:v>93.781382773271673</c:v>
                </c:pt>
                <c:pt idx="180">
                  <c:v>93.939713692800254</c:v>
                </c:pt>
                <c:pt idx="181">
                  <c:v>94.531554171238596</c:v>
                </c:pt>
                <c:pt idx="182">
                  <c:v>94.53322714804014</c:v>
                </c:pt>
                <c:pt idx="183">
                  <c:v>94.449650782424328</c:v>
                </c:pt>
                <c:pt idx="184">
                  <c:v>93.707348736031577</c:v>
                </c:pt>
                <c:pt idx="185">
                  <c:v>93.42054636398629</c:v>
                </c:pt>
                <c:pt idx="186">
                  <c:v>93.07058352063855</c:v>
                </c:pt>
                <c:pt idx="187">
                  <c:v>93.296538233136687</c:v>
                </c:pt>
                <c:pt idx="188">
                  <c:v>92.996047981336858</c:v>
                </c:pt>
                <c:pt idx="189">
                  <c:v>92.52888496249733</c:v>
                </c:pt>
                <c:pt idx="190">
                  <c:v>92.681403338307391</c:v>
                </c:pt>
                <c:pt idx="191">
                  <c:v>92.503247034375406</c:v>
                </c:pt>
                <c:pt idx="192">
                  <c:v>92.250833290157829</c:v>
                </c:pt>
                <c:pt idx="193">
                  <c:v>92.426418424376806</c:v>
                </c:pt>
                <c:pt idx="194">
                  <c:v>92.298653949164688</c:v>
                </c:pt>
                <c:pt idx="195">
                  <c:v>92.665325098882931</c:v>
                </c:pt>
                <c:pt idx="196">
                  <c:v>92.766711241555527</c:v>
                </c:pt>
                <c:pt idx="197">
                  <c:v>92.694269947593241</c:v>
                </c:pt>
                <c:pt idx="198">
                  <c:v>92.269955606225636</c:v>
                </c:pt>
                <c:pt idx="199">
                  <c:v>91.712308775303612</c:v>
                </c:pt>
                <c:pt idx="200">
                  <c:v>91.234542597526939</c:v>
                </c:pt>
                <c:pt idx="201">
                  <c:v>91.345315252150542</c:v>
                </c:pt>
                <c:pt idx="202">
                  <c:v>91.270397266125713</c:v>
                </c:pt>
                <c:pt idx="203">
                  <c:v>91.713883451804676</c:v>
                </c:pt>
                <c:pt idx="204">
                  <c:v>91.740661227994977</c:v>
                </c:pt>
                <c:pt idx="205">
                  <c:v>92.305033783200116</c:v>
                </c:pt>
                <c:pt idx="206">
                  <c:v>92.364089085627469</c:v>
                </c:pt>
                <c:pt idx="207">
                  <c:v>92.72323288432176</c:v>
                </c:pt>
                <c:pt idx="208">
                  <c:v>92.93133144278795</c:v>
                </c:pt>
                <c:pt idx="209">
                  <c:v>92.520871583469145</c:v>
                </c:pt>
                <c:pt idx="210">
                  <c:v>92.718404471368444</c:v>
                </c:pt>
                <c:pt idx="211">
                  <c:v>91.729633191372557</c:v>
                </c:pt>
                <c:pt idx="212">
                  <c:v>91.281315150893874</c:v>
                </c:pt>
                <c:pt idx="213">
                  <c:v>91.11782065059802</c:v>
                </c:pt>
                <c:pt idx="214">
                  <c:v>91.564530229528557</c:v>
                </c:pt>
                <c:pt idx="215">
                  <c:v>91.5488371295869</c:v>
                </c:pt>
                <c:pt idx="216">
                  <c:v>91.265718972116034</c:v>
                </c:pt>
                <c:pt idx="217">
                  <c:v>91.060347766791793</c:v>
                </c:pt>
                <c:pt idx="218">
                  <c:v>90.710865061305</c:v>
                </c:pt>
                <c:pt idx="219">
                  <c:v>90.498780157224289</c:v>
                </c:pt>
                <c:pt idx="220">
                  <c:v>90.09732319058152</c:v>
                </c:pt>
                <c:pt idx="221">
                  <c:v>90.158151467584958</c:v>
                </c:pt>
                <c:pt idx="222">
                  <c:v>89.516020914331776</c:v>
                </c:pt>
                <c:pt idx="223">
                  <c:v>89.008864893688028</c:v>
                </c:pt>
                <c:pt idx="224">
                  <c:v>87.735492666261607</c:v>
                </c:pt>
                <c:pt idx="225">
                  <c:v>87.7023610153352</c:v>
                </c:pt>
                <c:pt idx="226">
                  <c:v>88.317185278264702</c:v>
                </c:pt>
                <c:pt idx="227">
                  <c:v>88.153942634584368</c:v>
                </c:pt>
                <c:pt idx="228">
                  <c:v>88.02610329257449</c:v>
                </c:pt>
                <c:pt idx="229">
                  <c:v>87.940600253535592</c:v>
                </c:pt>
                <c:pt idx="230">
                  <c:v>87.029343239324263</c:v>
                </c:pt>
                <c:pt idx="231">
                  <c:v>86.488236913262497</c:v>
                </c:pt>
                <c:pt idx="232">
                  <c:v>85.858488443115789</c:v>
                </c:pt>
                <c:pt idx="233">
                  <c:v>86.188201884600574</c:v>
                </c:pt>
                <c:pt idx="234">
                  <c:v>85.638246705358085</c:v>
                </c:pt>
                <c:pt idx="235">
                  <c:v>85.469702545722271</c:v>
                </c:pt>
                <c:pt idx="236">
                  <c:v>85.068161549242021</c:v>
                </c:pt>
                <c:pt idx="237">
                  <c:v>84.660982026817194</c:v>
                </c:pt>
                <c:pt idx="238">
                  <c:v>84.11968503937014</c:v>
                </c:pt>
                <c:pt idx="239">
                  <c:v>83.678232944309599</c:v>
                </c:pt>
                <c:pt idx="240">
                  <c:v>83.379120879120933</c:v>
                </c:pt>
                <c:pt idx="241">
                  <c:v>83.436426116838547</c:v>
                </c:pt>
                <c:pt idx="242">
                  <c:v>83.497725602988822</c:v>
                </c:pt>
                <c:pt idx="243">
                  <c:v>84.12498425097651</c:v>
                </c:pt>
                <c:pt idx="244">
                  <c:v>83.847675258217521</c:v>
                </c:pt>
                <c:pt idx="245">
                  <c:v>83.884544112566417</c:v>
                </c:pt>
                <c:pt idx="246">
                  <c:v>83.860838985179669</c:v>
                </c:pt>
                <c:pt idx="247">
                  <c:v>83.846359112813417</c:v>
                </c:pt>
                <c:pt idx="248">
                  <c:v>83.341394536064868</c:v>
                </c:pt>
                <c:pt idx="249">
                  <c:v>83.48598043199658</c:v>
                </c:pt>
                <c:pt idx="250">
                  <c:v>83.317995351811788</c:v>
                </c:pt>
                <c:pt idx="251">
                  <c:v>83.496420420796042</c:v>
                </c:pt>
                <c:pt idx="252">
                  <c:v>83.876640914515519</c:v>
                </c:pt>
                <c:pt idx="253">
                  <c:v>83.587881822734204</c:v>
                </c:pt>
                <c:pt idx="254">
                  <c:v>83.159746547724779</c:v>
                </c:pt>
                <c:pt idx="255">
                  <c:v>83.551273227804629</c:v>
                </c:pt>
                <c:pt idx="256">
                  <c:v>84.205880034681257</c:v>
                </c:pt>
                <c:pt idx="257">
                  <c:v>84.798069596139285</c:v>
                </c:pt>
                <c:pt idx="258">
                  <c:v>84.868128376231425</c:v>
                </c:pt>
                <c:pt idx="259">
                  <c:v>84.845211811236325</c:v>
                </c:pt>
                <c:pt idx="260">
                  <c:v>84.789993333121771</c:v>
                </c:pt>
                <c:pt idx="261">
                  <c:v>84.639518301378629</c:v>
                </c:pt>
                <c:pt idx="262">
                  <c:v>84.869476794992067</c:v>
                </c:pt>
                <c:pt idx="263">
                  <c:v>84.991010199048603</c:v>
                </c:pt>
                <c:pt idx="264">
                  <c:v>85.049199121103186</c:v>
                </c:pt>
                <c:pt idx="265">
                  <c:v>85.080356147364824</c:v>
                </c:pt>
                <c:pt idx="266">
                  <c:v>85.127812838656297</c:v>
                </c:pt>
                <c:pt idx="267">
                  <c:v>85.25825193130315</c:v>
                </c:pt>
                <c:pt idx="268">
                  <c:v>85.386361456568366</c:v>
                </c:pt>
                <c:pt idx="269">
                  <c:v>85.610795909863185</c:v>
                </c:pt>
                <c:pt idx="270">
                  <c:v>85.573765239262485</c:v>
                </c:pt>
                <c:pt idx="271">
                  <c:v>85.102044067742668</c:v>
                </c:pt>
                <c:pt idx="272">
                  <c:v>84.417472659460202</c:v>
                </c:pt>
                <c:pt idx="273">
                  <c:v>84.240407513129099</c:v>
                </c:pt>
                <c:pt idx="274">
                  <c:v>84.041599144102378</c:v>
                </c:pt>
                <c:pt idx="275">
                  <c:v>84.146187775677447</c:v>
                </c:pt>
                <c:pt idx="276">
                  <c:v>83.908262645303225</c:v>
                </c:pt>
                <c:pt idx="277">
                  <c:v>83.712328981805129</c:v>
                </c:pt>
                <c:pt idx="278">
                  <c:v>84.438823901359527</c:v>
                </c:pt>
                <c:pt idx="279">
                  <c:v>84.394798792915552</c:v>
                </c:pt>
                <c:pt idx="280">
                  <c:v>83.934632306725391</c:v>
                </c:pt>
                <c:pt idx="281">
                  <c:v>84.015162239104171</c:v>
                </c:pt>
                <c:pt idx="282">
                  <c:v>83.62583170254409</c:v>
                </c:pt>
                <c:pt idx="283">
                  <c:v>83.414276121617249</c:v>
                </c:pt>
                <c:pt idx="284">
                  <c:v>82.94925150630479</c:v>
                </c:pt>
                <c:pt idx="285">
                  <c:v>83.436426116838547</c:v>
                </c:pt>
                <c:pt idx="286">
                  <c:v>83.974217890268889</c:v>
                </c:pt>
                <c:pt idx="287">
                  <c:v>84.358812381554074</c:v>
                </c:pt>
                <c:pt idx="288">
                  <c:v>83.928038337654229</c:v>
                </c:pt>
                <c:pt idx="289">
                  <c:v>84.557787592407962</c:v>
                </c:pt>
                <c:pt idx="290">
                  <c:v>85.21744679493321</c:v>
                </c:pt>
                <c:pt idx="291">
                  <c:v>85.416400153511631</c:v>
                </c:pt>
                <c:pt idx="292">
                  <c:v>85.341343004585383</c:v>
                </c:pt>
                <c:pt idx="293">
                  <c:v>84.833084521805475</c:v>
                </c:pt>
                <c:pt idx="294">
                  <c:v>85.102044067742668</c:v>
                </c:pt>
                <c:pt idx="295">
                  <c:v>84.988305675327425</c:v>
                </c:pt>
                <c:pt idx="296">
                  <c:v>84.850602830683272</c:v>
                </c:pt>
                <c:pt idx="297">
                  <c:v>85.007240956761208</c:v>
                </c:pt>
                <c:pt idx="298">
                  <c:v>84.815573445116698</c:v>
                </c:pt>
                <c:pt idx="299">
                  <c:v>85.084421790379182</c:v>
                </c:pt>
                <c:pt idx="300">
                  <c:v>85.060033759036983</c:v>
                </c:pt>
                <c:pt idx="301">
                  <c:v>85.066806809676308</c:v>
                </c:pt>
                <c:pt idx="302">
                  <c:v>85.443726406040113</c:v>
                </c:pt>
                <c:pt idx="303">
                  <c:v>85.551836250941008</c:v>
                </c:pt>
                <c:pt idx="304">
                  <c:v>85.551836250941008</c:v>
                </c:pt>
                <c:pt idx="305">
                  <c:v>85.586105236172585</c:v>
                </c:pt>
                <c:pt idx="306">
                  <c:v>85.74822615340166</c:v>
                </c:pt>
                <c:pt idx="307">
                  <c:v>85.745473224605163</c:v>
                </c:pt>
                <c:pt idx="308">
                  <c:v>85.516225605558546</c:v>
                </c:pt>
                <c:pt idx="309">
                  <c:v>85.054616095028877</c:v>
                </c:pt>
                <c:pt idx="310">
                  <c:v>85.229684234040221</c:v>
                </c:pt>
                <c:pt idx="311">
                  <c:v>84.509627098264474</c:v>
                </c:pt>
                <c:pt idx="312">
                  <c:v>83.767465930653842</c:v>
                </c:pt>
                <c:pt idx="313">
                  <c:v>83.77929044198379</c:v>
                </c:pt>
                <c:pt idx="314">
                  <c:v>84.308216799772751</c:v>
                </c:pt>
                <c:pt idx="315">
                  <c:v>84.991010199048546</c:v>
                </c:pt>
                <c:pt idx="316">
                  <c:v>86.446246217086667</c:v>
                </c:pt>
                <c:pt idx="317">
                  <c:v>86.027185466726834</c:v>
                </c:pt>
                <c:pt idx="318">
                  <c:v>85.562799340050333</c:v>
                </c:pt>
                <c:pt idx="319">
                  <c:v>85.398647460391075</c:v>
                </c:pt>
                <c:pt idx="320">
                  <c:v>84.963972705148819</c:v>
                </c:pt>
                <c:pt idx="321">
                  <c:v>84.88296333963676</c:v>
                </c:pt>
                <c:pt idx="322">
                  <c:v>85.201135674865228</c:v>
                </c:pt>
                <c:pt idx="323">
                  <c:v>84.923448703477021</c:v>
                </c:pt>
                <c:pt idx="324">
                  <c:v>84.889708219439342</c:v>
                </c:pt>
                <c:pt idx="325">
                  <c:v>84.841168996188074</c:v>
                </c:pt>
                <c:pt idx="326">
                  <c:v>85.087132434929458</c:v>
                </c:pt>
                <c:pt idx="327">
                  <c:v>85.165816326530617</c:v>
                </c:pt>
                <c:pt idx="328">
                  <c:v>84.659640225057458</c:v>
                </c:pt>
                <c:pt idx="329">
                  <c:v>84.838474000190601</c:v>
                </c:pt>
                <c:pt idx="330">
                  <c:v>85.137310530594036</c:v>
                </c:pt>
                <c:pt idx="331">
                  <c:v>85.430061094584659</c:v>
                </c:pt>
                <c:pt idx="332">
                  <c:v>85.402743580724589</c:v>
                </c:pt>
                <c:pt idx="333">
                  <c:v>85.031598720132436</c:v>
                </c:pt>
                <c:pt idx="334">
                  <c:v>84.695883807953322</c:v>
                </c:pt>
                <c:pt idx="335">
                  <c:v>84.078638774771377</c:v>
                </c:pt>
                <c:pt idx="336">
                  <c:v>84.109088618756687</c:v>
                </c:pt>
                <c:pt idx="337">
                  <c:v>84.282941761206757</c:v>
                </c:pt>
                <c:pt idx="338">
                  <c:v>84.630131343378181</c:v>
                </c:pt>
                <c:pt idx="339">
                  <c:v>84.429481404207579</c:v>
                </c:pt>
                <c:pt idx="340">
                  <c:v>84.195261888624444</c:v>
                </c:pt>
                <c:pt idx="341">
                  <c:v>83.825306404281037</c:v>
                </c:pt>
                <c:pt idx="342">
                  <c:v>84.00723441063144</c:v>
                </c:pt>
                <c:pt idx="343">
                  <c:v>84.176686575161142</c:v>
                </c:pt>
                <c:pt idx="344">
                  <c:v>83.926719668164537</c:v>
                </c:pt>
                <c:pt idx="345">
                  <c:v>84.023091564028761</c:v>
                </c:pt>
                <c:pt idx="346">
                  <c:v>83.722825661039806</c:v>
                </c:pt>
                <c:pt idx="347">
                  <c:v>83.800320040161921</c:v>
                </c:pt>
                <c:pt idx="348">
                  <c:v>84.114386495338891</c:v>
                </c:pt>
                <c:pt idx="349">
                  <c:v>84.183319674714767</c:v>
                </c:pt>
                <c:pt idx="350">
                  <c:v>83.891131248723966</c:v>
                </c:pt>
                <c:pt idx="351">
                  <c:v>84.236422128303815</c:v>
                </c:pt>
                <c:pt idx="352">
                  <c:v>84.178013111447328</c:v>
                </c:pt>
                <c:pt idx="353">
                  <c:v>84.769809404408633</c:v>
                </c:pt>
                <c:pt idx="354">
                  <c:v>84.47888660445993</c:v>
                </c:pt>
                <c:pt idx="355">
                  <c:v>84.413470503642614</c:v>
                </c:pt>
                <c:pt idx="356">
                  <c:v>84.345491867993061</c:v>
                </c:pt>
                <c:pt idx="357">
                  <c:v>84.565819678619505</c:v>
                </c:pt>
                <c:pt idx="358">
                  <c:v>84.765773771740541</c:v>
                </c:pt>
                <c:pt idx="359">
                  <c:v>85.304545019004166</c:v>
                </c:pt>
                <c:pt idx="360">
                  <c:v>85.443726406040099</c:v>
                </c:pt>
                <c:pt idx="361">
                  <c:v>85.577878176167175</c:v>
                </c:pt>
                <c:pt idx="362">
                  <c:v>86.945764698222575</c:v>
                </c:pt>
                <c:pt idx="363">
                  <c:v>87.258233141662345</c:v>
                </c:pt>
                <c:pt idx="364">
                  <c:v>87.465409113982119</c:v>
                </c:pt>
                <c:pt idx="365">
                  <c:v>87.605989536352197</c:v>
                </c:pt>
                <c:pt idx="366">
                  <c:v>87.375273988288058</c:v>
                </c:pt>
                <c:pt idx="367">
                  <c:v>88.052222075695667</c:v>
                </c:pt>
                <c:pt idx="368">
                  <c:v>89.570058354014378</c:v>
                </c:pt>
                <c:pt idx="369">
                  <c:v>90.06693982160624</c:v>
                </c:pt>
                <c:pt idx="370">
                  <c:v>90.552475885334587</c:v>
                </c:pt>
                <c:pt idx="371">
                  <c:v>90.584723918057293</c:v>
                </c:pt>
                <c:pt idx="372">
                  <c:v>90.902283788843164</c:v>
                </c:pt>
                <c:pt idx="373">
                  <c:v>91.204944764116348</c:v>
                </c:pt>
                <c:pt idx="374">
                  <c:v>91.047930728847106</c:v>
                </c:pt>
                <c:pt idx="375">
                  <c:v>91.195602069212796</c:v>
                </c:pt>
                <c:pt idx="376">
                  <c:v>91.141141141141162</c:v>
                </c:pt>
                <c:pt idx="377">
                  <c:v>90.883724095688592</c:v>
                </c:pt>
                <c:pt idx="378">
                  <c:v>90.886816851561989</c:v>
                </c:pt>
                <c:pt idx="379">
                  <c:v>90.91311377755089</c:v>
                </c:pt>
                <c:pt idx="380">
                  <c:v>91.376567391415932</c:v>
                </c:pt>
                <c:pt idx="381">
                  <c:v>91.044826998466007</c:v>
                </c:pt>
                <c:pt idx="382">
                  <c:v>91.343753206334029</c:v>
                </c:pt>
                <c:pt idx="383">
                  <c:v>92.001377884946621</c:v>
                </c:pt>
                <c:pt idx="384">
                  <c:v>92.1744232196166</c:v>
                </c:pt>
                <c:pt idx="385">
                  <c:v>93.055991080450184</c:v>
                </c:pt>
                <c:pt idx="386">
                  <c:v>93.487582477203929</c:v>
                </c:pt>
                <c:pt idx="387">
                  <c:v>93.895129111075974</c:v>
                </c:pt>
                <c:pt idx="388">
                  <c:v>93.830803822372133</c:v>
                </c:pt>
                <c:pt idx="389">
                  <c:v>94.020734691003824</c:v>
                </c:pt>
                <c:pt idx="390">
                  <c:v>93.710636655497282</c:v>
                </c:pt>
                <c:pt idx="391">
                  <c:v>92.884468247895953</c:v>
                </c:pt>
                <c:pt idx="392">
                  <c:v>92.362492002835765</c:v>
                </c:pt>
                <c:pt idx="393">
                  <c:v>91.985534699500619</c:v>
                </c:pt>
                <c:pt idx="394">
                  <c:v>91.572378797229661</c:v>
                </c:pt>
                <c:pt idx="395">
                  <c:v>91.501790088562288</c:v>
                </c:pt>
                <c:pt idx="396">
                  <c:v>91.500222686628533</c:v>
                </c:pt>
                <c:pt idx="397">
                  <c:v>91.822666872947948</c:v>
                </c:pt>
                <c:pt idx="398">
                  <c:v>92.445613610010227</c:v>
                </c:pt>
                <c:pt idx="399">
                  <c:v>92.876393163284831</c:v>
                </c:pt>
                <c:pt idx="400">
                  <c:v>92.882853118642302</c:v>
                </c:pt>
                <c:pt idx="401">
                  <c:v>92.525679444319366</c:v>
                </c:pt>
                <c:pt idx="402">
                  <c:v>92.365686223651693</c:v>
                </c:pt>
                <c:pt idx="403">
                  <c:v>92.050526460907491</c:v>
                </c:pt>
                <c:pt idx="404">
                  <c:v>92.207837044709137</c:v>
                </c:pt>
                <c:pt idx="405">
                  <c:v>92.840879464673662</c:v>
                </c:pt>
                <c:pt idx="406">
                  <c:v>93.081936360784852</c:v>
                </c:pt>
                <c:pt idx="407">
                  <c:v>93.360132832299229</c:v>
                </c:pt>
                <c:pt idx="408">
                  <c:v>92.86831948259676</c:v>
                </c:pt>
                <c:pt idx="409">
                  <c:v>92.740941368474054</c:v>
                </c:pt>
                <c:pt idx="410">
                  <c:v>92.346524212091367</c:v>
                </c:pt>
                <c:pt idx="411">
                  <c:v>92.02832382888549</c:v>
                </c:pt>
                <c:pt idx="412">
                  <c:v>92.025152898613129</c:v>
                </c:pt>
                <c:pt idx="413">
                  <c:v>91.737510089820873</c:v>
                </c:pt>
                <c:pt idx="414">
                  <c:v>91.605357479720809</c:v>
                </c:pt>
                <c:pt idx="415">
                  <c:v>91.569239208694754</c:v>
                </c:pt>
                <c:pt idx="416">
                  <c:v>91.326574227632548</c:v>
                </c:pt>
                <c:pt idx="417">
                  <c:v>91.144251441831898</c:v>
                </c:pt>
                <c:pt idx="418">
                  <c:v>91.267278350163167</c:v>
                </c:pt>
                <c:pt idx="419">
                  <c:v>91.175366128426575</c:v>
                </c:pt>
                <c:pt idx="420">
                  <c:v>91.589650383223855</c:v>
                </c:pt>
                <c:pt idx="421">
                  <c:v>91.54099259665476</c:v>
                </c:pt>
              </c:numCache>
            </c:numRef>
          </c:val>
          <c:smooth val="0"/>
          <c:extLst>
            <c:ext xmlns:c16="http://schemas.microsoft.com/office/drawing/2014/chart" uri="{C3380CC4-5D6E-409C-BE32-E72D297353CC}">
              <c16:uniqueId val="{00000002-5BA9-4A8D-83D1-54277AA4E92F}"/>
            </c:ext>
          </c:extLst>
        </c:ser>
        <c:dLbls>
          <c:showLegendKey val="0"/>
          <c:showVal val="0"/>
          <c:showCatName val="0"/>
          <c:showSerName val="0"/>
          <c:showPercent val="0"/>
          <c:showBubbleSize val="0"/>
        </c:dLbls>
        <c:smooth val="0"/>
        <c:axId val="327170304"/>
        <c:axId val="328212480"/>
      </c:lineChart>
      <c:dateAx>
        <c:axId val="32717030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8212480"/>
        <c:crosses val="autoZero"/>
        <c:auto val="1"/>
        <c:lblOffset val="100"/>
        <c:baseTimeUnit val="days"/>
      </c:dateAx>
      <c:valAx>
        <c:axId val="328212480"/>
        <c:scaling>
          <c:orientation val="minMax"/>
          <c:max val="128"/>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a:t>
                </a:r>
                <a:r>
                  <a:rPr lang="en-US" sz="900"/>
                  <a:t>20</a:t>
                </a:r>
                <a:r>
                  <a:rPr lang="hy-AM" sz="900"/>
                  <a:t>թ. </a:t>
                </a:r>
                <a:r>
                  <a:rPr lang="en-US" sz="900"/>
                  <a:t>հունվար 8=100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170304"/>
        <c:crosses val="autoZero"/>
        <c:crossBetween val="between"/>
      </c:valAx>
      <c:spPr>
        <a:no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06257770410277"/>
          <c:y val="6.6066066066066062E-2"/>
          <c:w val="0.78392660669738268"/>
          <c:h val="0.56289234116005749"/>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Sheet1!$A$2:$A$56</c:f>
              <c:strCache>
                <c:ptCount val="19"/>
                <c:pt idx="0">
                  <c:v>2020-M1</c:v>
                </c:pt>
                <c:pt idx="1">
                  <c:v>2020-M2</c:v>
                </c:pt>
                <c:pt idx="2">
                  <c:v>2020-M3</c:v>
                </c:pt>
                <c:pt idx="3">
                  <c:v>2020-M4</c:v>
                </c:pt>
                <c:pt idx="4">
                  <c:v>2020-M5</c:v>
                </c:pt>
                <c:pt idx="5">
                  <c:v>2020-M6</c:v>
                </c:pt>
                <c:pt idx="6">
                  <c:v>2020-M7</c:v>
                </c:pt>
                <c:pt idx="7">
                  <c:v>2020-M8</c:v>
                </c:pt>
                <c:pt idx="8">
                  <c:v>2020-M9</c:v>
                </c:pt>
                <c:pt idx="9">
                  <c:v>2020-M10</c:v>
                </c:pt>
                <c:pt idx="10">
                  <c:v>2020-M11</c:v>
                </c:pt>
                <c:pt idx="11">
                  <c:v>2020-M12</c:v>
                </c:pt>
                <c:pt idx="12">
                  <c:v>2021-M1</c:v>
                </c:pt>
                <c:pt idx="13">
                  <c:v>2021-M2</c:v>
                </c:pt>
                <c:pt idx="14">
                  <c:v>2021-M3</c:v>
                </c:pt>
                <c:pt idx="15">
                  <c:v>2021-M4</c:v>
                </c:pt>
                <c:pt idx="16">
                  <c:v>2021-M5</c:v>
                </c:pt>
                <c:pt idx="17">
                  <c:v>2021-M6</c:v>
                </c:pt>
                <c:pt idx="18">
                  <c:v>2021-M7</c:v>
                </c:pt>
              </c:strCache>
            </c:strRef>
          </c:cat>
          <c:val>
            <c:numRef>
              <c:f>Sheet1!$B$2:$B$56</c:f>
              <c:numCache>
                <c:formatCode>_(* #,##0.0_);_(* \(#,##0.0\);_(* "-"??_);_(@_)</c:formatCode>
                <c:ptCount val="19"/>
                <c:pt idx="0">
                  <c:v>-2.6246542068686409</c:v>
                </c:pt>
                <c:pt idx="1">
                  <c:v>-1.4553084915558543</c:v>
                </c:pt>
                <c:pt idx="2">
                  <c:v>-0.39762329711045652</c:v>
                </c:pt>
                <c:pt idx="3">
                  <c:v>0.76205314050565676</c:v>
                </c:pt>
                <c:pt idx="4">
                  <c:v>1.2758480875794191</c:v>
                </c:pt>
                <c:pt idx="5">
                  <c:v>1.5440919000124325</c:v>
                </c:pt>
                <c:pt idx="6">
                  <c:v>1.7990829349974149</c:v>
                </c:pt>
                <c:pt idx="7">
                  <c:v>1.8717880749399285</c:v>
                </c:pt>
                <c:pt idx="8">
                  <c:v>2.0254611983534261</c:v>
                </c:pt>
                <c:pt idx="9">
                  <c:v>2.1875515931979663</c:v>
                </c:pt>
                <c:pt idx="10">
                  <c:v>2.1124378234122361</c:v>
                </c:pt>
                <c:pt idx="11">
                  <c:v>1.7121083243293072</c:v>
                </c:pt>
                <c:pt idx="12">
                  <c:v>-2.9309866962305904</c:v>
                </c:pt>
                <c:pt idx="13">
                  <c:v>-3.9324106192258625</c:v>
                </c:pt>
                <c:pt idx="14">
                  <c:v>-4.6861886723977335</c:v>
                </c:pt>
                <c:pt idx="15">
                  <c:v>-5.3713382968353329</c:v>
                </c:pt>
                <c:pt idx="16">
                  <c:v>-6.1213868204019519</c:v>
                </c:pt>
                <c:pt idx="17">
                  <c:v>-6.0946850875436667</c:v>
                </c:pt>
                <c:pt idx="18">
                  <c:v>-5.0379182724951619</c:v>
                </c:pt>
              </c:numCache>
            </c:numRef>
          </c:val>
          <c:smooth val="0"/>
          <c:extLst>
            <c:ext xmlns:c16="http://schemas.microsoft.com/office/drawing/2014/chart" uri="{C3380CC4-5D6E-409C-BE32-E72D297353CC}">
              <c16:uniqueId val="{00000000-2854-4C61-BEDC-BA6A60657A70}"/>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Sheet1!$A$2:$A$56</c:f>
              <c:strCache>
                <c:ptCount val="19"/>
                <c:pt idx="0">
                  <c:v>2020-M1</c:v>
                </c:pt>
                <c:pt idx="1">
                  <c:v>2020-M2</c:v>
                </c:pt>
                <c:pt idx="2">
                  <c:v>2020-M3</c:v>
                </c:pt>
                <c:pt idx="3">
                  <c:v>2020-M4</c:v>
                </c:pt>
                <c:pt idx="4">
                  <c:v>2020-M5</c:v>
                </c:pt>
                <c:pt idx="5">
                  <c:v>2020-M6</c:v>
                </c:pt>
                <c:pt idx="6">
                  <c:v>2020-M7</c:v>
                </c:pt>
                <c:pt idx="7">
                  <c:v>2020-M8</c:v>
                </c:pt>
                <c:pt idx="8">
                  <c:v>2020-M9</c:v>
                </c:pt>
                <c:pt idx="9">
                  <c:v>2020-M10</c:v>
                </c:pt>
                <c:pt idx="10">
                  <c:v>2020-M11</c:v>
                </c:pt>
                <c:pt idx="11">
                  <c:v>2020-M12</c:v>
                </c:pt>
                <c:pt idx="12">
                  <c:v>2021-M1</c:v>
                </c:pt>
                <c:pt idx="13">
                  <c:v>2021-M2</c:v>
                </c:pt>
                <c:pt idx="14">
                  <c:v>2021-M3</c:v>
                </c:pt>
                <c:pt idx="15">
                  <c:v>2021-M4</c:v>
                </c:pt>
                <c:pt idx="16">
                  <c:v>2021-M5</c:v>
                </c:pt>
                <c:pt idx="17">
                  <c:v>2021-M6</c:v>
                </c:pt>
                <c:pt idx="18">
                  <c:v>2021-M7</c:v>
                </c:pt>
              </c:strCache>
            </c:strRef>
          </c:cat>
          <c:val>
            <c:numRef>
              <c:f>Sheet1!$C$2:$C$56</c:f>
              <c:numCache>
                <c:formatCode>_(* #,##0.0_);_(* \(#,##0.0\);_(* "-"??_);_(@_)</c:formatCode>
                <c:ptCount val="19"/>
                <c:pt idx="0">
                  <c:v>1.3423724240277863</c:v>
                </c:pt>
                <c:pt idx="1">
                  <c:v>2.8146367883013994</c:v>
                </c:pt>
                <c:pt idx="2">
                  <c:v>3.7042048645174361</c:v>
                </c:pt>
                <c:pt idx="3">
                  <c:v>4.4462422679543607</c:v>
                </c:pt>
                <c:pt idx="4">
                  <c:v>4.5995656487116889</c:v>
                </c:pt>
                <c:pt idx="5">
                  <c:v>4.5979060917240986</c:v>
                </c:pt>
                <c:pt idx="6">
                  <c:v>4.7121392797519661</c:v>
                </c:pt>
                <c:pt idx="7">
                  <c:v>4.6430460514533394</c:v>
                </c:pt>
                <c:pt idx="8">
                  <c:v>4.7383066706577495</c:v>
                </c:pt>
                <c:pt idx="9">
                  <c:v>4.8867596687010035</c:v>
                </c:pt>
                <c:pt idx="10">
                  <c:v>4.7942765719805465</c:v>
                </c:pt>
                <c:pt idx="11">
                  <c:v>4.2212336990500035</c:v>
                </c:pt>
                <c:pt idx="12">
                  <c:v>-2.6458548274370344</c:v>
                </c:pt>
                <c:pt idx="13">
                  <c:v>-3.812533952293947</c:v>
                </c:pt>
                <c:pt idx="14">
                  <c:v>-4.579853862212957</c:v>
                </c:pt>
                <c:pt idx="15">
                  <c:v>-5.2792525294905772</c:v>
                </c:pt>
                <c:pt idx="16">
                  <c:v>-5.9333546940083437</c:v>
                </c:pt>
                <c:pt idx="17">
                  <c:v>-5.8884005859635096</c:v>
                </c:pt>
                <c:pt idx="18">
                  <c:v>-5.1104865416414214</c:v>
                </c:pt>
              </c:numCache>
            </c:numRef>
          </c:val>
          <c:smooth val="0"/>
          <c:extLst>
            <c:ext xmlns:c16="http://schemas.microsoft.com/office/drawing/2014/chart" uri="{C3380CC4-5D6E-409C-BE32-E72D297353CC}">
              <c16:uniqueId val="{00000001-2854-4C61-BEDC-BA6A60657A70}"/>
            </c:ext>
          </c:extLst>
        </c:ser>
        <c:dLbls>
          <c:showLegendKey val="0"/>
          <c:showVal val="0"/>
          <c:showCatName val="0"/>
          <c:showSerName val="0"/>
          <c:showPercent val="0"/>
          <c:showBubbleSize val="0"/>
        </c:dLbls>
        <c:smooth val="0"/>
        <c:axId val="328374528"/>
        <c:axId val="328388608"/>
      </c:lineChart>
      <c:catAx>
        <c:axId val="328374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88608"/>
        <c:crosses val="autoZero"/>
        <c:auto val="1"/>
        <c:lblAlgn val="ctr"/>
        <c:lblOffset val="100"/>
        <c:noMultiLvlLbl val="0"/>
      </c:catAx>
      <c:valAx>
        <c:axId val="328388608"/>
        <c:scaling>
          <c:orientation val="minMax"/>
          <c:max val="5.3"/>
          <c:min val="-6.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layout/>
          <c:overlay val="0"/>
          <c:spPr>
            <a:noFill/>
            <a:ln>
              <a:noFill/>
            </a:ln>
            <a:effectLst/>
          </c:sp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74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12</a:t>
            </a:r>
            <a:r>
              <a:rPr lang="hy-AM" sz="900" i="1"/>
              <a:t> ամսյա գնաճը</a:t>
            </a:r>
            <a:r>
              <a:rPr lang="en-US" sz="900" i="1"/>
              <a:t>,</a:t>
            </a:r>
            <a:r>
              <a:rPr lang="en-US" sz="900" i="1" baseline="0"/>
              <a:t> %</a:t>
            </a:r>
            <a:endParaRPr lang="en-US" sz="900" i="1"/>
          </a:p>
        </c:rich>
      </c:tx>
      <c:layout>
        <c:manualLayout>
          <c:xMode val="edge"/>
          <c:yMode val="edge"/>
          <c:x val="0.28161808163810031"/>
          <c:y val="0"/>
        </c:manualLayout>
      </c:layout>
      <c:overlay val="0"/>
      <c:spPr>
        <a:noFill/>
        <a:ln>
          <a:noFill/>
        </a:ln>
        <a:effectLst/>
      </c:spPr>
    </c:title>
    <c:autoTitleDeleted val="0"/>
    <c:plotArea>
      <c:layout>
        <c:manualLayout>
          <c:layoutTarget val="inner"/>
          <c:xMode val="edge"/>
          <c:yMode val="edge"/>
          <c:x val="0.11270836908098351"/>
          <c:y val="0.11961308574745932"/>
          <c:w val="0.84290099330804158"/>
          <c:h val="0.68117431582734356"/>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Sheet1!$C$2:$C$57</c:f>
              <c:numCache>
                <c:formatCode>0.0</c:formatCode>
                <c:ptCount val="20"/>
                <c:pt idx="0">
                  <c:v>1.3982565421665469</c:v>
                </c:pt>
                <c:pt idx="1">
                  <c:v>2.0768222170414887</c:v>
                </c:pt>
                <c:pt idx="2">
                  <c:v>1.1926305800832313</c:v>
                </c:pt>
                <c:pt idx="3">
                  <c:v>2.2618855829164728</c:v>
                </c:pt>
                <c:pt idx="4">
                  <c:v>1.8984840000000003</c:v>
                </c:pt>
                <c:pt idx="5">
                  <c:v>-0.89628000000000019</c:v>
                </c:pt>
                <c:pt idx="6">
                  <c:v>2.1592199999999999</c:v>
                </c:pt>
                <c:pt idx="7">
                  <c:v>0.65184000000000009</c:v>
                </c:pt>
                <c:pt idx="8">
                  <c:v>1.4224399999999999</c:v>
                </c:pt>
                <c:pt idx="9">
                  <c:v>1.9020999999999999</c:v>
                </c:pt>
                <c:pt idx="10">
                  <c:v>-0.57889999999999997</c:v>
                </c:pt>
                <c:pt idx="11">
                  <c:v>-0.13645500000000002</c:v>
                </c:pt>
                <c:pt idx="12">
                  <c:v>-1.1761594</c:v>
                </c:pt>
                <c:pt idx="13">
                  <c:v>0.78459999999999996</c:v>
                </c:pt>
                <c:pt idx="14">
                  <c:v>0.34734000000000004</c:v>
                </c:pt>
                <c:pt idx="15">
                  <c:v>1.937962</c:v>
                </c:pt>
                <c:pt idx="16">
                  <c:v>2.7530960000000007</c:v>
                </c:pt>
                <c:pt idx="17">
                  <c:v>3.2739520000000004</c:v>
                </c:pt>
                <c:pt idx="18">
                  <c:v>5.0225400000000002</c:v>
                </c:pt>
                <c:pt idx="19">
                  <c:v>5.6178039999999996</c:v>
                </c:pt>
              </c:numCache>
            </c:numRef>
          </c:val>
          <c:extLst>
            <c:ext xmlns:c16="http://schemas.microsoft.com/office/drawing/2014/chart" uri="{C3380CC4-5D6E-409C-BE32-E72D297353CC}">
              <c16:uniqueId val="{00000000-9BA6-4290-9E63-FC4C70A5685A}"/>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Sheet1!$D$2:$D$57</c:f>
              <c:numCache>
                <c:formatCode>0.0</c:formatCode>
                <c:ptCount val="20"/>
                <c:pt idx="0">
                  <c:v>9.6798629569375266E-2</c:v>
                </c:pt>
                <c:pt idx="1">
                  <c:v>0.16059772633100894</c:v>
                </c:pt>
                <c:pt idx="2">
                  <c:v>0.16719763289255724</c:v>
                </c:pt>
                <c:pt idx="3">
                  <c:v>0.17599750830795499</c:v>
                </c:pt>
                <c:pt idx="4">
                  <c:v>0.15984000000000001</c:v>
                </c:pt>
                <c:pt idx="5">
                  <c:v>0.19872000000000001</c:v>
                </c:pt>
                <c:pt idx="6">
                  <c:v>0.21600000000000003</c:v>
                </c:pt>
                <c:pt idx="7">
                  <c:v>0.16847999999999999</c:v>
                </c:pt>
                <c:pt idx="8">
                  <c:v>0.19976000000000002</c:v>
                </c:pt>
                <c:pt idx="9">
                  <c:v>0.18160000000000001</c:v>
                </c:pt>
                <c:pt idx="10">
                  <c:v>0.21338000000000001</c:v>
                </c:pt>
                <c:pt idx="11">
                  <c:v>0.20702399999999999</c:v>
                </c:pt>
                <c:pt idx="12">
                  <c:v>0.45172999999999996</c:v>
                </c:pt>
                <c:pt idx="13">
                  <c:v>0.46287</c:v>
                </c:pt>
                <c:pt idx="14">
                  <c:v>0.44492000000000004</c:v>
                </c:pt>
                <c:pt idx="15">
                  <c:v>0.43368000000000001</c:v>
                </c:pt>
                <c:pt idx="16">
                  <c:v>0.41001639999999995</c:v>
                </c:pt>
                <c:pt idx="17">
                  <c:v>0.39218960000000003</c:v>
                </c:pt>
                <c:pt idx="18">
                  <c:v>0.41001639999999995</c:v>
                </c:pt>
                <c:pt idx="19">
                  <c:v>0.41447310000000004</c:v>
                </c:pt>
              </c:numCache>
            </c:numRef>
          </c:val>
          <c:extLst>
            <c:ext xmlns:c16="http://schemas.microsoft.com/office/drawing/2014/chart" uri="{C3380CC4-5D6E-409C-BE32-E72D297353CC}">
              <c16:uniqueId val="{00000001-9BA6-4290-9E63-FC4C70A5685A}"/>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Sheet1!$E$2:$E$57</c:f>
              <c:numCache>
                <c:formatCode>0.0</c:formatCode>
                <c:ptCount val="20"/>
                <c:pt idx="0">
                  <c:v>-0.74167100978775335</c:v>
                </c:pt>
                <c:pt idx="1">
                  <c:v>-0.62300364822171272</c:v>
                </c:pt>
                <c:pt idx="2">
                  <c:v>-0.14833420195755065</c:v>
                </c:pt>
                <c:pt idx="3">
                  <c:v>0.36024020475405161</c:v>
                </c:pt>
                <c:pt idx="4">
                  <c:v>1.0925</c:v>
                </c:pt>
                <c:pt idx="5">
                  <c:v>1.15805</c:v>
                </c:pt>
                <c:pt idx="6">
                  <c:v>0.85215000000000007</c:v>
                </c:pt>
                <c:pt idx="7">
                  <c:v>0.69920000000000004</c:v>
                </c:pt>
                <c:pt idx="8">
                  <c:v>0.20015999999999998</c:v>
                </c:pt>
                <c:pt idx="9">
                  <c:v>0.42255999999999994</c:v>
                </c:pt>
                <c:pt idx="10">
                  <c:v>0.53376000000000001</c:v>
                </c:pt>
                <c:pt idx="11">
                  <c:v>0.31135999999999997</c:v>
                </c:pt>
                <c:pt idx="12">
                  <c:v>0.27799999999999997</c:v>
                </c:pt>
                <c:pt idx="13">
                  <c:v>-4.2020000000000009E-2</c:v>
                </c:pt>
                <c:pt idx="14">
                  <c:v>0.11119999999999999</c:v>
                </c:pt>
                <c:pt idx="15">
                  <c:v>0.71433999999999997</c:v>
                </c:pt>
                <c:pt idx="16">
                  <c:v>1.8656400000000002</c:v>
                </c:pt>
                <c:pt idx="17">
                  <c:v>2.10995</c:v>
                </c:pt>
                <c:pt idx="18">
                  <c:v>2.1321600000000003</c:v>
                </c:pt>
                <c:pt idx="19">
                  <c:v>2.0877400000000002</c:v>
                </c:pt>
              </c:numCache>
            </c:numRef>
          </c:val>
          <c:extLst>
            <c:ext xmlns:c16="http://schemas.microsoft.com/office/drawing/2014/chart" uri="{C3380CC4-5D6E-409C-BE32-E72D297353CC}">
              <c16:uniqueId val="{00000002-9BA6-4290-9E63-FC4C70A5685A}"/>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Sheet1!$F$2:$F$57</c:f>
              <c:numCache>
                <c:formatCode>0.0</c:formatCode>
                <c:ptCount val="20"/>
                <c:pt idx="0">
                  <c:v>-0.86539100949568792</c:v>
                </c:pt>
                <c:pt idx="1">
                  <c:v>-0.46597977434383187</c:v>
                </c:pt>
                <c:pt idx="2">
                  <c:v>-0.16642134797993996</c:v>
                </c:pt>
                <c:pt idx="3">
                  <c:v>-0.16642134797993996</c:v>
                </c:pt>
                <c:pt idx="4">
                  <c:v>0.59543999999999997</c:v>
                </c:pt>
                <c:pt idx="5">
                  <c:v>0.46311999999999998</c:v>
                </c:pt>
                <c:pt idx="6">
                  <c:v>0.23155999999999999</c:v>
                </c:pt>
                <c:pt idx="7">
                  <c:v>0.26463999999999999</c:v>
                </c:pt>
                <c:pt idx="8">
                  <c:v>3.1870000000000002E-2</c:v>
                </c:pt>
                <c:pt idx="9">
                  <c:v>3.1870000000000002E-2</c:v>
                </c:pt>
                <c:pt idx="10">
                  <c:v>0.35057000000000005</c:v>
                </c:pt>
                <c:pt idx="11">
                  <c:v>0.33782200000000001</c:v>
                </c:pt>
                <c:pt idx="12">
                  <c:v>0.39837499999999998</c:v>
                </c:pt>
                <c:pt idx="13">
                  <c:v>0.46240999999999999</c:v>
                </c:pt>
                <c:pt idx="14">
                  <c:v>0.44618000000000002</c:v>
                </c:pt>
                <c:pt idx="15">
                  <c:v>0.56912000000000007</c:v>
                </c:pt>
                <c:pt idx="16">
                  <c:v>0.79486000000000023</c:v>
                </c:pt>
                <c:pt idx="17">
                  <c:v>0.75873000000000002</c:v>
                </c:pt>
                <c:pt idx="18">
                  <c:v>0.65034000000000003</c:v>
                </c:pt>
                <c:pt idx="19">
                  <c:v>0.65034000000000003</c:v>
                </c:pt>
              </c:numCache>
            </c:numRef>
          </c:val>
          <c:extLst>
            <c:ext xmlns:c16="http://schemas.microsoft.com/office/drawing/2014/chart" uri="{C3380CC4-5D6E-409C-BE32-E72D297353CC}">
              <c16:uniqueId val="{00000003-9BA6-4290-9E63-FC4C70A5685A}"/>
            </c:ext>
          </c:extLst>
        </c:ser>
        <c:dLbls>
          <c:showLegendKey val="0"/>
          <c:showVal val="0"/>
          <c:showCatName val="0"/>
          <c:showSerName val="0"/>
          <c:showPercent val="0"/>
          <c:showBubbleSize val="0"/>
        </c:dLbls>
        <c:gapWidth val="100"/>
        <c:overlap val="100"/>
        <c:axId val="328884992"/>
        <c:axId val="32888652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9BA6-4290-9E63-FC4C70A5685A}"/>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9BA6-4290-9E63-FC4C70A5685A}"/>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9BA6-4290-9E63-FC4C70A5685A}"/>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BA6-4290-9E63-FC4C70A5685A}"/>
                </c:ext>
              </c:extLst>
            </c:dLbl>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BA6-4290-9E63-FC4C70A5685A}"/>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BA6-4290-9E63-FC4C70A5685A}"/>
                </c:ext>
              </c:extLst>
            </c:dLbl>
            <c:dLbl>
              <c:idx val="1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BA6-4290-9E63-FC4C70A5685A}"/>
                </c:ext>
              </c:extLst>
            </c:dLbl>
            <c:dLbl>
              <c:idx val="15"/>
              <c:layout>
                <c:manualLayout>
                  <c:x val="-9.8950020999580002E-2"/>
                  <c:y val="-6.86978832584990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BA6-4290-9E63-FC4C70A5685A}"/>
                </c:ext>
              </c:extLst>
            </c:dLbl>
            <c:dLbl>
              <c:idx val="16"/>
              <c:layout>
                <c:manualLayout>
                  <c:x val="-8.8198236035279293E-2"/>
                  <c:y val="-0.1026298909557408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BA6-4290-9E63-FC4C70A5685A}"/>
                </c:ext>
              </c:extLst>
            </c:dLbl>
            <c:dLbl>
              <c:idx val="19"/>
              <c:layout>
                <c:manualLayout>
                  <c:x val="-2.5199496010079953E-2"/>
                  <c:y val="-5.77293136626042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BA6-4290-9E63-FC4C70A5685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Sheet1!$B$2:$B$57</c:f>
              <c:numCache>
                <c:formatCode>0.0</c:formatCode>
                <c:ptCount val="20"/>
                <c:pt idx="0">
                  <c:v>-0.11200684754751911</c:v>
                </c:pt>
                <c:pt idx="1">
                  <c:v>1.1484365208069529</c:v>
                </c:pt>
                <c:pt idx="2">
                  <c:v>1.045072663038298</c:v>
                </c:pt>
                <c:pt idx="3">
                  <c:v>2.6317019479985393</c:v>
                </c:pt>
                <c:pt idx="4">
                  <c:v>3.746264</c:v>
                </c:pt>
                <c:pt idx="5">
                  <c:v>0.92360999999999982</c:v>
                </c:pt>
                <c:pt idx="6">
                  <c:v>3.4589300000000001</c:v>
                </c:pt>
                <c:pt idx="7">
                  <c:v>1.78416</c:v>
                </c:pt>
                <c:pt idx="8">
                  <c:v>1.8542299999999998</c:v>
                </c:pt>
                <c:pt idx="9">
                  <c:v>2.5381299999999998</c:v>
                </c:pt>
                <c:pt idx="10">
                  <c:v>0.5188100000000001</c:v>
                </c:pt>
                <c:pt idx="11">
                  <c:v>0.71975100000000003</c:v>
                </c:pt>
                <c:pt idx="12">
                  <c:v>-5.8054400000000055E-2</c:v>
                </c:pt>
                <c:pt idx="13">
                  <c:v>1.6678599999999999</c:v>
                </c:pt>
                <c:pt idx="14">
                  <c:v>1.3506399999999998</c:v>
                </c:pt>
                <c:pt idx="15">
                  <c:v>3.6551020000000003</c:v>
                </c:pt>
                <c:pt idx="16">
                  <c:v>5.8236124000000009</c:v>
                </c:pt>
                <c:pt idx="17">
                  <c:v>6.5348216000000008</c:v>
                </c:pt>
                <c:pt idx="18">
                  <c:v>8.2150563999999999</c:v>
                </c:pt>
                <c:pt idx="19">
                  <c:v>8.7703571</c:v>
                </c:pt>
              </c:numCache>
            </c:numRef>
          </c:val>
          <c:smooth val="0"/>
          <c:extLst>
            <c:ext xmlns:c16="http://schemas.microsoft.com/office/drawing/2014/chart" uri="{C3380CC4-5D6E-409C-BE32-E72D297353CC}">
              <c16:uniqueId val="{0000000B-9BA6-4290-9E63-FC4C70A5685A}"/>
            </c:ext>
          </c:extLst>
        </c:ser>
        <c:dLbls>
          <c:showLegendKey val="0"/>
          <c:showVal val="0"/>
          <c:showCatName val="0"/>
          <c:showSerName val="0"/>
          <c:showPercent val="0"/>
          <c:showBubbleSize val="0"/>
        </c:dLbls>
        <c:marker val="1"/>
        <c:smooth val="0"/>
        <c:axId val="328884992"/>
        <c:axId val="328886528"/>
      </c:lineChart>
      <c:catAx>
        <c:axId val="3288849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28886528"/>
        <c:crosses val="autoZero"/>
        <c:auto val="1"/>
        <c:lblAlgn val="ctr"/>
        <c:lblOffset val="100"/>
        <c:noMultiLvlLbl val="0"/>
      </c:catAx>
      <c:valAx>
        <c:axId val="32888652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288849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Մ</a:t>
            </a:r>
            <a:r>
              <a:rPr lang="hy-AM" sz="900" i="1"/>
              <a:t>իջին գնաճը</a:t>
            </a:r>
            <a:r>
              <a:rPr lang="en-US" sz="900" i="1"/>
              <a:t>,</a:t>
            </a:r>
            <a:r>
              <a:rPr lang="en-US" sz="900" i="1" baseline="0"/>
              <a:t> %</a:t>
            </a:r>
            <a:endParaRPr lang="en-US" sz="900" i="1"/>
          </a:p>
        </c:rich>
      </c:tx>
      <c:layout>
        <c:manualLayout>
          <c:xMode val="edge"/>
          <c:yMode val="edge"/>
          <c:x val="0.31103696783664908"/>
          <c:y val="0"/>
        </c:manualLayout>
      </c:layout>
      <c:overlay val="0"/>
      <c:spPr>
        <a:noFill/>
        <a:ln>
          <a:noFill/>
        </a:ln>
        <a:effectLst/>
      </c:spPr>
    </c:title>
    <c:autoTitleDeleted val="0"/>
    <c:plotArea>
      <c:layout>
        <c:manualLayout>
          <c:layoutTarget val="inner"/>
          <c:xMode val="edge"/>
          <c:yMode val="edge"/>
          <c:x val="0.11270836908098351"/>
          <c:y val="0.12480519374330552"/>
          <c:w val="0.84290099330804158"/>
          <c:h val="0.67598220783149765"/>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Sheet1!$C$2:$C$57</c:f>
              <c:numCache>
                <c:formatCode>0.0</c:formatCode>
                <c:ptCount val="20"/>
                <c:pt idx="0">
                  <c:v>1.1515053876665682</c:v>
                </c:pt>
                <c:pt idx="1">
                  <c:v>1.7437081584665173</c:v>
                </c:pt>
                <c:pt idx="2">
                  <c:v>1.5421947156248681</c:v>
                </c:pt>
                <c:pt idx="3">
                  <c:v>1.6861328890831888</c:v>
                </c:pt>
                <c:pt idx="4">
                  <c:v>1.7110799999999999</c:v>
                </c:pt>
                <c:pt idx="5">
                  <c:v>0.75369000000000019</c:v>
                </c:pt>
                <c:pt idx="6">
                  <c:v>0.97775999999999996</c:v>
                </c:pt>
                <c:pt idx="7">
                  <c:v>0.93701999999999996</c:v>
                </c:pt>
                <c:pt idx="8">
                  <c:v>0.99239999999999995</c:v>
                </c:pt>
                <c:pt idx="9">
                  <c:v>1.4472499999999999</c:v>
                </c:pt>
                <c:pt idx="10">
                  <c:v>1.0130749999999999</c:v>
                </c:pt>
                <c:pt idx="11">
                  <c:v>0.76497500000000007</c:v>
                </c:pt>
                <c:pt idx="12">
                  <c:v>-1.2156899999999999</c:v>
                </c:pt>
                <c:pt idx="13">
                  <c:v>-0.43004000000000003</c:v>
                </c:pt>
                <c:pt idx="14">
                  <c:v>-0.12404999999999999</c:v>
                </c:pt>
                <c:pt idx="15">
                  <c:v>0.11768999999999999</c:v>
                </c:pt>
                <c:pt idx="16">
                  <c:v>2.6414839999999997</c:v>
                </c:pt>
                <c:pt idx="17">
                  <c:v>2.8647079999999998</c:v>
                </c:pt>
                <c:pt idx="18">
                  <c:v>3.1623399999999999</c:v>
                </c:pt>
                <c:pt idx="19">
                  <c:v>3.459972</c:v>
                </c:pt>
              </c:numCache>
            </c:numRef>
          </c:val>
          <c:extLst>
            <c:ext xmlns:c16="http://schemas.microsoft.com/office/drawing/2014/chart" uri="{C3380CC4-5D6E-409C-BE32-E72D297353CC}">
              <c16:uniqueId val="{00000000-3D9D-4B3F-89C0-ACA60771B113}"/>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Sheet1!$D$2:$D$57</c:f>
              <c:numCache>
                <c:formatCode>0.0</c:formatCode>
                <c:ptCount val="20"/>
                <c:pt idx="0">
                  <c:v>7.4798941030880875E-2</c:v>
                </c:pt>
                <c:pt idx="1">
                  <c:v>0.11175841777555143</c:v>
                </c:pt>
                <c:pt idx="2">
                  <c:v>0.12539822466941794</c:v>
                </c:pt>
                <c:pt idx="3">
                  <c:v>0.14079800664636402</c:v>
                </c:pt>
                <c:pt idx="4">
                  <c:v>0.16416</c:v>
                </c:pt>
                <c:pt idx="5">
                  <c:v>0.16632000000000002</c:v>
                </c:pt>
                <c:pt idx="6">
                  <c:v>0.18576000000000001</c:v>
                </c:pt>
                <c:pt idx="7">
                  <c:v>0.18144000000000002</c:v>
                </c:pt>
                <c:pt idx="8">
                  <c:v>0.18613999999999997</c:v>
                </c:pt>
                <c:pt idx="9">
                  <c:v>0.19068000000000002</c:v>
                </c:pt>
                <c:pt idx="10">
                  <c:v>0.19295000000000001</c:v>
                </c:pt>
                <c:pt idx="11">
                  <c:v>0.19295000000000001</c:v>
                </c:pt>
                <c:pt idx="12">
                  <c:v>0.36093000000000003</c:v>
                </c:pt>
                <c:pt idx="13">
                  <c:v>0.40240499999999996</c:v>
                </c:pt>
                <c:pt idx="14">
                  <c:v>0.41283000000000003</c:v>
                </c:pt>
                <c:pt idx="15">
                  <c:v>0.41283000000000003</c:v>
                </c:pt>
                <c:pt idx="16">
                  <c:v>0.42338649999999994</c:v>
                </c:pt>
                <c:pt idx="17">
                  <c:v>0.40555969999999997</c:v>
                </c:pt>
                <c:pt idx="18">
                  <c:v>0.40555969999999997</c:v>
                </c:pt>
                <c:pt idx="19">
                  <c:v>0.41001639999999995</c:v>
                </c:pt>
              </c:numCache>
            </c:numRef>
          </c:val>
          <c:extLst>
            <c:ext xmlns:c16="http://schemas.microsoft.com/office/drawing/2014/chart" uri="{C3380CC4-5D6E-409C-BE32-E72D297353CC}">
              <c16:uniqueId val="{00000001-3D9D-4B3F-89C0-ACA60771B113}"/>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Sheet1!$E$2:$E$57</c:f>
              <c:numCache>
                <c:formatCode>0.0</c:formatCode>
                <c:ptCount val="20"/>
                <c:pt idx="0">
                  <c:v>-0.74167100978775335</c:v>
                </c:pt>
                <c:pt idx="1">
                  <c:v>-0.65690860866915302</c:v>
                </c:pt>
                <c:pt idx="2">
                  <c:v>-0.55095560727090254</c:v>
                </c:pt>
                <c:pt idx="3">
                  <c:v>-0.38143080503370169</c:v>
                </c:pt>
                <c:pt idx="4">
                  <c:v>0.96140000000000014</c:v>
                </c:pt>
                <c:pt idx="5">
                  <c:v>1.0378750000000001</c:v>
                </c:pt>
                <c:pt idx="6">
                  <c:v>1.0488000000000002</c:v>
                </c:pt>
                <c:pt idx="7">
                  <c:v>0.98325000000000007</c:v>
                </c:pt>
                <c:pt idx="8">
                  <c:v>0.17791999999999997</c:v>
                </c:pt>
                <c:pt idx="9">
                  <c:v>0.26688000000000001</c:v>
                </c:pt>
                <c:pt idx="10">
                  <c:v>0.34472000000000003</c:v>
                </c:pt>
                <c:pt idx="11">
                  <c:v>0.32247999999999999</c:v>
                </c:pt>
                <c:pt idx="12">
                  <c:v>0.36695999999999995</c:v>
                </c:pt>
                <c:pt idx="13">
                  <c:v>0.19959500000000002</c:v>
                </c:pt>
                <c:pt idx="14">
                  <c:v>0.16808000000000003</c:v>
                </c:pt>
                <c:pt idx="15">
                  <c:v>0.21010000000000001</c:v>
                </c:pt>
                <c:pt idx="16">
                  <c:v>1.5324900000000001</c:v>
                </c:pt>
                <c:pt idx="17">
                  <c:v>1.7545900000000001</c:v>
                </c:pt>
                <c:pt idx="18">
                  <c:v>1.8212199999999998</c:v>
                </c:pt>
                <c:pt idx="19">
                  <c:v>1.8434300000000001</c:v>
                </c:pt>
              </c:numCache>
            </c:numRef>
          </c:val>
          <c:extLst>
            <c:ext xmlns:c16="http://schemas.microsoft.com/office/drawing/2014/chart" uri="{C3380CC4-5D6E-409C-BE32-E72D297353CC}">
              <c16:uniqueId val="{00000002-3D9D-4B3F-89C0-ACA60771B113}"/>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Sheet1!$F$2:$F$57</c:f>
              <c:numCache>
                <c:formatCode>0.0</c:formatCode>
                <c:ptCount val="20"/>
                <c:pt idx="0">
                  <c:v>-0.83210673989969985</c:v>
                </c:pt>
                <c:pt idx="1">
                  <c:v>-0.73225393111173587</c:v>
                </c:pt>
                <c:pt idx="2">
                  <c:v>-0.47929348218222706</c:v>
                </c:pt>
                <c:pt idx="3">
                  <c:v>-0.43269550474784396</c:v>
                </c:pt>
                <c:pt idx="4">
                  <c:v>0.46311999999999998</c:v>
                </c:pt>
                <c:pt idx="5">
                  <c:v>0.47965999999999992</c:v>
                </c:pt>
                <c:pt idx="6">
                  <c:v>0.43003999999999998</c:v>
                </c:pt>
                <c:pt idx="7">
                  <c:v>0.39695999999999998</c:v>
                </c:pt>
                <c:pt idx="8">
                  <c:v>0.12748000000000001</c:v>
                </c:pt>
                <c:pt idx="9">
                  <c:v>6.3740000000000005E-2</c:v>
                </c:pt>
                <c:pt idx="10">
                  <c:v>9.5610000000000001E-2</c:v>
                </c:pt>
                <c:pt idx="11">
                  <c:v>0.14660200000000001</c:v>
                </c:pt>
                <c:pt idx="12">
                  <c:v>0.43024500000000004</c:v>
                </c:pt>
                <c:pt idx="13">
                  <c:v>0.39837499999999998</c:v>
                </c:pt>
                <c:pt idx="14">
                  <c:v>0.41431000000000007</c:v>
                </c:pt>
                <c:pt idx="15">
                  <c:v>0.49797999999999992</c:v>
                </c:pt>
                <c:pt idx="16">
                  <c:v>0.61421000000000003</c:v>
                </c:pt>
                <c:pt idx="17">
                  <c:v>0.72260000000000002</c:v>
                </c:pt>
                <c:pt idx="18">
                  <c:v>0.68647000000000002</c:v>
                </c:pt>
                <c:pt idx="19">
                  <c:v>0.68647000000000002</c:v>
                </c:pt>
              </c:numCache>
            </c:numRef>
          </c:val>
          <c:extLst>
            <c:ext xmlns:c16="http://schemas.microsoft.com/office/drawing/2014/chart" uri="{C3380CC4-5D6E-409C-BE32-E72D297353CC}">
              <c16:uniqueId val="{00000003-3D9D-4B3F-89C0-ACA60771B113}"/>
            </c:ext>
          </c:extLst>
        </c:ser>
        <c:dLbls>
          <c:showLegendKey val="0"/>
          <c:showVal val="0"/>
          <c:showCatName val="0"/>
          <c:showSerName val="0"/>
          <c:showPercent val="0"/>
          <c:showBubbleSize val="0"/>
        </c:dLbls>
        <c:gapWidth val="100"/>
        <c:overlap val="100"/>
        <c:axId val="329685248"/>
        <c:axId val="329691136"/>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3D9D-4B3F-89C0-ACA60771B113}"/>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3D9D-4B3F-89C0-ACA60771B113}"/>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3D9D-4B3F-89C0-ACA60771B113}"/>
              </c:ext>
            </c:extLst>
          </c:dPt>
          <c:dLbls>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D9D-4B3F-89C0-ACA60771B113}"/>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D9D-4B3F-89C0-ACA60771B113}"/>
                </c:ext>
              </c:extLst>
            </c:dLbl>
            <c:dLbl>
              <c:idx val="1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D9D-4B3F-89C0-ACA60771B113}"/>
                </c:ext>
              </c:extLst>
            </c:dLbl>
            <c:dLbl>
              <c:idx val="1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D9D-4B3F-89C0-ACA60771B113}"/>
                </c:ext>
              </c:extLst>
            </c:dLbl>
            <c:dLbl>
              <c:idx val="16"/>
              <c:layout>
                <c:manualLayout>
                  <c:x val="-8.3998320033599333E-2"/>
                  <c:y val="-6.41436818473380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D9D-4B3F-89C0-ACA60771B113}"/>
                </c:ext>
              </c:extLst>
            </c:dLbl>
            <c:dLbl>
              <c:idx val="19"/>
              <c:layout>
                <c:manualLayout>
                  <c:x val="-1.6799664006719867E-2"/>
                  <c:y val="-4.49005772931366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D9D-4B3F-89C0-ACA60771B11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Sheet1!$B$2:$B$57</c:f>
              <c:numCache>
                <c:formatCode>0.0</c:formatCode>
                <c:ptCount val="20"/>
                <c:pt idx="0">
                  <c:v>-0.34747342099000411</c:v>
                </c:pt>
                <c:pt idx="1">
                  <c:v>0.46630403646117979</c:v>
                </c:pt>
                <c:pt idx="2">
                  <c:v>0.63734385084115641</c:v>
                </c:pt>
                <c:pt idx="3">
                  <c:v>1.0128045859480073</c:v>
                </c:pt>
                <c:pt idx="4">
                  <c:v>3.29976</c:v>
                </c:pt>
                <c:pt idx="5">
                  <c:v>2.4375450000000001</c:v>
                </c:pt>
                <c:pt idx="6">
                  <c:v>2.64236</c:v>
                </c:pt>
                <c:pt idx="7">
                  <c:v>2.4986700000000002</c:v>
                </c:pt>
                <c:pt idx="8">
                  <c:v>1.4839399999999998</c:v>
                </c:pt>
                <c:pt idx="9">
                  <c:v>1.9685499999999998</c:v>
                </c:pt>
                <c:pt idx="10">
                  <c:v>1.646355</c:v>
                </c:pt>
                <c:pt idx="11">
                  <c:v>1.4270070000000001</c:v>
                </c:pt>
                <c:pt idx="12">
                  <c:v>-5.7554999999999967E-2</c:v>
                </c:pt>
                <c:pt idx="13">
                  <c:v>0.53033499999999989</c:v>
                </c:pt>
                <c:pt idx="14">
                  <c:v>0.87117000000000011</c:v>
                </c:pt>
                <c:pt idx="15">
                  <c:v>1.2385999999999999</c:v>
                </c:pt>
                <c:pt idx="16">
                  <c:v>5.2115704999999997</c:v>
                </c:pt>
                <c:pt idx="17">
                  <c:v>5.7474577</c:v>
                </c:pt>
                <c:pt idx="18">
                  <c:v>6.0755897000000001</c:v>
                </c:pt>
                <c:pt idx="19">
                  <c:v>6.3998884</c:v>
                </c:pt>
              </c:numCache>
            </c:numRef>
          </c:val>
          <c:smooth val="0"/>
          <c:extLst>
            <c:ext xmlns:c16="http://schemas.microsoft.com/office/drawing/2014/chart" uri="{C3380CC4-5D6E-409C-BE32-E72D297353CC}">
              <c16:uniqueId val="{0000000A-3D9D-4B3F-89C0-ACA60771B113}"/>
            </c:ext>
          </c:extLst>
        </c:ser>
        <c:dLbls>
          <c:showLegendKey val="0"/>
          <c:showVal val="0"/>
          <c:showCatName val="0"/>
          <c:showSerName val="0"/>
          <c:showPercent val="0"/>
          <c:showBubbleSize val="0"/>
        </c:dLbls>
        <c:marker val="1"/>
        <c:smooth val="0"/>
        <c:axId val="329685248"/>
        <c:axId val="329691136"/>
      </c:lineChart>
      <c:catAx>
        <c:axId val="3296852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29691136"/>
        <c:crosses val="autoZero"/>
        <c:auto val="1"/>
        <c:lblAlgn val="ctr"/>
        <c:lblOffset val="100"/>
        <c:noMultiLvlLbl val="0"/>
      </c:catAx>
      <c:valAx>
        <c:axId val="32969113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296852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98E-2"/>
          <c:w val="0.84290099330804158"/>
          <c:h val="1.90308418654875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A23F-4B9B-BDF6-463F8D7CD862}"/>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A23F-4B9B-BDF6-463F8D7CD862}"/>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A23F-4B9B-BDF6-463F8D7CD862}"/>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A23F-4B9B-BDF6-463F8D7CD862}"/>
            </c:ext>
          </c:extLst>
        </c:ser>
        <c:dLbls>
          <c:showLegendKey val="0"/>
          <c:showVal val="0"/>
          <c:showCatName val="0"/>
          <c:showSerName val="0"/>
          <c:showPercent val="0"/>
          <c:showBubbleSize val="0"/>
        </c:dLbls>
        <c:gapWidth val="100"/>
        <c:overlap val="100"/>
        <c:axId val="330651904"/>
        <c:axId val="330665984"/>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A23F-4B9B-BDF6-463F8D7CD862}"/>
            </c:ext>
          </c:extLst>
        </c:ser>
        <c:dLbls>
          <c:showLegendKey val="0"/>
          <c:showVal val="0"/>
          <c:showCatName val="0"/>
          <c:showSerName val="0"/>
          <c:showPercent val="0"/>
          <c:showBubbleSize val="0"/>
        </c:dLbls>
        <c:marker val="1"/>
        <c:smooth val="0"/>
        <c:axId val="330651904"/>
        <c:axId val="330665984"/>
      </c:lineChart>
      <c:catAx>
        <c:axId val="330651904"/>
        <c:scaling>
          <c:orientation val="minMax"/>
        </c:scaling>
        <c:delete val="1"/>
        <c:axPos val="b"/>
        <c:numFmt formatCode="General" sourceLinked="1"/>
        <c:majorTickMark val="out"/>
        <c:minorTickMark val="none"/>
        <c:tickLblPos val="none"/>
        <c:crossAx val="330665984"/>
        <c:crosses val="autoZero"/>
        <c:auto val="1"/>
        <c:lblAlgn val="ctr"/>
        <c:lblOffset val="100"/>
        <c:noMultiLvlLbl val="0"/>
      </c:catAx>
      <c:valAx>
        <c:axId val="330665984"/>
        <c:scaling>
          <c:orientation val="minMax"/>
        </c:scaling>
        <c:delete val="1"/>
        <c:axPos val="l"/>
        <c:numFmt formatCode="General" sourceLinked="1"/>
        <c:majorTickMark val="none"/>
        <c:minorTickMark val="none"/>
        <c:tickLblPos val="none"/>
        <c:crossAx val="330651904"/>
        <c:crosses val="autoZero"/>
        <c:crossBetween val="between"/>
      </c:valAx>
      <c:spPr>
        <a:noFill/>
        <a:ln>
          <a:noFill/>
        </a:ln>
        <a:effectLst/>
      </c:spPr>
    </c:plotArea>
    <c:legend>
      <c:legendPos val="b"/>
      <c:layout>
        <c:manualLayout>
          <c:xMode val="edge"/>
          <c:yMode val="edge"/>
          <c:x val="2.4091860941327401E-2"/>
          <c:y val="0.10991302557768538"/>
          <c:w val="0.95949541633383117"/>
          <c:h val="0.876928860454944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hy-AM" sz="1100"/>
              <a:t>Գնաճի կանխատեսումները և նպատակային միջակայքը</a:t>
            </a:r>
            <a:r>
              <a:rPr lang="en-US" sz="1100"/>
              <a:t>, %</a:t>
            </a:r>
          </a:p>
        </c:rich>
      </c:tx>
      <c:layout>
        <c:manualLayout>
          <c:xMode val="edge"/>
          <c:yMode val="edge"/>
          <c:x val="0.21738990489660437"/>
          <c:y val="1.2091606196284284E-2"/>
        </c:manualLayout>
      </c:layout>
      <c:overlay val="0"/>
      <c:spPr>
        <a:noFill/>
        <a:ln>
          <a:noFill/>
        </a:ln>
        <a:effectLst/>
      </c:spPr>
    </c:title>
    <c:autoTitleDeleted val="0"/>
    <c:plotArea>
      <c:layout>
        <c:manualLayout>
          <c:layoutTarget val="inner"/>
          <c:xMode val="edge"/>
          <c:yMode val="edge"/>
          <c:x val="4.286978223573859E-2"/>
          <c:y val="0.15820767267105321"/>
          <c:w val="0.93497959351939874"/>
          <c:h val="0.6595433789954338"/>
        </c:manualLayout>
      </c:layout>
      <c:lineChart>
        <c:grouping val="standard"/>
        <c:varyColors val="0"/>
        <c:ser>
          <c:idx val="0"/>
          <c:order val="0"/>
          <c:tx>
            <c:strRef>
              <c:f>Sheet1!$B$1</c:f>
              <c:strCache>
                <c:ptCount val="1"/>
                <c:pt idx="0">
                  <c:v>12 ամսյա գնաճ</c:v>
                </c:pt>
              </c:strCache>
            </c:strRef>
          </c:tx>
          <c:spPr>
            <a:ln w="31750" cap="rnd">
              <a:solidFill>
                <a:schemeClr val="accent1"/>
              </a:solidFill>
              <a:round/>
            </a:ln>
            <a:effectLst/>
          </c:spPr>
          <c:marker>
            <c:symbol val="circle"/>
            <c:size val="7"/>
            <c:spPr>
              <a:solidFill>
                <a:schemeClr val="accent1"/>
              </a:solidFill>
              <a:ln w="15875">
                <a:solidFill>
                  <a:schemeClr val="accent1"/>
                </a:solidFill>
                <a:round/>
              </a:ln>
              <a:effectLst/>
            </c:spPr>
          </c:marker>
          <c:dLbls>
            <c:dLbl>
              <c:idx val="1"/>
              <c:layout>
                <c:manualLayout>
                  <c:x val="-3.435360451067259E-2"/>
                  <c:y val="5.90326797385622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BC1-4B1B-AC57-D1CDDE388D04}"/>
                </c:ext>
              </c:extLst>
            </c:dLbl>
            <c:dLbl>
              <c:idx val="2"/>
              <c:layout>
                <c:manualLayout>
                  <c:x val="-3.3729359645589999E-2"/>
                  <c:y val="4.33464052287580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BC1-4B1B-AC57-D1CDDE388D04}"/>
                </c:ext>
              </c:extLst>
            </c:dLbl>
            <c:dLbl>
              <c:idx val="4"/>
              <c:layout>
                <c:manualLayout>
                  <c:x val="-6.3274013945259652E-2"/>
                  <c:y val="-1.59364892678623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BC1-4B1B-AC57-D1CDDE388D0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Sheet1!$A$2:$A$9</c:f>
              <c:numCache>
                <c:formatCode>General</c:formatCode>
                <c:ptCount val="6"/>
                <c:pt idx="0">
                  <c:v>2017</c:v>
                </c:pt>
                <c:pt idx="1">
                  <c:v>2018</c:v>
                </c:pt>
                <c:pt idx="2">
                  <c:v>2019</c:v>
                </c:pt>
                <c:pt idx="3">
                  <c:v>2020</c:v>
                </c:pt>
                <c:pt idx="4">
                  <c:v>2021</c:v>
                </c:pt>
                <c:pt idx="5">
                  <c:v>2022</c:v>
                </c:pt>
              </c:numCache>
            </c:numRef>
          </c:cat>
          <c:val>
            <c:numRef>
              <c:f>Sheet1!$B$2:$B$9</c:f>
              <c:numCache>
                <c:formatCode>0.0</c:formatCode>
                <c:ptCount val="6"/>
                <c:pt idx="0">
                  <c:v>2.6391820853362873</c:v>
                </c:pt>
                <c:pt idx="1">
                  <c:v>1.7710353790077846</c:v>
                </c:pt>
                <c:pt idx="2">
                  <c:v>0.74073867036182151</c:v>
                </c:pt>
                <c:pt idx="3">
                  <c:v>3.7</c:v>
                </c:pt>
                <c:pt idx="4">
                  <c:v>7.4</c:v>
                </c:pt>
                <c:pt idx="5">
                  <c:v>5.3</c:v>
                </c:pt>
              </c:numCache>
            </c:numRef>
          </c:val>
          <c:smooth val="0"/>
          <c:extLst>
            <c:ext xmlns:c16="http://schemas.microsoft.com/office/drawing/2014/chart" uri="{C3380CC4-5D6E-409C-BE32-E72D297353CC}">
              <c16:uniqueId val="{00000003-0BC1-4B1B-AC57-D1CDDE388D04}"/>
            </c:ext>
          </c:extLst>
        </c:ser>
        <c:ser>
          <c:idx val="1"/>
          <c:order val="1"/>
          <c:tx>
            <c:strRef>
              <c:f>Sheet1!$C$1</c:f>
              <c:strCache>
                <c:ptCount val="1"/>
                <c:pt idx="0">
                  <c:v>Միջին գնաճ</c:v>
                </c:pt>
              </c:strCache>
            </c:strRef>
          </c:tx>
          <c:spPr>
            <a:ln w="28575" cap="rnd">
              <a:solidFill>
                <a:srgbClr val="FF0000"/>
              </a:solidFill>
              <a:round/>
            </a:ln>
            <a:effectLst/>
          </c:spPr>
          <c:marker>
            <c:symbol val="square"/>
            <c:size val="7"/>
            <c:spPr>
              <a:solidFill>
                <a:srgbClr val="FF0000"/>
              </a:solidFill>
              <a:ln w="15875">
                <a:solidFill>
                  <a:srgbClr val="FF0000"/>
                </a:solidFill>
                <a:round/>
              </a:ln>
              <a:effectLst/>
            </c:spPr>
          </c:marker>
          <c:dLbls>
            <c:dLbl>
              <c:idx val="1"/>
              <c:layout>
                <c:manualLayout>
                  <c:x val="-3.3296494905514985E-2"/>
                  <c:y val="-5.90326797385622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BC1-4B1B-AC57-D1CDDE388D04}"/>
                </c:ext>
              </c:extLst>
            </c:dLbl>
            <c:dLbl>
              <c:idx val="2"/>
              <c:layout>
                <c:manualLayout>
                  <c:x val="-3.1735803463552259E-2"/>
                  <c:y val="-6.42614379084970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BC1-4B1B-AC57-D1CDDE388D04}"/>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Sheet1!$A$2:$A$9</c:f>
              <c:numCache>
                <c:formatCode>General</c:formatCode>
                <c:ptCount val="6"/>
                <c:pt idx="0">
                  <c:v>2017</c:v>
                </c:pt>
                <c:pt idx="1">
                  <c:v>2018</c:v>
                </c:pt>
                <c:pt idx="2">
                  <c:v>2019</c:v>
                </c:pt>
                <c:pt idx="3">
                  <c:v>2020</c:v>
                </c:pt>
                <c:pt idx="4">
                  <c:v>2021</c:v>
                </c:pt>
                <c:pt idx="5">
                  <c:v>2022</c:v>
                </c:pt>
              </c:numCache>
            </c:numRef>
          </c:cat>
          <c:val>
            <c:numRef>
              <c:f>Sheet1!$C$2:$C$9</c:f>
              <c:numCache>
                <c:formatCode>0.0</c:formatCode>
                <c:ptCount val="6"/>
                <c:pt idx="0">
                  <c:v>0.96505083976387596</c:v>
                </c:pt>
                <c:pt idx="1">
                  <c:v>2.5490680730946309</c:v>
                </c:pt>
                <c:pt idx="2">
                  <c:v>1.4309835696169273</c:v>
                </c:pt>
                <c:pt idx="3">
                  <c:v>1.2</c:v>
                </c:pt>
                <c:pt idx="4">
                  <c:v>7</c:v>
                </c:pt>
                <c:pt idx="5">
                  <c:v>5.6</c:v>
                </c:pt>
              </c:numCache>
            </c:numRef>
          </c:val>
          <c:smooth val="0"/>
          <c:extLst>
            <c:ext xmlns:c16="http://schemas.microsoft.com/office/drawing/2014/chart" uri="{C3380CC4-5D6E-409C-BE32-E72D297353CC}">
              <c16:uniqueId val="{00000006-0BC1-4B1B-AC57-D1CDDE388D04}"/>
            </c:ext>
          </c:extLst>
        </c:ser>
        <c:ser>
          <c:idx val="2"/>
          <c:order val="2"/>
          <c:tx>
            <c:strRef>
              <c:f>Sheet1!$D$1</c:f>
              <c:strCache>
                <c:ptCount val="1"/>
                <c:pt idx="0">
                  <c:v>Column2</c:v>
                </c:pt>
              </c:strCache>
            </c:strRef>
          </c:tx>
          <c:spPr>
            <a:ln w="19050" cap="rnd">
              <a:solidFill>
                <a:srgbClr val="C00000"/>
              </a:solidFill>
              <a:prstDash val="dash"/>
              <a:round/>
            </a:ln>
            <a:effectLst/>
          </c:spPr>
          <c:marker>
            <c:symbol val="none"/>
          </c:marker>
          <c:cat>
            <c:numRef>
              <c:f>Sheet1!$A$2:$A$9</c:f>
              <c:numCache>
                <c:formatCode>General</c:formatCode>
                <c:ptCount val="6"/>
                <c:pt idx="0">
                  <c:v>2017</c:v>
                </c:pt>
                <c:pt idx="1">
                  <c:v>2018</c:v>
                </c:pt>
                <c:pt idx="2">
                  <c:v>2019</c:v>
                </c:pt>
                <c:pt idx="3">
                  <c:v>2020</c:v>
                </c:pt>
                <c:pt idx="4">
                  <c:v>2021</c:v>
                </c:pt>
                <c:pt idx="5">
                  <c:v>2022</c:v>
                </c:pt>
              </c:numCache>
            </c:numRef>
          </c:cat>
          <c:val>
            <c:numRef>
              <c:f>Sheet1!$D$2:$D$9</c:f>
              <c:numCache>
                <c:formatCode>General</c:formatCode>
                <c:ptCount val="6"/>
                <c:pt idx="0">
                  <c:v>4</c:v>
                </c:pt>
                <c:pt idx="1">
                  <c:v>4</c:v>
                </c:pt>
                <c:pt idx="2">
                  <c:v>4</c:v>
                </c:pt>
                <c:pt idx="3">
                  <c:v>4</c:v>
                </c:pt>
                <c:pt idx="4">
                  <c:v>4</c:v>
                </c:pt>
                <c:pt idx="5">
                  <c:v>4</c:v>
                </c:pt>
              </c:numCache>
            </c:numRef>
          </c:val>
          <c:smooth val="0"/>
          <c:extLst>
            <c:ext xmlns:c16="http://schemas.microsoft.com/office/drawing/2014/chart" uri="{C3380CC4-5D6E-409C-BE32-E72D297353CC}">
              <c16:uniqueId val="{00000007-0BC1-4B1B-AC57-D1CDDE388D04}"/>
            </c:ext>
          </c:extLst>
        </c:ser>
        <c:ser>
          <c:idx val="3"/>
          <c:order val="3"/>
          <c:tx>
            <c:strRef>
              <c:f>Sheet1!$E$1</c:f>
              <c:strCache>
                <c:ptCount val="1"/>
                <c:pt idx="0">
                  <c:v>Column3</c:v>
                </c:pt>
              </c:strCache>
            </c:strRef>
          </c:tx>
          <c:spPr>
            <a:ln w="12700" cap="rnd">
              <a:solidFill>
                <a:schemeClr val="accent2"/>
              </a:solidFill>
              <a:prstDash val="sysDash"/>
              <a:round/>
            </a:ln>
            <a:effectLst/>
          </c:spPr>
          <c:marker>
            <c:symbol val="none"/>
          </c:marker>
          <c:cat>
            <c:numRef>
              <c:f>Sheet1!$A$2:$A$9</c:f>
              <c:numCache>
                <c:formatCode>General</c:formatCode>
                <c:ptCount val="6"/>
                <c:pt idx="0">
                  <c:v>2017</c:v>
                </c:pt>
                <c:pt idx="1">
                  <c:v>2018</c:v>
                </c:pt>
                <c:pt idx="2">
                  <c:v>2019</c:v>
                </c:pt>
                <c:pt idx="3">
                  <c:v>2020</c:v>
                </c:pt>
                <c:pt idx="4">
                  <c:v>2021</c:v>
                </c:pt>
                <c:pt idx="5">
                  <c:v>2022</c:v>
                </c:pt>
              </c:numCache>
            </c:numRef>
          </c:cat>
          <c:val>
            <c:numRef>
              <c:f>Sheet1!$E$2:$E$9</c:f>
              <c:numCache>
                <c:formatCode>General</c:formatCode>
                <c:ptCount val="6"/>
                <c:pt idx="0">
                  <c:v>5.5</c:v>
                </c:pt>
                <c:pt idx="1">
                  <c:v>5.5</c:v>
                </c:pt>
                <c:pt idx="2">
                  <c:v>5.5</c:v>
                </c:pt>
                <c:pt idx="3">
                  <c:v>5.5</c:v>
                </c:pt>
                <c:pt idx="4">
                  <c:v>5.5</c:v>
                </c:pt>
                <c:pt idx="5">
                  <c:v>5.5</c:v>
                </c:pt>
              </c:numCache>
            </c:numRef>
          </c:val>
          <c:smooth val="0"/>
          <c:extLst>
            <c:ext xmlns:c16="http://schemas.microsoft.com/office/drawing/2014/chart" uri="{C3380CC4-5D6E-409C-BE32-E72D297353CC}">
              <c16:uniqueId val="{00000008-0BC1-4B1B-AC57-D1CDDE388D04}"/>
            </c:ext>
          </c:extLst>
        </c:ser>
        <c:ser>
          <c:idx val="4"/>
          <c:order val="4"/>
          <c:tx>
            <c:strRef>
              <c:f>Sheet1!$F$1</c:f>
              <c:strCache>
                <c:ptCount val="1"/>
                <c:pt idx="0">
                  <c:v>Column4</c:v>
                </c:pt>
              </c:strCache>
            </c:strRef>
          </c:tx>
          <c:spPr>
            <a:ln w="15875" cap="rnd">
              <a:solidFill>
                <a:schemeClr val="accent2"/>
              </a:solidFill>
              <a:prstDash val="sysDash"/>
              <a:round/>
            </a:ln>
            <a:effectLst/>
          </c:spPr>
          <c:marker>
            <c:symbol val="none"/>
          </c:marker>
          <c:cat>
            <c:numRef>
              <c:f>Sheet1!$A$2:$A$9</c:f>
              <c:numCache>
                <c:formatCode>General</c:formatCode>
                <c:ptCount val="6"/>
                <c:pt idx="0">
                  <c:v>2017</c:v>
                </c:pt>
                <c:pt idx="1">
                  <c:v>2018</c:v>
                </c:pt>
                <c:pt idx="2">
                  <c:v>2019</c:v>
                </c:pt>
                <c:pt idx="3">
                  <c:v>2020</c:v>
                </c:pt>
                <c:pt idx="4">
                  <c:v>2021</c:v>
                </c:pt>
                <c:pt idx="5">
                  <c:v>2022</c:v>
                </c:pt>
              </c:numCache>
            </c:numRef>
          </c:cat>
          <c:val>
            <c:numRef>
              <c:f>Sheet1!$F$2:$F$9</c:f>
              <c:numCache>
                <c:formatCode>General</c:formatCode>
                <c:ptCount val="6"/>
                <c:pt idx="0">
                  <c:v>2.5</c:v>
                </c:pt>
                <c:pt idx="1">
                  <c:v>2.5</c:v>
                </c:pt>
                <c:pt idx="2">
                  <c:v>2.5</c:v>
                </c:pt>
                <c:pt idx="3">
                  <c:v>2.5</c:v>
                </c:pt>
                <c:pt idx="4">
                  <c:v>2.5</c:v>
                </c:pt>
                <c:pt idx="5">
                  <c:v>2.5</c:v>
                </c:pt>
              </c:numCache>
            </c:numRef>
          </c:val>
          <c:smooth val="0"/>
          <c:extLst>
            <c:ext xmlns:c16="http://schemas.microsoft.com/office/drawing/2014/chart" uri="{C3380CC4-5D6E-409C-BE32-E72D297353CC}">
              <c16:uniqueId val="{00000009-0BC1-4B1B-AC57-D1CDDE388D04}"/>
            </c:ext>
          </c:extLst>
        </c:ser>
        <c:dLbls>
          <c:showLegendKey val="0"/>
          <c:showVal val="0"/>
          <c:showCatName val="0"/>
          <c:showSerName val="0"/>
          <c:showPercent val="0"/>
          <c:showBubbleSize val="0"/>
        </c:dLbls>
        <c:marker val="1"/>
        <c:smooth val="0"/>
        <c:axId val="331113216"/>
        <c:axId val="331114752"/>
      </c:lineChart>
      <c:catAx>
        <c:axId val="33111321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1114752"/>
        <c:crosses val="autoZero"/>
        <c:auto val="1"/>
        <c:lblAlgn val="ctr"/>
        <c:lblOffset val="100"/>
        <c:noMultiLvlLbl val="0"/>
      </c:catAx>
      <c:valAx>
        <c:axId val="33111475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1113216"/>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legendEntry>
        <c:idx val="3"/>
        <c:delete val="1"/>
      </c:legendEntry>
      <c:legendEntry>
        <c:idx val="4"/>
        <c:delete val="1"/>
      </c:legendEntry>
      <c:layout>
        <c:manualLayout>
          <c:xMode val="edge"/>
          <c:yMode val="edge"/>
          <c:x val="0.30210629128467448"/>
          <c:y val="0.9088850537518427"/>
          <c:w val="0.39578741743065565"/>
          <c:h val="8.198252615683322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22200096683625"/>
          <c:y val="9.7387132828492137E-2"/>
          <c:w val="0.77075361005773846"/>
          <c:h val="0.53498227413516442"/>
        </c:manualLayout>
      </c:layout>
      <c:lineChart>
        <c:grouping val="standard"/>
        <c:varyColors val="0"/>
        <c:ser>
          <c:idx val="0"/>
          <c:order val="0"/>
          <c:tx>
            <c:strRef>
              <c:f>Sheet1!$B$1</c:f>
              <c:strCache>
                <c:ptCount val="1"/>
                <c:pt idx="0">
                  <c:v>Զարգացող երկրների արժույթ</c:v>
                </c:pt>
              </c:strCache>
            </c:strRef>
          </c:tx>
          <c:spPr>
            <a:ln w="28575" cap="rnd">
              <a:solidFill>
                <a:schemeClr val="accent1"/>
              </a:solidFill>
              <a:round/>
            </a:ln>
            <a:effectLst/>
          </c:spPr>
          <c:marker>
            <c:symbol val="none"/>
          </c:marker>
          <c:cat>
            <c:numRef>
              <c:f>Sheet1!$A$2:$A$668</c:f>
              <c:numCache>
                <c:formatCode>m/d/yyyy</c:formatCode>
                <c:ptCount val="667"/>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c:v>44342</c:v>
                </c:pt>
                <c:pt idx="590">
                  <c:v>44343</c:v>
                </c:pt>
                <c:pt idx="591">
                  <c:v>44347</c:v>
                </c:pt>
                <c:pt idx="592">
                  <c:v>44348</c:v>
                </c:pt>
                <c:pt idx="593">
                  <c:v>44349</c:v>
                </c:pt>
                <c:pt idx="594">
                  <c:v>44350</c:v>
                </c:pt>
                <c:pt idx="595">
                  <c:v>44351</c:v>
                </c:pt>
                <c:pt idx="596">
                  <c:v>44354</c:v>
                </c:pt>
                <c:pt idx="597">
                  <c:v>44355</c:v>
                </c:pt>
                <c:pt idx="598">
                  <c:v>44356</c:v>
                </c:pt>
                <c:pt idx="599">
                  <c:v>44357</c:v>
                </c:pt>
                <c:pt idx="600">
                  <c:v>44358</c:v>
                </c:pt>
                <c:pt idx="601">
                  <c:v>44361</c:v>
                </c:pt>
                <c:pt idx="602">
                  <c:v>44362</c:v>
                </c:pt>
                <c:pt idx="603">
                  <c:v>44363</c:v>
                </c:pt>
                <c:pt idx="604">
                  <c:v>44364</c:v>
                </c:pt>
                <c:pt idx="605">
                  <c:v>44365</c:v>
                </c:pt>
                <c:pt idx="606">
                  <c:v>44368</c:v>
                </c:pt>
                <c:pt idx="607">
                  <c:v>44369</c:v>
                </c:pt>
                <c:pt idx="608">
                  <c:v>44370</c:v>
                </c:pt>
                <c:pt idx="609">
                  <c:v>44371</c:v>
                </c:pt>
                <c:pt idx="610">
                  <c:v>44372</c:v>
                </c:pt>
                <c:pt idx="611">
                  <c:v>44375</c:v>
                </c:pt>
                <c:pt idx="612">
                  <c:v>44376</c:v>
                </c:pt>
                <c:pt idx="613">
                  <c:v>44377</c:v>
                </c:pt>
                <c:pt idx="614">
                  <c:v>44378</c:v>
                </c:pt>
                <c:pt idx="615">
                  <c:v>44379</c:v>
                </c:pt>
                <c:pt idx="616">
                  <c:v>44383</c:v>
                </c:pt>
                <c:pt idx="617">
                  <c:v>44384</c:v>
                </c:pt>
                <c:pt idx="618">
                  <c:v>44385</c:v>
                </c:pt>
                <c:pt idx="619">
                  <c:v>44386</c:v>
                </c:pt>
                <c:pt idx="620">
                  <c:v>44389</c:v>
                </c:pt>
                <c:pt idx="621">
                  <c:v>44390</c:v>
                </c:pt>
                <c:pt idx="622">
                  <c:v>44391</c:v>
                </c:pt>
                <c:pt idx="623">
                  <c:v>44392</c:v>
                </c:pt>
                <c:pt idx="624">
                  <c:v>44393</c:v>
                </c:pt>
                <c:pt idx="625">
                  <c:v>44396</c:v>
                </c:pt>
                <c:pt idx="626">
                  <c:v>44397</c:v>
                </c:pt>
                <c:pt idx="627">
                  <c:v>44398</c:v>
                </c:pt>
                <c:pt idx="628">
                  <c:v>44399</c:v>
                </c:pt>
                <c:pt idx="629">
                  <c:v>44400</c:v>
                </c:pt>
                <c:pt idx="630">
                  <c:v>44403</c:v>
                </c:pt>
                <c:pt idx="631">
                  <c:v>44404</c:v>
                </c:pt>
                <c:pt idx="632">
                  <c:v>44405</c:v>
                </c:pt>
                <c:pt idx="633">
                  <c:v>44406</c:v>
                </c:pt>
                <c:pt idx="634">
                  <c:v>44407</c:v>
                </c:pt>
                <c:pt idx="635">
                  <c:v>44410</c:v>
                </c:pt>
                <c:pt idx="636">
                  <c:v>44411</c:v>
                </c:pt>
                <c:pt idx="637">
                  <c:v>44412</c:v>
                </c:pt>
                <c:pt idx="638">
                  <c:v>44413</c:v>
                </c:pt>
                <c:pt idx="639">
                  <c:v>44414</c:v>
                </c:pt>
                <c:pt idx="640">
                  <c:v>44417</c:v>
                </c:pt>
                <c:pt idx="641">
                  <c:v>44418</c:v>
                </c:pt>
                <c:pt idx="642">
                  <c:v>44419</c:v>
                </c:pt>
                <c:pt idx="643">
                  <c:v>44420</c:v>
                </c:pt>
                <c:pt idx="644">
                  <c:v>44421</c:v>
                </c:pt>
                <c:pt idx="645">
                  <c:v>44424</c:v>
                </c:pt>
                <c:pt idx="646">
                  <c:v>44425</c:v>
                </c:pt>
                <c:pt idx="647">
                  <c:v>44426</c:v>
                </c:pt>
                <c:pt idx="648">
                  <c:v>44427</c:v>
                </c:pt>
                <c:pt idx="649">
                  <c:v>44428</c:v>
                </c:pt>
                <c:pt idx="650">
                  <c:v>44431</c:v>
                </c:pt>
                <c:pt idx="651">
                  <c:v>44432</c:v>
                </c:pt>
                <c:pt idx="652">
                  <c:v>44433</c:v>
                </c:pt>
                <c:pt idx="653">
                  <c:v>44434</c:v>
                </c:pt>
                <c:pt idx="654">
                  <c:v>44435</c:v>
                </c:pt>
                <c:pt idx="655">
                  <c:v>44438</c:v>
                </c:pt>
                <c:pt idx="656">
                  <c:v>44439</c:v>
                </c:pt>
                <c:pt idx="657">
                  <c:v>44440</c:v>
                </c:pt>
                <c:pt idx="658">
                  <c:v>44441</c:v>
                </c:pt>
                <c:pt idx="659">
                  <c:v>44442</c:v>
                </c:pt>
                <c:pt idx="660">
                  <c:v>44445</c:v>
                </c:pt>
                <c:pt idx="661">
                  <c:v>44446</c:v>
                </c:pt>
                <c:pt idx="662">
                  <c:v>44447</c:v>
                </c:pt>
                <c:pt idx="663">
                  <c:v>44448</c:v>
                </c:pt>
                <c:pt idx="664">
                  <c:v>44449</c:v>
                </c:pt>
                <c:pt idx="665">
                  <c:v>44452</c:v>
                </c:pt>
                <c:pt idx="666">
                  <c:v>44453</c:v>
                </c:pt>
              </c:numCache>
            </c:numRef>
          </c:cat>
          <c:val>
            <c:numRef>
              <c:f>Sheet1!$B$2:$B$668</c:f>
              <c:numCache>
                <c:formatCode>0</c:formatCode>
                <c:ptCount val="667"/>
                <c:pt idx="0">
                  <c:v>100</c:v>
                </c:pt>
                <c:pt idx="1">
                  <c:v>100</c:v>
                </c:pt>
                <c:pt idx="2">
                  <c:v>99</c:v>
                </c:pt>
                <c:pt idx="3">
                  <c:v>99</c:v>
                </c:pt>
                <c:pt idx="4">
                  <c:v>99</c:v>
                </c:pt>
                <c:pt idx="5">
                  <c:v>100</c:v>
                </c:pt>
                <c:pt idx="6">
                  <c:v>99</c:v>
                </c:pt>
                <c:pt idx="7">
                  <c:v>99</c:v>
                </c:pt>
                <c:pt idx="8">
                  <c:v>99</c:v>
                </c:pt>
                <c:pt idx="9">
                  <c:v>100</c:v>
                </c:pt>
                <c:pt idx="10">
                  <c:v>100</c:v>
                </c:pt>
                <c:pt idx="11">
                  <c:v>99</c:v>
                </c:pt>
                <c:pt idx="12">
                  <c:v>99</c:v>
                </c:pt>
                <c:pt idx="13">
                  <c:v>99</c:v>
                </c:pt>
                <c:pt idx="14">
                  <c:v>99</c:v>
                </c:pt>
                <c:pt idx="15">
                  <c:v>98</c:v>
                </c:pt>
                <c:pt idx="16">
                  <c:v>98</c:v>
                </c:pt>
                <c:pt idx="17">
                  <c:v>98</c:v>
                </c:pt>
                <c:pt idx="18">
                  <c:v>98</c:v>
                </c:pt>
                <c:pt idx="19">
                  <c:v>98</c:v>
                </c:pt>
                <c:pt idx="20">
                  <c:v>99</c:v>
                </c:pt>
                <c:pt idx="21">
                  <c:v>99</c:v>
                </c:pt>
                <c:pt idx="22">
                  <c:v>99</c:v>
                </c:pt>
                <c:pt idx="23">
                  <c:v>99</c:v>
                </c:pt>
                <c:pt idx="24">
                  <c:v>99</c:v>
                </c:pt>
                <c:pt idx="25">
                  <c:v>100</c:v>
                </c:pt>
                <c:pt idx="26">
                  <c:v>100</c:v>
                </c:pt>
                <c:pt idx="27">
                  <c:v>99</c:v>
                </c:pt>
                <c:pt idx="28">
                  <c:v>100</c:v>
                </c:pt>
                <c:pt idx="29">
                  <c:v>99</c:v>
                </c:pt>
                <c:pt idx="30">
                  <c:v>99</c:v>
                </c:pt>
                <c:pt idx="31">
                  <c:v>99</c:v>
                </c:pt>
                <c:pt idx="32">
                  <c:v>99</c:v>
                </c:pt>
                <c:pt idx="33">
                  <c:v>99</c:v>
                </c:pt>
                <c:pt idx="34">
                  <c:v>99</c:v>
                </c:pt>
                <c:pt idx="35">
                  <c:v>99</c:v>
                </c:pt>
                <c:pt idx="36">
                  <c:v>99</c:v>
                </c:pt>
                <c:pt idx="37">
                  <c:v>99</c:v>
                </c:pt>
                <c:pt idx="38">
                  <c:v>99</c:v>
                </c:pt>
                <c:pt idx="39">
                  <c:v>99</c:v>
                </c:pt>
                <c:pt idx="40">
                  <c:v>100</c:v>
                </c:pt>
                <c:pt idx="41">
                  <c:v>101</c:v>
                </c:pt>
                <c:pt idx="42">
                  <c:v>100</c:v>
                </c:pt>
                <c:pt idx="43">
                  <c:v>100</c:v>
                </c:pt>
                <c:pt idx="44">
                  <c:v>100</c:v>
                </c:pt>
                <c:pt idx="45">
                  <c:v>100</c:v>
                </c:pt>
                <c:pt idx="46">
                  <c:v>99</c:v>
                </c:pt>
                <c:pt idx="47">
                  <c:v>99</c:v>
                </c:pt>
                <c:pt idx="48">
                  <c:v>99</c:v>
                </c:pt>
                <c:pt idx="49">
                  <c:v>98</c:v>
                </c:pt>
                <c:pt idx="50">
                  <c:v>99</c:v>
                </c:pt>
                <c:pt idx="51">
                  <c:v>100</c:v>
                </c:pt>
                <c:pt idx="52">
                  <c:v>100</c:v>
                </c:pt>
                <c:pt idx="53">
                  <c:v>100</c:v>
                </c:pt>
                <c:pt idx="54">
                  <c:v>100</c:v>
                </c:pt>
                <c:pt idx="55">
                  <c:v>101</c:v>
                </c:pt>
                <c:pt idx="56">
                  <c:v>101</c:v>
                </c:pt>
                <c:pt idx="57">
                  <c:v>100</c:v>
                </c:pt>
                <c:pt idx="58">
                  <c:v>100</c:v>
                </c:pt>
                <c:pt idx="59">
                  <c:v>100</c:v>
                </c:pt>
                <c:pt idx="60">
                  <c:v>100</c:v>
                </c:pt>
                <c:pt idx="61">
                  <c:v>100</c:v>
                </c:pt>
                <c:pt idx="62">
                  <c:v>100</c:v>
                </c:pt>
                <c:pt idx="63">
                  <c:v>100</c:v>
                </c:pt>
                <c:pt idx="64">
                  <c:v>99</c:v>
                </c:pt>
                <c:pt idx="65">
                  <c:v>100</c:v>
                </c:pt>
                <c:pt idx="66">
                  <c:v>100</c:v>
                </c:pt>
                <c:pt idx="67">
                  <c:v>100</c:v>
                </c:pt>
                <c:pt idx="68">
                  <c:v>100</c:v>
                </c:pt>
                <c:pt idx="69">
                  <c:v>100</c:v>
                </c:pt>
                <c:pt idx="70">
                  <c:v>100</c:v>
                </c:pt>
                <c:pt idx="71">
                  <c:v>100</c:v>
                </c:pt>
                <c:pt idx="72">
                  <c:v>100</c:v>
                </c:pt>
                <c:pt idx="73">
                  <c:v>100</c:v>
                </c:pt>
                <c:pt idx="74">
                  <c:v>101</c:v>
                </c:pt>
                <c:pt idx="75">
                  <c:v>101</c:v>
                </c:pt>
                <c:pt idx="76">
                  <c:v>101</c:v>
                </c:pt>
                <c:pt idx="77">
                  <c:v>101</c:v>
                </c:pt>
                <c:pt idx="78">
                  <c:v>101</c:v>
                </c:pt>
                <c:pt idx="79">
                  <c:v>101</c:v>
                </c:pt>
                <c:pt idx="80">
                  <c:v>101</c:v>
                </c:pt>
                <c:pt idx="81">
                  <c:v>102</c:v>
                </c:pt>
                <c:pt idx="82">
                  <c:v>102</c:v>
                </c:pt>
                <c:pt idx="83">
                  <c:v>102</c:v>
                </c:pt>
                <c:pt idx="84">
                  <c:v>102</c:v>
                </c:pt>
                <c:pt idx="85">
                  <c:v>102</c:v>
                </c:pt>
                <c:pt idx="86">
                  <c:v>102</c:v>
                </c:pt>
                <c:pt idx="87">
                  <c:v>102</c:v>
                </c:pt>
                <c:pt idx="88">
                  <c:v>103</c:v>
                </c:pt>
                <c:pt idx="89">
                  <c:v>103</c:v>
                </c:pt>
                <c:pt idx="90">
                  <c:v>102</c:v>
                </c:pt>
                <c:pt idx="91">
                  <c:v>102</c:v>
                </c:pt>
                <c:pt idx="92">
                  <c:v>103</c:v>
                </c:pt>
                <c:pt idx="93">
                  <c:v>102</c:v>
                </c:pt>
                <c:pt idx="94">
                  <c:v>102</c:v>
                </c:pt>
                <c:pt idx="95">
                  <c:v>103</c:v>
                </c:pt>
                <c:pt idx="96">
                  <c:v>103</c:v>
                </c:pt>
                <c:pt idx="97">
                  <c:v>102</c:v>
                </c:pt>
                <c:pt idx="98">
                  <c:v>102</c:v>
                </c:pt>
                <c:pt idx="99">
                  <c:v>102</c:v>
                </c:pt>
                <c:pt idx="100">
                  <c:v>102</c:v>
                </c:pt>
                <c:pt idx="101">
                  <c:v>102</c:v>
                </c:pt>
                <c:pt idx="102">
                  <c:v>102</c:v>
                </c:pt>
                <c:pt idx="103">
                  <c:v>102</c:v>
                </c:pt>
                <c:pt idx="104">
                  <c:v>101</c:v>
                </c:pt>
                <c:pt idx="105">
                  <c:v>102</c:v>
                </c:pt>
                <c:pt idx="106">
                  <c:v>102</c:v>
                </c:pt>
                <c:pt idx="107">
                  <c:v>102</c:v>
                </c:pt>
                <c:pt idx="108">
                  <c:v>102</c:v>
                </c:pt>
                <c:pt idx="109">
                  <c:v>101</c:v>
                </c:pt>
                <c:pt idx="110">
                  <c:v>101</c:v>
                </c:pt>
                <c:pt idx="111">
                  <c:v>100</c:v>
                </c:pt>
                <c:pt idx="112">
                  <c:v>101</c:v>
                </c:pt>
                <c:pt idx="113">
                  <c:v>100</c:v>
                </c:pt>
                <c:pt idx="114">
                  <c:v>101</c:v>
                </c:pt>
                <c:pt idx="115">
                  <c:v>100</c:v>
                </c:pt>
                <c:pt idx="116">
                  <c:v>100</c:v>
                </c:pt>
                <c:pt idx="117">
                  <c:v>100</c:v>
                </c:pt>
                <c:pt idx="118">
                  <c:v>100</c:v>
                </c:pt>
                <c:pt idx="119">
                  <c:v>100</c:v>
                </c:pt>
                <c:pt idx="120">
                  <c:v>100</c:v>
                </c:pt>
                <c:pt idx="121">
                  <c:v>100</c:v>
                </c:pt>
                <c:pt idx="122">
                  <c:v>100</c:v>
                </c:pt>
                <c:pt idx="123">
                  <c:v>101</c:v>
                </c:pt>
                <c:pt idx="124">
                  <c:v>100</c:v>
                </c:pt>
                <c:pt idx="125">
                  <c:v>100</c:v>
                </c:pt>
                <c:pt idx="126">
                  <c:v>100</c:v>
                </c:pt>
                <c:pt idx="127">
                  <c:v>100</c:v>
                </c:pt>
                <c:pt idx="128">
                  <c:v>100</c:v>
                </c:pt>
                <c:pt idx="129">
                  <c:v>100</c:v>
                </c:pt>
                <c:pt idx="130">
                  <c:v>100</c:v>
                </c:pt>
                <c:pt idx="131">
                  <c:v>100</c:v>
                </c:pt>
                <c:pt idx="132">
                  <c:v>100</c:v>
                </c:pt>
                <c:pt idx="133">
                  <c:v>100</c:v>
                </c:pt>
                <c:pt idx="134">
                  <c:v>100</c:v>
                </c:pt>
                <c:pt idx="135">
                  <c:v>101</c:v>
                </c:pt>
                <c:pt idx="136">
                  <c:v>101</c:v>
                </c:pt>
                <c:pt idx="137">
                  <c:v>101</c:v>
                </c:pt>
                <c:pt idx="138">
                  <c:v>101</c:v>
                </c:pt>
                <c:pt idx="139">
                  <c:v>101</c:v>
                </c:pt>
                <c:pt idx="140">
                  <c:v>102</c:v>
                </c:pt>
                <c:pt idx="141">
                  <c:v>102</c:v>
                </c:pt>
                <c:pt idx="142">
                  <c:v>103</c:v>
                </c:pt>
                <c:pt idx="143">
                  <c:v>103</c:v>
                </c:pt>
                <c:pt idx="144">
                  <c:v>103</c:v>
                </c:pt>
                <c:pt idx="145">
                  <c:v>102</c:v>
                </c:pt>
                <c:pt idx="146">
                  <c:v>103</c:v>
                </c:pt>
                <c:pt idx="147">
                  <c:v>103</c:v>
                </c:pt>
                <c:pt idx="148">
                  <c:v>103</c:v>
                </c:pt>
                <c:pt idx="149">
                  <c:v>104</c:v>
                </c:pt>
                <c:pt idx="150">
                  <c:v>103</c:v>
                </c:pt>
                <c:pt idx="151">
                  <c:v>103</c:v>
                </c:pt>
                <c:pt idx="152">
                  <c:v>104</c:v>
                </c:pt>
                <c:pt idx="153">
                  <c:v>104</c:v>
                </c:pt>
                <c:pt idx="154">
                  <c:v>104</c:v>
                </c:pt>
                <c:pt idx="155">
                  <c:v>104</c:v>
                </c:pt>
                <c:pt idx="156">
                  <c:v>105</c:v>
                </c:pt>
                <c:pt idx="157">
                  <c:v>105</c:v>
                </c:pt>
                <c:pt idx="158">
                  <c:v>105</c:v>
                </c:pt>
                <c:pt idx="159">
                  <c:v>105</c:v>
                </c:pt>
                <c:pt idx="160">
                  <c:v>105</c:v>
                </c:pt>
                <c:pt idx="161">
                  <c:v>105</c:v>
                </c:pt>
                <c:pt idx="162">
                  <c:v>106</c:v>
                </c:pt>
                <c:pt idx="163">
                  <c:v>105</c:v>
                </c:pt>
                <c:pt idx="164">
                  <c:v>104</c:v>
                </c:pt>
                <c:pt idx="165">
                  <c:v>104</c:v>
                </c:pt>
                <c:pt idx="166">
                  <c:v>104</c:v>
                </c:pt>
                <c:pt idx="167">
                  <c:v>104</c:v>
                </c:pt>
                <c:pt idx="168">
                  <c:v>104</c:v>
                </c:pt>
                <c:pt idx="169">
                  <c:v>104</c:v>
                </c:pt>
                <c:pt idx="170">
                  <c:v>103</c:v>
                </c:pt>
                <c:pt idx="171">
                  <c:v>103</c:v>
                </c:pt>
                <c:pt idx="172">
                  <c:v>103</c:v>
                </c:pt>
                <c:pt idx="173">
                  <c:v>103</c:v>
                </c:pt>
                <c:pt idx="174">
                  <c:v>104</c:v>
                </c:pt>
                <c:pt idx="175">
                  <c:v>104</c:v>
                </c:pt>
                <c:pt idx="176">
                  <c:v>104</c:v>
                </c:pt>
                <c:pt idx="177">
                  <c:v>104</c:v>
                </c:pt>
                <c:pt idx="178">
                  <c:v>104</c:v>
                </c:pt>
                <c:pt idx="179">
                  <c:v>104</c:v>
                </c:pt>
                <c:pt idx="180">
                  <c:v>104</c:v>
                </c:pt>
                <c:pt idx="181">
                  <c:v>104</c:v>
                </c:pt>
                <c:pt idx="182">
                  <c:v>105</c:v>
                </c:pt>
                <c:pt idx="183">
                  <c:v>105</c:v>
                </c:pt>
                <c:pt idx="184">
                  <c:v>105</c:v>
                </c:pt>
                <c:pt idx="185">
                  <c:v>104</c:v>
                </c:pt>
                <c:pt idx="186">
                  <c:v>104</c:v>
                </c:pt>
                <c:pt idx="187">
                  <c:v>104</c:v>
                </c:pt>
                <c:pt idx="188">
                  <c:v>105</c:v>
                </c:pt>
                <c:pt idx="189">
                  <c:v>104</c:v>
                </c:pt>
                <c:pt idx="190">
                  <c:v>104</c:v>
                </c:pt>
                <c:pt idx="191">
                  <c:v>104</c:v>
                </c:pt>
                <c:pt idx="192">
                  <c:v>104</c:v>
                </c:pt>
                <c:pt idx="193">
                  <c:v>104</c:v>
                </c:pt>
                <c:pt idx="194">
                  <c:v>104</c:v>
                </c:pt>
                <c:pt idx="195">
                  <c:v>103</c:v>
                </c:pt>
                <c:pt idx="196">
                  <c:v>103</c:v>
                </c:pt>
                <c:pt idx="197">
                  <c:v>103</c:v>
                </c:pt>
                <c:pt idx="198">
                  <c:v>103</c:v>
                </c:pt>
                <c:pt idx="199">
                  <c:v>103</c:v>
                </c:pt>
                <c:pt idx="200">
                  <c:v>103</c:v>
                </c:pt>
                <c:pt idx="201">
                  <c:v>103</c:v>
                </c:pt>
                <c:pt idx="202">
                  <c:v>103</c:v>
                </c:pt>
                <c:pt idx="203">
                  <c:v>103</c:v>
                </c:pt>
                <c:pt idx="204">
                  <c:v>103</c:v>
                </c:pt>
                <c:pt idx="205">
                  <c:v>103</c:v>
                </c:pt>
                <c:pt idx="206">
                  <c:v>103</c:v>
                </c:pt>
                <c:pt idx="207">
                  <c:v>103</c:v>
                </c:pt>
                <c:pt idx="208">
                  <c:v>103</c:v>
                </c:pt>
                <c:pt idx="209">
                  <c:v>103</c:v>
                </c:pt>
                <c:pt idx="210">
                  <c:v>103</c:v>
                </c:pt>
                <c:pt idx="211">
                  <c:v>104</c:v>
                </c:pt>
                <c:pt idx="212">
                  <c:v>104</c:v>
                </c:pt>
                <c:pt idx="213">
                  <c:v>105</c:v>
                </c:pt>
                <c:pt idx="214">
                  <c:v>105</c:v>
                </c:pt>
                <c:pt idx="215">
                  <c:v>105</c:v>
                </c:pt>
                <c:pt idx="216">
                  <c:v>104</c:v>
                </c:pt>
                <c:pt idx="217">
                  <c:v>105</c:v>
                </c:pt>
                <c:pt idx="218">
                  <c:v>105</c:v>
                </c:pt>
                <c:pt idx="219">
                  <c:v>105</c:v>
                </c:pt>
                <c:pt idx="220">
                  <c:v>105</c:v>
                </c:pt>
                <c:pt idx="221">
                  <c:v>105</c:v>
                </c:pt>
                <c:pt idx="222">
                  <c:v>105</c:v>
                </c:pt>
                <c:pt idx="223">
                  <c:v>105</c:v>
                </c:pt>
                <c:pt idx="224">
                  <c:v>106</c:v>
                </c:pt>
                <c:pt idx="225">
                  <c:v>106</c:v>
                </c:pt>
                <c:pt idx="226">
                  <c:v>105</c:v>
                </c:pt>
                <c:pt idx="227">
                  <c:v>105</c:v>
                </c:pt>
                <c:pt idx="228">
                  <c:v>105</c:v>
                </c:pt>
                <c:pt idx="229">
                  <c:v>105</c:v>
                </c:pt>
                <c:pt idx="230">
                  <c:v>104</c:v>
                </c:pt>
                <c:pt idx="231">
                  <c:v>104</c:v>
                </c:pt>
                <c:pt idx="232">
                  <c:v>104</c:v>
                </c:pt>
                <c:pt idx="233">
                  <c:v>104</c:v>
                </c:pt>
                <c:pt idx="234">
                  <c:v>104</c:v>
                </c:pt>
                <c:pt idx="235">
                  <c:v>103</c:v>
                </c:pt>
                <c:pt idx="236">
                  <c:v>103</c:v>
                </c:pt>
                <c:pt idx="237">
                  <c:v>103</c:v>
                </c:pt>
                <c:pt idx="238">
                  <c:v>103</c:v>
                </c:pt>
                <c:pt idx="239">
                  <c:v>103</c:v>
                </c:pt>
                <c:pt idx="240">
                  <c:v>103</c:v>
                </c:pt>
                <c:pt idx="241">
                  <c:v>103</c:v>
                </c:pt>
                <c:pt idx="242">
                  <c:v>103</c:v>
                </c:pt>
                <c:pt idx="243">
                  <c:v>103</c:v>
                </c:pt>
                <c:pt idx="244">
                  <c:v>103</c:v>
                </c:pt>
                <c:pt idx="245">
                  <c:v>103</c:v>
                </c:pt>
                <c:pt idx="246">
                  <c:v>103</c:v>
                </c:pt>
                <c:pt idx="247">
                  <c:v>103</c:v>
                </c:pt>
                <c:pt idx="248">
                  <c:v>103</c:v>
                </c:pt>
                <c:pt idx="249">
                  <c:v>103</c:v>
                </c:pt>
                <c:pt idx="250">
                  <c:v>103</c:v>
                </c:pt>
                <c:pt idx="251">
                  <c:v>103</c:v>
                </c:pt>
                <c:pt idx="252">
                  <c:v>103</c:v>
                </c:pt>
                <c:pt idx="253">
                  <c:v>103</c:v>
                </c:pt>
                <c:pt idx="254">
                  <c:v>103</c:v>
                </c:pt>
                <c:pt idx="255">
                  <c:v>103</c:v>
                </c:pt>
                <c:pt idx="256">
                  <c:v>104</c:v>
                </c:pt>
                <c:pt idx="257">
                  <c:v>103</c:v>
                </c:pt>
                <c:pt idx="258">
                  <c:v>104</c:v>
                </c:pt>
                <c:pt idx="259">
                  <c:v>104</c:v>
                </c:pt>
                <c:pt idx="260">
                  <c:v>105</c:v>
                </c:pt>
                <c:pt idx="261">
                  <c:v>105</c:v>
                </c:pt>
                <c:pt idx="262">
                  <c:v>105</c:v>
                </c:pt>
                <c:pt idx="263">
                  <c:v>105</c:v>
                </c:pt>
                <c:pt idx="264">
                  <c:v>105</c:v>
                </c:pt>
                <c:pt idx="265">
                  <c:v>105</c:v>
                </c:pt>
                <c:pt idx="266">
                  <c:v>106</c:v>
                </c:pt>
                <c:pt idx="267">
                  <c:v>106</c:v>
                </c:pt>
                <c:pt idx="268">
                  <c:v>105</c:v>
                </c:pt>
                <c:pt idx="269">
                  <c:v>106</c:v>
                </c:pt>
                <c:pt idx="270">
                  <c:v>106</c:v>
                </c:pt>
                <c:pt idx="271">
                  <c:v>105</c:v>
                </c:pt>
                <c:pt idx="272">
                  <c:v>106</c:v>
                </c:pt>
                <c:pt idx="273">
                  <c:v>106</c:v>
                </c:pt>
                <c:pt idx="274">
                  <c:v>106</c:v>
                </c:pt>
                <c:pt idx="275">
                  <c:v>107</c:v>
                </c:pt>
                <c:pt idx="276">
                  <c:v>107</c:v>
                </c:pt>
                <c:pt idx="277">
                  <c:v>107</c:v>
                </c:pt>
                <c:pt idx="278">
                  <c:v>107</c:v>
                </c:pt>
                <c:pt idx="279">
                  <c:v>108</c:v>
                </c:pt>
                <c:pt idx="280">
                  <c:v>108</c:v>
                </c:pt>
                <c:pt idx="281">
                  <c:v>108</c:v>
                </c:pt>
                <c:pt idx="282">
                  <c:v>108</c:v>
                </c:pt>
                <c:pt idx="283">
                  <c:v>107</c:v>
                </c:pt>
                <c:pt idx="284">
                  <c:v>108</c:v>
                </c:pt>
                <c:pt idx="285">
                  <c:v>109</c:v>
                </c:pt>
                <c:pt idx="286">
                  <c:v>109</c:v>
                </c:pt>
                <c:pt idx="287">
                  <c:v>111</c:v>
                </c:pt>
                <c:pt idx="288">
                  <c:v>110</c:v>
                </c:pt>
                <c:pt idx="289">
                  <c:v>112</c:v>
                </c:pt>
                <c:pt idx="290">
                  <c:v>113</c:v>
                </c:pt>
                <c:pt idx="291">
                  <c:v>113</c:v>
                </c:pt>
                <c:pt idx="292">
                  <c:v>114</c:v>
                </c:pt>
                <c:pt idx="293">
                  <c:v>115</c:v>
                </c:pt>
                <c:pt idx="294">
                  <c:v>119</c:v>
                </c:pt>
                <c:pt idx="295">
                  <c:v>118</c:v>
                </c:pt>
                <c:pt idx="296">
                  <c:v>118</c:v>
                </c:pt>
                <c:pt idx="297">
                  <c:v>119</c:v>
                </c:pt>
                <c:pt idx="298">
                  <c:v>118</c:v>
                </c:pt>
                <c:pt idx="299">
                  <c:v>117</c:v>
                </c:pt>
                <c:pt idx="300">
                  <c:v>116</c:v>
                </c:pt>
                <c:pt idx="301">
                  <c:v>117</c:v>
                </c:pt>
                <c:pt idx="302">
                  <c:v>118</c:v>
                </c:pt>
                <c:pt idx="303">
                  <c:v>118</c:v>
                </c:pt>
                <c:pt idx="304">
                  <c:v>119</c:v>
                </c:pt>
                <c:pt idx="305">
                  <c:v>119</c:v>
                </c:pt>
                <c:pt idx="306">
                  <c:v>120</c:v>
                </c:pt>
                <c:pt idx="307">
                  <c:v>119</c:v>
                </c:pt>
                <c:pt idx="308">
                  <c:v>119</c:v>
                </c:pt>
                <c:pt idx="309">
                  <c:v>118</c:v>
                </c:pt>
                <c:pt idx="310">
                  <c:v>117</c:v>
                </c:pt>
                <c:pt idx="311">
                  <c:v>117</c:v>
                </c:pt>
                <c:pt idx="312">
                  <c:v>117</c:v>
                </c:pt>
                <c:pt idx="313">
                  <c:v>119</c:v>
                </c:pt>
                <c:pt idx="314">
                  <c:v>118</c:v>
                </c:pt>
                <c:pt idx="315">
                  <c:v>118</c:v>
                </c:pt>
                <c:pt idx="316">
                  <c:v>119</c:v>
                </c:pt>
                <c:pt idx="317">
                  <c:v>120</c:v>
                </c:pt>
                <c:pt idx="318">
                  <c:v>120</c:v>
                </c:pt>
                <c:pt idx="319">
                  <c:v>120</c:v>
                </c:pt>
                <c:pt idx="320">
                  <c:v>120</c:v>
                </c:pt>
                <c:pt idx="321">
                  <c:v>119</c:v>
                </c:pt>
                <c:pt idx="322">
                  <c:v>118</c:v>
                </c:pt>
                <c:pt idx="323">
                  <c:v>119</c:v>
                </c:pt>
                <c:pt idx="324">
                  <c:v>119</c:v>
                </c:pt>
                <c:pt idx="325">
                  <c:v>119</c:v>
                </c:pt>
                <c:pt idx="326">
                  <c:v>119</c:v>
                </c:pt>
                <c:pt idx="327">
                  <c:v>120</c:v>
                </c:pt>
                <c:pt idx="328">
                  <c:v>120</c:v>
                </c:pt>
                <c:pt idx="329">
                  <c:v>119</c:v>
                </c:pt>
                <c:pt idx="330">
                  <c:v>119</c:v>
                </c:pt>
                <c:pt idx="331">
                  <c:v>119</c:v>
                </c:pt>
                <c:pt idx="332">
                  <c:v>120</c:v>
                </c:pt>
                <c:pt idx="333">
                  <c:v>119</c:v>
                </c:pt>
                <c:pt idx="334">
                  <c:v>120</c:v>
                </c:pt>
                <c:pt idx="335">
                  <c:v>118</c:v>
                </c:pt>
                <c:pt idx="336">
                  <c:v>118</c:v>
                </c:pt>
                <c:pt idx="337">
                  <c:v>117</c:v>
                </c:pt>
                <c:pt idx="338">
                  <c:v>117</c:v>
                </c:pt>
                <c:pt idx="339">
                  <c:v>117</c:v>
                </c:pt>
                <c:pt idx="340">
                  <c:v>115</c:v>
                </c:pt>
                <c:pt idx="341">
                  <c:v>116</c:v>
                </c:pt>
                <c:pt idx="342">
                  <c:v>115</c:v>
                </c:pt>
                <c:pt idx="343">
                  <c:v>113</c:v>
                </c:pt>
                <c:pt idx="344">
                  <c:v>113</c:v>
                </c:pt>
                <c:pt idx="345">
                  <c:v>113</c:v>
                </c:pt>
                <c:pt idx="346">
                  <c:v>112</c:v>
                </c:pt>
                <c:pt idx="347">
                  <c:v>112</c:v>
                </c:pt>
                <c:pt idx="348">
                  <c:v>112</c:v>
                </c:pt>
                <c:pt idx="349">
                  <c:v>112</c:v>
                </c:pt>
                <c:pt idx="350">
                  <c:v>114</c:v>
                </c:pt>
                <c:pt idx="351">
                  <c:v>114</c:v>
                </c:pt>
                <c:pt idx="352">
                  <c:v>113</c:v>
                </c:pt>
                <c:pt idx="353">
                  <c:v>114</c:v>
                </c:pt>
                <c:pt idx="354">
                  <c:v>114</c:v>
                </c:pt>
                <c:pt idx="355">
                  <c:v>115</c:v>
                </c:pt>
                <c:pt idx="356">
                  <c:v>115</c:v>
                </c:pt>
                <c:pt idx="357">
                  <c:v>115</c:v>
                </c:pt>
                <c:pt idx="358">
                  <c:v>114</c:v>
                </c:pt>
                <c:pt idx="359">
                  <c:v>115</c:v>
                </c:pt>
                <c:pt idx="360">
                  <c:v>115</c:v>
                </c:pt>
                <c:pt idx="361">
                  <c:v>116</c:v>
                </c:pt>
                <c:pt idx="362">
                  <c:v>116</c:v>
                </c:pt>
                <c:pt idx="363">
                  <c:v>116</c:v>
                </c:pt>
                <c:pt idx="364">
                  <c:v>115</c:v>
                </c:pt>
                <c:pt idx="365">
                  <c:v>115</c:v>
                </c:pt>
                <c:pt idx="366">
                  <c:v>115</c:v>
                </c:pt>
                <c:pt idx="367">
                  <c:v>115</c:v>
                </c:pt>
                <c:pt idx="368">
                  <c:v>115</c:v>
                </c:pt>
                <c:pt idx="369">
                  <c:v>115</c:v>
                </c:pt>
                <c:pt idx="370">
                  <c:v>115</c:v>
                </c:pt>
                <c:pt idx="371">
                  <c:v>114</c:v>
                </c:pt>
                <c:pt idx="372">
                  <c:v>115</c:v>
                </c:pt>
                <c:pt idx="373">
                  <c:v>114</c:v>
                </c:pt>
                <c:pt idx="374">
                  <c:v>114</c:v>
                </c:pt>
                <c:pt idx="375">
                  <c:v>114</c:v>
                </c:pt>
                <c:pt idx="376">
                  <c:v>114</c:v>
                </c:pt>
                <c:pt idx="377">
                  <c:v>114</c:v>
                </c:pt>
                <c:pt idx="378">
                  <c:v>113</c:v>
                </c:pt>
                <c:pt idx="379">
                  <c:v>113</c:v>
                </c:pt>
                <c:pt idx="380">
                  <c:v>113</c:v>
                </c:pt>
                <c:pt idx="381">
                  <c:v>113</c:v>
                </c:pt>
                <c:pt idx="382">
                  <c:v>113</c:v>
                </c:pt>
                <c:pt idx="383">
                  <c:v>113</c:v>
                </c:pt>
                <c:pt idx="384">
                  <c:v>113</c:v>
                </c:pt>
                <c:pt idx="385">
                  <c:v>113</c:v>
                </c:pt>
                <c:pt idx="386">
                  <c:v>113</c:v>
                </c:pt>
                <c:pt idx="387">
                  <c:v>114</c:v>
                </c:pt>
                <c:pt idx="388">
                  <c:v>114</c:v>
                </c:pt>
                <c:pt idx="389">
                  <c:v>114</c:v>
                </c:pt>
                <c:pt idx="390">
                  <c:v>115</c:v>
                </c:pt>
                <c:pt idx="391">
                  <c:v>115</c:v>
                </c:pt>
                <c:pt idx="392">
                  <c:v>115</c:v>
                </c:pt>
                <c:pt idx="393">
                  <c:v>116</c:v>
                </c:pt>
                <c:pt idx="394">
                  <c:v>116</c:v>
                </c:pt>
                <c:pt idx="395">
                  <c:v>116</c:v>
                </c:pt>
                <c:pt idx="396">
                  <c:v>116</c:v>
                </c:pt>
                <c:pt idx="397">
                  <c:v>116</c:v>
                </c:pt>
                <c:pt idx="398">
                  <c:v>116</c:v>
                </c:pt>
                <c:pt idx="399">
                  <c:v>116</c:v>
                </c:pt>
                <c:pt idx="400">
                  <c:v>116</c:v>
                </c:pt>
                <c:pt idx="401">
                  <c:v>116</c:v>
                </c:pt>
                <c:pt idx="402">
                  <c:v>116</c:v>
                </c:pt>
                <c:pt idx="403">
                  <c:v>116</c:v>
                </c:pt>
                <c:pt idx="404">
                  <c:v>116</c:v>
                </c:pt>
                <c:pt idx="405">
                  <c:v>116</c:v>
                </c:pt>
                <c:pt idx="406">
                  <c:v>118</c:v>
                </c:pt>
                <c:pt idx="407">
                  <c:v>117</c:v>
                </c:pt>
                <c:pt idx="408">
                  <c:v>118</c:v>
                </c:pt>
                <c:pt idx="409">
                  <c:v>117</c:v>
                </c:pt>
                <c:pt idx="410">
                  <c:v>117</c:v>
                </c:pt>
                <c:pt idx="411">
                  <c:v>117</c:v>
                </c:pt>
                <c:pt idx="412">
                  <c:v>117</c:v>
                </c:pt>
                <c:pt idx="413">
                  <c:v>116</c:v>
                </c:pt>
                <c:pt idx="414">
                  <c:v>118</c:v>
                </c:pt>
                <c:pt idx="415">
                  <c:v>117</c:v>
                </c:pt>
                <c:pt idx="416">
                  <c:v>117</c:v>
                </c:pt>
                <c:pt idx="417">
                  <c:v>118</c:v>
                </c:pt>
                <c:pt idx="418">
                  <c:v>118</c:v>
                </c:pt>
                <c:pt idx="419">
                  <c:v>118</c:v>
                </c:pt>
                <c:pt idx="420">
                  <c:v>118</c:v>
                </c:pt>
                <c:pt idx="421">
                  <c:v>118</c:v>
                </c:pt>
                <c:pt idx="422">
                  <c:v>116</c:v>
                </c:pt>
                <c:pt idx="423">
                  <c:v>115</c:v>
                </c:pt>
                <c:pt idx="424">
                  <c:v>115</c:v>
                </c:pt>
                <c:pt idx="425">
                  <c:v>115</c:v>
                </c:pt>
                <c:pt idx="426">
                  <c:v>114</c:v>
                </c:pt>
                <c:pt idx="427">
                  <c:v>114</c:v>
                </c:pt>
                <c:pt idx="428">
                  <c:v>115</c:v>
                </c:pt>
                <c:pt idx="429">
                  <c:v>115</c:v>
                </c:pt>
                <c:pt idx="430">
                  <c:v>116</c:v>
                </c:pt>
                <c:pt idx="431">
                  <c:v>116</c:v>
                </c:pt>
                <c:pt idx="432">
                  <c:v>115</c:v>
                </c:pt>
                <c:pt idx="433">
                  <c:v>116</c:v>
                </c:pt>
                <c:pt idx="434">
                  <c:v>116</c:v>
                </c:pt>
                <c:pt idx="435">
                  <c:v>117</c:v>
                </c:pt>
                <c:pt idx="436">
                  <c:v>116</c:v>
                </c:pt>
                <c:pt idx="437">
                  <c:v>116</c:v>
                </c:pt>
                <c:pt idx="438">
                  <c:v>116</c:v>
                </c:pt>
                <c:pt idx="439">
                  <c:v>115</c:v>
                </c:pt>
                <c:pt idx="440">
                  <c:v>116</c:v>
                </c:pt>
                <c:pt idx="441">
                  <c:v>116</c:v>
                </c:pt>
                <c:pt idx="442">
                  <c:v>116</c:v>
                </c:pt>
                <c:pt idx="443">
                  <c:v>116</c:v>
                </c:pt>
                <c:pt idx="444">
                  <c:v>116</c:v>
                </c:pt>
                <c:pt idx="445">
                  <c:v>117</c:v>
                </c:pt>
                <c:pt idx="446">
                  <c:v>116</c:v>
                </c:pt>
                <c:pt idx="447">
                  <c:v>116</c:v>
                </c:pt>
                <c:pt idx="448">
                  <c:v>115</c:v>
                </c:pt>
                <c:pt idx="449">
                  <c:v>115</c:v>
                </c:pt>
                <c:pt idx="450">
                  <c:v>115</c:v>
                </c:pt>
                <c:pt idx="451">
                  <c:v>115</c:v>
                </c:pt>
                <c:pt idx="452">
                  <c:v>115</c:v>
                </c:pt>
                <c:pt idx="453" formatCode="0.000">
                  <c:v>114.667</c:v>
                </c:pt>
                <c:pt idx="454" formatCode="0.000">
                  <c:v>113.428</c:v>
                </c:pt>
                <c:pt idx="455" formatCode="0.000">
                  <c:v>112.524</c:v>
                </c:pt>
                <c:pt idx="456" formatCode="0.000">
                  <c:v>111.875</c:v>
                </c:pt>
                <c:pt idx="457" formatCode="0.000">
                  <c:v>111.367</c:v>
                </c:pt>
                <c:pt idx="458" formatCode="0.000">
                  <c:v>111.248</c:v>
                </c:pt>
                <c:pt idx="459" formatCode="0.000">
                  <c:v>111.30500000000001</c:v>
                </c:pt>
                <c:pt idx="460" formatCode="0.000">
                  <c:v>111.497</c:v>
                </c:pt>
                <c:pt idx="461" formatCode="0.000">
                  <c:v>111.248</c:v>
                </c:pt>
                <c:pt idx="462" formatCode="0.000">
                  <c:v>110.834</c:v>
                </c:pt>
                <c:pt idx="463" formatCode="0.000">
                  <c:v>110.66</c:v>
                </c:pt>
                <c:pt idx="464" formatCode="0.000">
                  <c:v>110.607</c:v>
                </c:pt>
                <c:pt idx="465" formatCode="0.000">
                  <c:v>110.19199999999999</c:v>
                </c:pt>
                <c:pt idx="466" formatCode="0.000">
                  <c:v>110.509</c:v>
                </c:pt>
                <c:pt idx="467" formatCode="0.000">
                  <c:v>111.071</c:v>
                </c:pt>
                <c:pt idx="468" formatCode="0.000">
                  <c:v>110.786</c:v>
                </c:pt>
                <c:pt idx="469" formatCode="0.000">
                  <c:v>110.294</c:v>
                </c:pt>
                <c:pt idx="470" formatCode="0.000">
                  <c:v>110.325</c:v>
                </c:pt>
                <c:pt idx="471" formatCode="0.000">
                  <c:v>110.49</c:v>
                </c:pt>
                <c:pt idx="472" formatCode="0.000">
                  <c:v>110.48399999999999</c:v>
                </c:pt>
                <c:pt idx="473" formatCode="0.000">
                  <c:v>109.703</c:v>
                </c:pt>
                <c:pt idx="474" formatCode="0.000">
                  <c:v>109.752</c:v>
                </c:pt>
                <c:pt idx="475" formatCode="0.000">
                  <c:v>108.913</c:v>
                </c:pt>
                <c:pt idx="476" formatCode="0.000">
                  <c:v>108.839</c:v>
                </c:pt>
                <c:pt idx="477" formatCode="0.000">
                  <c:v>108.73399999999999</c:v>
                </c:pt>
                <c:pt idx="478" formatCode="0.000">
                  <c:v>108.42</c:v>
                </c:pt>
                <c:pt idx="479" formatCode="0.000">
                  <c:v>108.715</c:v>
                </c:pt>
                <c:pt idx="480" formatCode="0.000">
                  <c:v>108.273</c:v>
                </c:pt>
                <c:pt idx="481" formatCode="0.000">
                  <c:v>108.52</c:v>
                </c:pt>
                <c:pt idx="482" formatCode="0.000">
                  <c:v>108.715</c:v>
                </c:pt>
                <c:pt idx="483" formatCode="0.000">
                  <c:v>108.224</c:v>
                </c:pt>
                <c:pt idx="484" formatCode="0.000">
                  <c:v>107.931</c:v>
                </c:pt>
                <c:pt idx="485" formatCode="0.000">
                  <c:v>107.571</c:v>
                </c:pt>
                <c:pt idx="486" formatCode="0.000">
                  <c:v>107.601</c:v>
                </c:pt>
                <c:pt idx="487" formatCode="0.000">
                  <c:v>108.282</c:v>
                </c:pt>
                <c:pt idx="488" formatCode="0.000">
                  <c:v>108.492</c:v>
                </c:pt>
                <c:pt idx="489" formatCode="0.000">
                  <c:v>108.124</c:v>
                </c:pt>
                <c:pt idx="490" formatCode="0.000">
                  <c:v>107.941</c:v>
                </c:pt>
                <c:pt idx="491" formatCode="0.000">
                  <c:v>107.83</c:v>
                </c:pt>
                <c:pt idx="492" formatCode="0.000">
                  <c:v>107.767</c:v>
                </c:pt>
                <c:pt idx="493" formatCode="0.000">
                  <c:v>107.453</c:v>
                </c:pt>
                <c:pt idx="494" formatCode="0.000">
                  <c:v>107.38200000000001</c:v>
                </c:pt>
                <c:pt idx="495" formatCode="0.000">
                  <c:v>108.265</c:v>
                </c:pt>
                <c:pt idx="496" formatCode="0.000">
                  <c:v>109.163</c:v>
                </c:pt>
                <c:pt idx="497" formatCode="0.000">
                  <c:v>108.05500000000001</c:v>
                </c:pt>
                <c:pt idx="498" formatCode="0.000">
                  <c:v>108.36499999999999</c:v>
                </c:pt>
                <c:pt idx="499" formatCode="0.000">
                  <c:v>107.657</c:v>
                </c:pt>
                <c:pt idx="500" formatCode="0.000">
                  <c:v>108.425</c:v>
                </c:pt>
                <c:pt idx="501" formatCode="0.000">
                  <c:v>108.282</c:v>
                </c:pt>
                <c:pt idx="502" formatCode="0.000">
                  <c:v>108.175</c:v>
                </c:pt>
                <c:pt idx="503" formatCode="0.000">
                  <c:v>107.51900000000001</c:v>
                </c:pt>
                <c:pt idx="504" formatCode="0.000">
                  <c:v>107.8</c:v>
                </c:pt>
                <c:pt idx="505" formatCode="0.000">
                  <c:v>108.732</c:v>
                </c:pt>
                <c:pt idx="506" formatCode="0.000">
                  <c:v>109.136</c:v>
                </c:pt>
                <c:pt idx="507" formatCode="0.000">
                  <c:v>108.476</c:v>
                </c:pt>
                <c:pt idx="508" formatCode="0.000">
                  <c:v>109.389</c:v>
                </c:pt>
                <c:pt idx="509" formatCode="0.000">
                  <c:v>109.119</c:v>
                </c:pt>
                <c:pt idx="510" formatCode="0.000">
                  <c:v>108.675</c:v>
                </c:pt>
                <c:pt idx="511" formatCode="0.000">
                  <c:v>108.373</c:v>
                </c:pt>
                <c:pt idx="512" formatCode="0.000">
                  <c:v>108.435</c:v>
                </c:pt>
                <c:pt idx="513" formatCode="0.000">
                  <c:v>108.816</c:v>
                </c:pt>
                <c:pt idx="514" formatCode="0.000">
                  <c:v>108.1</c:v>
                </c:pt>
                <c:pt idx="515" formatCode="0.000">
                  <c:v>107.898</c:v>
                </c:pt>
                <c:pt idx="516" formatCode="0.000">
                  <c:v>107.715</c:v>
                </c:pt>
                <c:pt idx="517" formatCode="0.000">
                  <c:v>107.514</c:v>
                </c:pt>
                <c:pt idx="518" formatCode="0.000">
                  <c:v>107.40600000000001</c:v>
                </c:pt>
                <c:pt idx="519" formatCode="0.000">
                  <c:v>107.206</c:v>
                </c:pt>
                <c:pt idx="520" formatCode="0.000">
                  <c:v>106.864</c:v>
                </c:pt>
                <c:pt idx="521" formatCode="0.000">
                  <c:v>107.49299999999999</c:v>
                </c:pt>
                <c:pt idx="522" formatCode="0.000">
                  <c:v>107.46</c:v>
                </c:pt>
                <c:pt idx="523" formatCode="0.000">
                  <c:v>107.53400000000001</c:v>
                </c:pt>
                <c:pt idx="524" formatCode="0.000">
                  <c:v>107.41</c:v>
                </c:pt>
                <c:pt idx="525" formatCode="0.000">
                  <c:v>107.666</c:v>
                </c:pt>
                <c:pt idx="526" formatCode="0.000">
                  <c:v>107.491</c:v>
                </c:pt>
                <c:pt idx="527" formatCode="0.000">
                  <c:v>107.29</c:v>
                </c:pt>
                <c:pt idx="528" formatCode="0.000">
                  <c:v>109.29900000000001</c:v>
                </c:pt>
                <c:pt idx="529" formatCode="0.000">
                  <c:v>109.71899999999999</c:v>
                </c:pt>
                <c:pt idx="530" formatCode="0.000">
                  <c:v>109.568</c:v>
                </c:pt>
                <c:pt idx="531" formatCode="0.000">
                  <c:v>109.42</c:v>
                </c:pt>
                <c:pt idx="532" formatCode="0.000">
                  <c:v>109.73399999999999</c:v>
                </c:pt>
                <c:pt idx="533" formatCode="0.000">
                  <c:v>110.447</c:v>
                </c:pt>
                <c:pt idx="534" formatCode="0.000">
                  <c:v>110.934</c:v>
                </c:pt>
                <c:pt idx="535" formatCode="0.000">
                  <c:v>111.22199999999999</c:v>
                </c:pt>
                <c:pt idx="536" formatCode="0.000">
                  <c:v>110.062</c:v>
                </c:pt>
                <c:pt idx="537" formatCode="0.000">
                  <c:v>109.18</c:v>
                </c:pt>
                <c:pt idx="538" formatCode="0.000">
                  <c:v>109.624</c:v>
                </c:pt>
                <c:pt idx="539" formatCode="0.000">
                  <c:v>109.551</c:v>
                </c:pt>
                <c:pt idx="540" formatCode="0.000">
                  <c:v>109.705</c:v>
                </c:pt>
                <c:pt idx="541" formatCode="0.000">
                  <c:v>109.14400000000001</c:v>
                </c:pt>
                <c:pt idx="542" formatCode="0.000">
                  <c:v>109.249</c:v>
                </c:pt>
                <c:pt idx="543" formatCode="0.000">
                  <c:v>108.72499999999999</c:v>
                </c:pt>
                <c:pt idx="544" formatCode="0.000">
                  <c:v>109.742</c:v>
                </c:pt>
                <c:pt idx="545" formatCode="0.000">
                  <c:v>110.46599999999999</c:v>
                </c:pt>
                <c:pt idx="546" formatCode="0.000">
                  <c:v>110.893</c:v>
                </c:pt>
                <c:pt idx="547" formatCode="0.000">
                  <c:v>110.81399999999999</c:v>
                </c:pt>
                <c:pt idx="548" formatCode="0.000">
                  <c:v>111.194</c:v>
                </c:pt>
                <c:pt idx="549" formatCode="0.000">
                  <c:v>111.51900000000001</c:v>
                </c:pt>
                <c:pt idx="550" formatCode="0.000">
                  <c:v>111.733</c:v>
                </c:pt>
                <c:pt idx="551" formatCode="0.000">
                  <c:v>110.92100000000001</c:v>
                </c:pt>
                <c:pt idx="552" formatCode="0.000">
                  <c:v>110.645</c:v>
                </c:pt>
                <c:pt idx="553" formatCode="0.000">
                  <c:v>110.788</c:v>
                </c:pt>
                <c:pt idx="554" formatCode="0.000">
                  <c:v>110.56</c:v>
                </c:pt>
                <c:pt idx="555" formatCode="0.000">
                  <c:v>110.253</c:v>
                </c:pt>
                <c:pt idx="556" formatCode="0.000">
                  <c:v>110.37</c:v>
                </c:pt>
                <c:pt idx="557" formatCode="0.000">
                  <c:v>110.12</c:v>
                </c:pt>
                <c:pt idx="558" formatCode="0.000">
                  <c:v>110.556</c:v>
                </c:pt>
                <c:pt idx="559" formatCode="0.000">
                  <c:v>110.753</c:v>
                </c:pt>
                <c:pt idx="560" formatCode="0.000">
                  <c:v>110.265</c:v>
                </c:pt>
                <c:pt idx="561" formatCode="0.000">
                  <c:v>110.035</c:v>
                </c:pt>
                <c:pt idx="562" formatCode="0.000">
                  <c:v>109.48</c:v>
                </c:pt>
                <c:pt idx="563" formatCode="0.000">
                  <c:v>109.447</c:v>
                </c:pt>
                <c:pt idx="564" formatCode="0.000">
                  <c:v>109.098</c:v>
                </c:pt>
                <c:pt idx="565" formatCode="0.000">
                  <c:v>109.539</c:v>
                </c:pt>
                <c:pt idx="566" formatCode="0.000">
                  <c:v>109.518</c:v>
                </c:pt>
                <c:pt idx="567" formatCode="0.000">
                  <c:v>109.43899999999999</c:v>
                </c:pt>
                <c:pt idx="568" formatCode="0.000">
                  <c:v>109.449</c:v>
                </c:pt>
                <c:pt idx="569" formatCode="0.000">
                  <c:v>109.149</c:v>
                </c:pt>
                <c:pt idx="570" formatCode="0.000">
                  <c:v>109.172</c:v>
                </c:pt>
                <c:pt idx="571" formatCode="0.000">
                  <c:v>108.405</c:v>
                </c:pt>
                <c:pt idx="572" formatCode="0.000">
                  <c:v>108.749</c:v>
                </c:pt>
                <c:pt idx="573" formatCode="0.000">
                  <c:v>109.533</c:v>
                </c:pt>
                <c:pt idx="574" formatCode="0.000">
                  <c:v>109.18</c:v>
                </c:pt>
                <c:pt idx="575" formatCode="0.000">
                  <c:v>109.27</c:v>
                </c:pt>
                <c:pt idx="576" formatCode="0.000">
                  <c:v>109.19199999999999</c:v>
                </c:pt>
                <c:pt idx="577" formatCode="0.000">
                  <c:v>108.395</c:v>
                </c:pt>
                <c:pt idx="578" formatCode="0.000">
                  <c:v>107.627</c:v>
                </c:pt>
                <c:pt idx="579" formatCode="0.000">
                  <c:v>107.86799999999999</c:v>
                </c:pt>
                <c:pt idx="580" formatCode="0.000">
                  <c:v>108.11499999999999</c:v>
                </c:pt>
                <c:pt idx="581" formatCode="0.000">
                  <c:v>108.673</c:v>
                </c:pt>
                <c:pt idx="582" formatCode="0.000">
                  <c:v>108.556</c:v>
                </c:pt>
                <c:pt idx="583" formatCode="0.000">
                  <c:v>108.119</c:v>
                </c:pt>
                <c:pt idx="584" formatCode="0.000">
                  <c:v>107.92</c:v>
                </c:pt>
                <c:pt idx="585" formatCode="0.000">
                  <c:v>107.81</c:v>
                </c:pt>
                <c:pt idx="586" formatCode="0.000">
                  <c:v>108.256</c:v>
                </c:pt>
                <c:pt idx="587" formatCode="0.000">
                  <c:v>108.036</c:v>
                </c:pt>
                <c:pt idx="588" formatCode="0.000">
                  <c:v>108.038</c:v>
                </c:pt>
                <c:pt idx="589">
                  <c:v>107.98</c:v>
                </c:pt>
                <c:pt idx="590">
                  <c:v>107.73</c:v>
                </c:pt>
                <c:pt idx="591">
                  <c:v>107.464</c:v>
                </c:pt>
                <c:pt idx="592">
                  <c:v>107.75</c:v>
                </c:pt>
                <c:pt idx="593">
                  <c:v>107.136</c:v>
                </c:pt>
                <c:pt idx="594">
                  <c:v>107.675</c:v>
                </c:pt>
                <c:pt idx="595">
                  <c:v>107.11199999999999</c:v>
                </c:pt>
                <c:pt idx="596">
                  <c:v>106.971</c:v>
                </c:pt>
                <c:pt idx="597">
                  <c:v>106.93600000000001</c:v>
                </c:pt>
                <c:pt idx="598">
                  <c:v>107.063</c:v>
                </c:pt>
                <c:pt idx="599">
                  <c:v>106.672</c:v>
                </c:pt>
                <c:pt idx="600">
                  <c:v>107.24</c:v>
                </c:pt>
                <c:pt idx="601">
                  <c:v>107.325</c:v>
                </c:pt>
                <c:pt idx="602">
                  <c:v>107.60899999999999</c:v>
                </c:pt>
                <c:pt idx="603">
                  <c:v>108.422</c:v>
                </c:pt>
                <c:pt idx="604">
                  <c:v>108.974</c:v>
                </c:pt>
                <c:pt idx="605">
                  <c:v>109.8</c:v>
                </c:pt>
                <c:pt idx="606">
                  <c:v>109.48099999999999</c:v>
                </c:pt>
                <c:pt idx="607">
                  <c:v>109.033</c:v>
                </c:pt>
                <c:pt idx="608">
                  <c:v>108.71899999999999</c:v>
                </c:pt>
                <c:pt idx="609">
                  <c:v>108.27500000000001</c:v>
                </c:pt>
                <c:pt idx="610">
                  <c:v>108.282</c:v>
                </c:pt>
                <c:pt idx="611">
                  <c:v>108.371</c:v>
                </c:pt>
                <c:pt idx="612">
                  <c:v>108.42400000000001</c:v>
                </c:pt>
                <c:pt idx="613">
                  <c:v>108.768</c:v>
                </c:pt>
                <c:pt idx="614">
                  <c:v>109.249</c:v>
                </c:pt>
                <c:pt idx="615">
                  <c:v>108.85599999999999</c:v>
                </c:pt>
                <c:pt idx="616">
                  <c:v>109.91200000000001</c:v>
                </c:pt>
                <c:pt idx="617">
                  <c:v>110.233</c:v>
                </c:pt>
                <c:pt idx="618">
                  <c:v>110.313</c:v>
                </c:pt>
                <c:pt idx="619">
                  <c:v>109.858</c:v>
                </c:pt>
                <c:pt idx="620">
                  <c:v>110.18899999999999</c:v>
                </c:pt>
                <c:pt idx="621">
                  <c:v>110.77413647466987</c:v>
                </c:pt>
                <c:pt idx="622">
                  <c:v>110.15214943762869</c:v>
                </c:pt>
                <c:pt idx="623">
                  <c:v>110.55105402063313</c:v>
                </c:pt>
                <c:pt idx="624">
                  <c:v>110.42036287604765</c:v>
                </c:pt>
                <c:pt idx="625">
                  <c:v>111.27245365480698</c:v>
                </c:pt>
                <c:pt idx="626">
                  <c:v>111.20720165618225</c:v>
                </c:pt>
                <c:pt idx="627">
                  <c:v>110.84280745319612</c:v>
                </c:pt>
                <c:pt idx="628">
                  <c:v>110.86244337366472</c:v>
                </c:pt>
                <c:pt idx="629">
                  <c:v>111.08284193336526</c:v>
                </c:pt>
                <c:pt idx="630">
                  <c:v>110.93122391604918</c:v>
                </c:pt>
                <c:pt idx="631">
                  <c:v>111.04736165380177</c:v>
                </c:pt>
                <c:pt idx="632">
                  <c:v>110.60576291975961</c:v>
                </c:pt>
                <c:pt idx="633">
                  <c:v>110.05916297638099</c:v>
                </c:pt>
                <c:pt idx="634">
                  <c:v>110.37167664902996</c:v>
                </c:pt>
                <c:pt idx="635">
                  <c:v>110.13470250959134</c:v>
                </c:pt>
                <c:pt idx="636">
                  <c:v>110.21616882705175</c:v>
                </c:pt>
                <c:pt idx="637">
                  <c:v>110.41062219477767</c:v>
                </c:pt>
                <c:pt idx="638">
                  <c:v>110.63118189050149</c:v>
                </c:pt>
                <c:pt idx="639">
                  <c:v>111.23685216587563</c:v>
                </c:pt>
                <c:pt idx="640">
                  <c:v>111.42500651662982</c:v>
                </c:pt>
                <c:pt idx="641">
                  <c:v>111.34372504225598</c:v>
                </c:pt>
                <c:pt idx="642">
                  <c:v>110.91942690535267</c:v>
                </c:pt>
                <c:pt idx="643">
                  <c:v>111.0966459435469</c:v>
                </c:pt>
                <c:pt idx="644">
                  <c:v>110.8545881706906</c:v>
                </c:pt>
                <c:pt idx="645">
                  <c:v>111.19732166527473</c:v>
                </c:pt>
                <c:pt idx="646">
                  <c:v>111.30015946075723</c:v>
                </c:pt>
                <c:pt idx="647">
                  <c:v>111.84519267957029</c:v>
                </c:pt>
                <c:pt idx="648">
                  <c:v>112.23433106763028</c:v>
                </c:pt>
                <c:pt idx="649">
                  <c:v>112.17397813188974</c:v>
                </c:pt>
                <c:pt idx="650">
                  <c:v>111.79723933043924</c:v>
                </c:pt>
                <c:pt idx="651">
                  <c:v>111.24476163896537</c:v>
                </c:pt>
                <c:pt idx="652">
                  <c:v>111.11439899859728</c:v>
                </c:pt>
                <c:pt idx="653">
                  <c:v>111.32985956735212</c:v>
                </c:pt>
                <c:pt idx="654">
                  <c:v>110.58035562702096</c:v>
                </c:pt>
                <c:pt idx="655">
                  <c:v>110.36778360551652</c:v>
                </c:pt>
                <c:pt idx="656">
                  <c:v>109.98179409852195</c:v>
                </c:pt>
                <c:pt idx="657">
                  <c:v>109.71955162438414</c:v>
                </c:pt>
                <c:pt idx="658">
                  <c:v>109.64265931986611</c:v>
                </c:pt>
                <c:pt idx="659">
                  <c:v>109.46430061220916</c:v>
                </c:pt>
                <c:pt idx="660">
                  <c:v>109.47579011265826</c:v>
                </c:pt>
                <c:pt idx="661">
                  <c:v>109.95474068347531</c:v>
                </c:pt>
                <c:pt idx="662">
                  <c:v>110.55300697793555</c:v>
                </c:pt>
                <c:pt idx="663">
                  <c:v>110.36973009294364</c:v>
                </c:pt>
                <c:pt idx="664">
                  <c:v>110.27248975348448</c:v>
                </c:pt>
                <c:pt idx="665">
                  <c:v>110.06690585152219</c:v>
                </c:pt>
                <c:pt idx="666">
                  <c:v>110.08433130453133</c:v>
                </c:pt>
              </c:numCache>
            </c:numRef>
          </c:val>
          <c:smooth val="0"/>
          <c:extLst>
            <c:ext xmlns:c16="http://schemas.microsoft.com/office/drawing/2014/chart" uri="{C3380CC4-5D6E-409C-BE32-E72D297353CC}">
              <c16:uniqueId val="{00000000-278A-4EF5-B312-96BEA00F0B78}"/>
            </c:ext>
          </c:extLst>
        </c:ser>
        <c:ser>
          <c:idx val="1"/>
          <c:order val="1"/>
          <c:tx>
            <c:strRef>
              <c:f>Sheet1!$C$1</c:f>
              <c:strCache>
                <c:ptCount val="1"/>
                <c:pt idx="0">
                  <c:v>ՀՀ դրամ</c:v>
                </c:pt>
              </c:strCache>
            </c:strRef>
          </c:tx>
          <c:spPr>
            <a:ln w="28575" cap="rnd">
              <a:solidFill>
                <a:srgbClr val="E7E6E6">
                  <a:lumMod val="10000"/>
                </a:srgbClr>
              </a:solidFill>
              <a:round/>
            </a:ln>
            <a:effectLst/>
          </c:spPr>
          <c:marker>
            <c:symbol val="none"/>
          </c:marker>
          <c:cat>
            <c:numRef>
              <c:f>Sheet1!$A$2:$A$668</c:f>
              <c:numCache>
                <c:formatCode>m/d/yyyy</c:formatCode>
                <c:ptCount val="667"/>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c:v>44342</c:v>
                </c:pt>
                <c:pt idx="590">
                  <c:v>44343</c:v>
                </c:pt>
                <c:pt idx="591">
                  <c:v>44347</c:v>
                </c:pt>
                <c:pt idx="592">
                  <c:v>44348</c:v>
                </c:pt>
                <c:pt idx="593">
                  <c:v>44349</c:v>
                </c:pt>
                <c:pt idx="594">
                  <c:v>44350</c:v>
                </c:pt>
                <c:pt idx="595">
                  <c:v>44351</c:v>
                </c:pt>
                <c:pt idx="596">
                  <c:v>44354</c:v>
                </c:pt>
                <c:pt idx="597">
                  <c:v>44355</c:v>
                </c:pt>
                <c:pt idx="598">
                  <c:v>44356</c:v>
                </c:pt>
                <c:pt idx="599">
                  <c:v>44357</c:v>
                </c:pt>
                <c:pt idx="600">
                  <c:v>44358</c:v>
                </c:pt>
                <c:pt idx="601">
                  <c:v>44361</c:v>
                </c:pt>
                <c:pt idx="602">
                  <c:v>44362</c:v>
                </c:pt>
                <c:pt idx="603">
                  <c:v>44363</c:v>
                </c:pt>
                <c:pt idx="604">
                  <c:v>44364</c:v>
                </c:pt>
                <c:pt idx="605">
                  <c:v>44365</c:v>
                </c:pt>
                <c:pt idx="606">
                  <c:v>44368</c:v>
                </c:pt>
                <c:pt idx="607">
                  <c:v>44369</c:v>
                </c:pt>
                <c:pt idx="608">
                  <c:v>44370</c:v>
                </c:pt>
                <c:pt idx="609">
                  <c:v>44371</c:v>
                </c:pt>
                <c:pt idx="610">
                  <c:v>44372</c:v>
                </c:pt>
                <c:pt idx="611">
                  <c:v>44375</c:v>
                </c:pt>
                <c:pt idx="612">
                  <c:v>44376</c:v>
                </c:pt>
                <c:pt idx="613">
                  <c:v>44377</c:v>
                </c:pt>
                <c:pt idx="614">
                  <c:v>44378</c:v>
                </c:pt>
                <c:pt idx="615">
                  <c:v>44379</c:v>
                </c:pt>
                <c:pt idx="616">
                  <c:v>44383</c:v>
                </c:pt>
                <c:pt idx="617">
                  <c:v>44384</c:v>
                </c:pt>
                <c:pt idx="618">
                  <c:v>44385</c:v>
                </c:pt>
                <c:pt idx="619">
                  <c:v>44386</c:v>
                </c:pt>
                <c:pt idx="620">
                  <c:v>44389</c:v>
                </c:pt>
                <c:pt idx="621">
                  <c:v>44390</c:v>
                </c:pt>
                <c:pt idx="622">
                  <c:v>44391</c:v>
                </c:pt>
                <c:pt idx="623">
                  <c:v>44392</c:v>
                </c:pt>
                <c:pt idx="624">
                  <c:v>44393</c:v>
                </c:pt>
                <c:pt idx="625">
                  <c:v>44396</c:v>
                </c:pt>
                <c:pt idx="626">
                  <c:v>44397</c:v>
                </c:pt>
                <c:pt idx="627">
                  <c:v>44398</c:v>
                </c:pt>
                <c:pt idx="628">
                  <c:v>44399</c:v>
                </c:pt>
                <c:pt idx="629">
                  <c:v>44400</c:v>
                </c:pt>
                <c:pt idx="630">
                  <c:v>44403</c:v>
                </c:pt>
                <c:pt idx="631">
                  <c:v>44404</c:v>
                </c:pt>
                <c:pt idx="632">
                  <c:v>44405</c:v>
                </c:pt>
                <c:pt idx="633">
                  <c:v>44406</c:v>
                </c:pt>
                <c:pt idx="634">
                  <c:v>44407</c:v>
                </c:pt>
                <c:pt idx="635">
                  <c:v>44410</c:v>
                </c:pt>
                <c:pt idx="636">
                  <c:v>44411</c:v>
                </c:pt>
                <c:pt idx="637">
                  <c:v>44412</c:v>
                </c:pt>
                <c:pt idx="638">
                  <c:v>44413</c:v>
                </c:pt>
                <c:pt idx="639">
                  <c:v>44414</c:v>
                </c:pt>
                <c:pt idx="640">
                  <c:v>44417</c:v>
                </c:pt>
                <c:pt idx="641">
                  <c:v>44418</c:v>
                </c:pt>
                <c:pt idx="642">
                  <c:v>44419</c:v>
                </c:pt>
                <c:pt idx="643">
                  <c:v>44420</c:v>
                </c:pt>
                <c:pt idx="644">
                  <c:v>44421</c:v>
                </c:pt>
                <c:pt idx="645">
                  <c:v>44424</c:v>
                </c:pt>
                <c:pt idx="646">
                  <c:v>44425</c:v>
                </c:pt>
                <c:pt idx="647">
                  <c:v>44426</c:v>
                </c:pt>
                <c:pt idx="648">
                  <c:v>44427</c:v>
                </c:pt>
                <c:pt idx="649">
                  <c:v>44428</c:v>
                </c:pt>
                <c:pt idx="650">
                  <c:v>44431</c:v>
                </c:pt>
                <c:pt idx="651">
                  <c:v>44432</c:v>
                </c:pt>
                <c:pt idx="652">
                  <c:v>44433</c:v>
                </c:pt>
                <c:pt idx="653">
                  <c:v>44434</c:v>
                </c:pt>
                <c:pt idx="654">
                  <c:v>44435</c:v>
                </c:pt>
                <c:pt idx="655">
                  <c:v>44438</c:v>
                </c:pt>
                <c:pt idx="656">
                  <c:v>44439</c:v>
                </c:pt>
                <c:pt idx="657">
                  <c:v>44440</c:v>
                </c:pt>
                <c:pt idx="658">
                  <c:v>44441</c:v>
                </c:pt>
                <c:pt idx="659">
                  <c:v>44442</c:v>
                </c:pt>
                <c:pt idx="660">
                  <c:v>44445</c:v>
                </c:pt>
                <c:pt idx="661">
                  <c:v>44446</c:v>
                </c:pt>
                <c:pt idx="662">
                  <c:v>44447</c:v>
                </c:pt>
                <c:pt idx="663">
                  <c:v>44448</c:v>
                </c:pt>
                <c:pt idx="664">
                  <c:v>44449</c:v>
                </c:pt>
                <c:pt idx="665">
                  <c:v>44452</c:v>
                </c:pt>
                <c:pt idx="666">
                  <c:v>44453</c:v>
                </c:pt>
              </c:numCache>
            </c:numRef>
          </c:cat>
          <c:val>
            <c:numRef>
              <c:f>Sheet1!$C$2:$C$668</c:f>
              <c:numCache>
                <c:formatCode>0</c:formatCode>
                <c:ptCount val="66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101</c:v>
                </c:pt>
                <c:pt idx="17">
                  <c:v>101</c:v>
                </c:pt>
                <c:pt idx="18">
                  <c:v>101</c:v>
                </c:pt>
                <c:pt idx="19">
                  <c:v>101</c:v>
                </c:pt>
                <c:pt idx="20">
                  <c:v>101</c:v>
                </c:pt>
                <c:pt idx="21">
                  <c:v>101</c:v>
                </c:pt>
                <c:pt idx="22">
                  <c:v>101</c:v>
                </c:pt>
                <c:pt idx="23">
                  <c:v>101</c:v>
                </c:pt>
                <c:pt idx="24">
                  <c:v>101</c:v>
                </c:pt>
                <c:pt idx="25">
                  <c:v>101</c:v>
                </c:pt>
                <c:pt idx="26">
                  <c:v>101</c:v>
                </c:pt>
                <c:pt idx="27">
                  <c:v>101</c:v>
                </c:pt>
                <c:pt idx="28">
                  <c:v>101</c:v>
                </c:pt>
                <c:pt idx="29">
                  <c:v>101</c:v>
                </c:pt>
                <c:pt idx="30">
                  <c:v>101</c:v>
                </c:pt>
                <c:pt idx="31">
                  <c:v>101</c:v>
                </c:pt>
                <c:pt idx="32">
                  <c:v>101</c:v>
                </c:pt>
                <c:pt idx="33">
                  <c:v>101</c:v>
                </c:pt>
                <c:pt idx="34">
                  <c:v>101</c:v>
                </c:pt>
                <c:pt idx="35">
                  <c:v>101</c:v>
                </c:pt>
                <c:pt idx="36">
                  <c:v>101</c:v>
                </c:pt>
                <c:pt idx="37">
                  <c:v>101</c:v>
                </c:pt>
                <c:pt idx="38">
                  <c:v>101</c:v>
                </c:pt>
                <c:pt idx="39">
                  <c:v>101</c:v>
                </c:pt>
                <c:pt idx="40">
                  <c:v>101</c:v>
                </c:pt>
                <c:pt idx="41">
                  <c:v>101</c:v>
                </c:pt>
                <c:pt idx="42">
                  <c:v>101</c:v>
                </c:pt>
                <c:pt idx="43">
                  <c:v>101</c:v>
                </c:pt>
                <c:pt idx="44">
                  <c:v>101</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101</c:v>
                </c:pt>
                <c:pt idx="60">
                  <c:v>101</c:v>
                </c:pt>
                <c:pt idx="61">
                  <c:v>101</c:v>
                </c:pt>
                <c:pt idx="62">
                  <c:v>101</c:v>
                </c:pt>
                <c:pt idx="63">
                  <c:v>100</c:v>
                </c:pt>
                <c:pt idx="64">
                  <c:v>100</c:v>
                </c:pt>
                <c:pt idx="65">
                  <c:v>100</c:v>
                </c:pt>
                <c:pt idx="66">
                  <c:v>100</c:v>
                </c:pt>
                <c:pt idx="67">
                  <c:v>100</c:v>
                </c:pt>
                <c:pt idx="68">
                  <c:v>100</c:v>
                </c:pt>
                <c:pt idx="69">
                  <c:v>100</c:v>
                </c:pt>
                <c:pt idx="70">
                  <c:v>100</c:v>
                </c:pt>
                <c:pt idx="71">
                  <c:v>100</c:v>
                </c:pt>
                <c:pt idx="72">
                  <c:v>100</c:v>
                </c:pt>
                <c:pt idx="73">
                  <c:v>99</c:v>
                </c:pt>
                <c:pt idx="74">
                  <c:v>99</c:v>
                </c:pt>
                <c:pt idx="75">
                  <c:v>99</c:v>
                </c:pt>
                <c:pt idx="76">
                  <c:v>99</c:v>
                </c:pt>
                <c:pt idx="77">
                  <c:v>99</c:v>
                </c:pt>
                <c:pt idx="78">
                  <c:v>99</c:v>
                </c:pt>
                <c:pt idx="79">
                  <c:v>99</c:v>
                </c:pt>
                <c:pt idx="80">
                  <c:v>99</c:v>
                </c:pt>
                <c:pt idx="81">
                  <c:v>99</c:v>
                </c:pt>
                <c:pt idx="82">
                  <c:v>100</c:v>
                </c:pt>
                <c:pt idx="83">
                  <c:v>100</c:v>
                </c:pt>
                <c:pt idx="84">
                  <c:v>99</c:v>
                </c:pt>
                <c:pt idx="85">
                  <c:v>99</c:v>
                </c:pt>
                <c:pt idx="86">
                  <c:v>99</c:v>
                </c:pt>
                <c:pt idx="87">
                  <c:v>99</c:v>
                </c:pt>
                <c:pt idx="88">
                  <c:v>99</c:v>
                </c:pt>
                <c:pt idx="89">
                  <c:v>99</c:v>
                </c:pt>
                <c:pt idx="90">
                  <c:v>99</c:v>
                </c:pt>
                <c:pt idx="91">
                  <c:v>99</c:v>
                </c:pt>
                <c:pt idx="92">
                  <c:v>99</c:v>
                </c:pt>
                <c:pt idx="93">
                  <c:v>99</c:v>
                </c:pt>
                <c:pt idx="94">
                  <c:v>99</c:v>
                </c:pt>
                <c:pt idx="95">
                  <c:v>99</c:v>
                </c:pt>
                <c:pt idx="96">
                  <c:v>99</c:v>
                </c:pt>
                <c:pt idx="97">
                  <c:v>99</c:v>
                </c:pt>
                <c:pt idx="98">
                  <c:v>99</c:v>
                </c:pt>
                <c:pt idx="99">
                  <c:v>99</c:v>
                </c:pt>
                <c:pt idx="100">
                  <c:v>99</c:v>
                </c:pt>
                <c:pt idx="101">
                  <c:v>99</c:v>
                </c:pt>
                <c:pt idx="102">
                  <c:v>99</c:v>
                </c:pt>
                <c:pt idx="103">
                  <c:v>99</c:v>
                </c:pt>
                <c:pt idx="104">
                  <c:v>99</c:v>
                </c:pt>
                <c:pt idx="105">
                  <c:v>99</c:v>
                </c:pt>
                <c:pt idx="106">
                  <c:v>99</c:v>
                </c:pt>
                <c:pt idx="107">
                  <c:v>99</c:v>
                </c:pt>
                <c:pt idx="108">
                  <c:v>99</c:v>
                </c:pt>
                <c:pt idx="109">
                  <c:v>99</c:v>
                </c:pt>
                <c:pt idx="110">
                  <c:v>99</c:v>
                </c:pt>
                <c:pt idx="111">
                  <c:v>99</c:v>
                </c:pt>
                <c:pt idx="112">
                  <c:v>99</c:v>
                </c:pt>
                <c:pt idx="113">
                  <c:v>99</c:v>
                </c:pt>
                <c:pt idx="114">
                  <c:v>98</c:v>
                </c:pt>
                <c:pt idx="115">
                  <c:v>99</c:v>
                </c:pt>
                <c:pt idx="116">
                  <c:v>99</c:v>
                </c:pt>
                <c:pt idx="117">
                  <c:v>99</c:v>
                </c:pt>
                <c:pt idx="118">
                  <c:v>98</c:v>
                </c:pt>
                <c:pt idx="119">
                  <c:v>98</c:v>
                </c:pt>
                <c:pt idx="120">
                  <c:v>98</c:v>
                </c:pt>
                <c:pt idx="121">
                  <c:v>98</c:v>
                </c:pt>
                <c:pt idx="122">
                  <c:v>98</c:v>
                </c:pt>
                <c:pt idx="123">
                  <c:v>98</c:v>
                </c:pt>
                <c:pt idx="124">
                  <c:v>98</c:v>
                </c:pt>
                <c:pt idx="125">
                  <c:v>98</c:v>
                </c:pt>
                <c:pt idx="126">
                  <c:v>98</c:v>
                </c:pt>
                <c:pt idx="127">
                  <c:v>98</c:v>
                </c:pt>
                <c:pt idx="128">
                  <c:v>98</c:v>
                </c:pt>
                <c:pt idx="129">
                  <c:v>98</c:v>
                </c:pt>
                <c:pt idx="130">
                  <c:v>98</c:v>
                </c:pt>
                <c:pt idx="131">
                  <c:v>98</c:v>
                </c:pt>
                <c:pt idx="132">
                  <c:v>98</c:v>
                </c:pt>
                <c:pt idx="133">
                  <c:v>98</c:v>
                </c:pt>
                <c:pt idx="134">
                  <c:v>98</c:v>
                </c:pt>
                <c:pt idx="135">
                  <c:v>98</c:v>
                </c:pt>
                <c:pt idx="136">
                  <c:v>98</c:v>
                </c:pt>
                <c:pt idx="137">
                  <c:v>98</c:v>
                </c:pt>
                <c:pt idx="138">
                  <c:v>98</c:v>
                </c:pt>
                <c:pt idx="139">
                  <c:v>98</c:v>
                </c:pt>
                <c:pt idx="140">
                  <c:v>98</c:v>
                </c:pt>
                <c:pt idx="141">
                  <c:v>98</c:v>
                </c:pt>
                <c:pt idx="142">
                  <c:v>98</c:v>
                </c:pt>
                <c:pt idx="143">
                  <c:v>98</c:v>
                </c:pt>
                <c:pt idx="144">
                  <c:v>98</c:v>
                </c:pt>
                <c:pt idx="145">
                  <c:v>98</c:v>
                </c:pt>
                <c:pt idx="146">
                  <c:v>98</c:v>
                </c:pt>
                <c:pt idx="147">
                  <c:v>98</c:v>
                </c:pt>
                <c:pt idx="148">
                  <c:v>98</c:v>
                </c:pt>
                <c:pt idx="149">
                  <c:v>98</c:v>
                </c:pt>
                <c:pt idx="150">
                  <c:v>98</c:v>
                </c:pt>
                <c:pt idx="151">
                  <c:v>98</c:v>
                </c:pt>
                <c:pt idx="152">
                  <c:v>98</c:v>
                </c:pt>
                <c:pt idx="153">
                  <c:v>98</c:v>
                </c:pt>
                <c:pt idx="154">
                  <c:v>98</c:v>
                </c:pt>
                <c:pt idx="155">
                  <c:v>98</c:v>
                </c:pt>
                <c:pt idx="156">
                  <c:v>98</c:v>
                </c:pt>
                <c:pt idx="157">
                  <c:v>98</c:v>
                </c:pt>
                <c:pt idx="158">
                  <c:v>98</c:v>
                </c:pt>
                <c:pt idx="159">
                  <c:v>98</c:v>
                </c:pt>
                <c:pt idx="160">
                  <c:v>98</c:v>
                </c:pt>
                <c:pt idx="161">
                  <c:v>98</c:v>
                </c:pt>
                <c:pt idx="162">
                  <c:v>98</c:v>
                </c:pt>
                <c:pt idx="163">
                  <c:v>98</c:v>
                </c:pt>
                <c:pt idx="164">
                  <c:v>98</c:v>
                </c:pt>
                <c:pt idx="165">
                  <c:v>98</c:v>
                </c:pt>
                <c:pt idx="166">
                  <c:v>98</c:v>
                </c:pt>
                <c:pt idx="167">
                  <c:v>98</c:v>
                </c:pt>
                <c:pt idx="168">
                  <c:v>98</c:v>
                </c:pt>
                <c:pt idx="169">
                  <c:v>98</c:v>
                </c:pt>
                <c:pt idx="170">
                  <c:v>98</c:v>
                </c:pt>
                <c:pt idx="171">
                  <c:v>98</c:v>
                </c:pt>
                <c:pt idx="172">
                  <c:v>98</c:v>
                </c:pt>
                <c:pt idx="173">
                  <c:v>98</c:v>
                </c:pt>
                <c:pt idx="174">
                  <c:v>98</c:v>
                </c:pt>
                <c:pt idx="175">
                  <c:v>98</c:v>
                </c:pt>
                <c:pt idx="176">
                  <c:v>98</c:v>
                </c:pt>
                <c:pt idx="177">
                  <c:v>98</c:v>
                </c:pt>
                <c:pt idx="178">
                  <c:v>98</c:v>
                </c:pt>
                <c:pt idx="179">
                  <c:v>98</c:v>
                </c:pt>
                <c:pt idx="180">
                  <c:v>98</c:v>
                </c:pt>
                <c:pt idx="181">
                  <c:v>98</c:v>
                </c:pt>
                <c:pt idx="182">
                  <c:v>98</c:v>
                </c:pt>
                <c:pt idx="183">
                  <c:v>98</c:v>
                </c:pt>
                <c:pt idx="184">
                  <c:v>98</c:v>
                </c:pt>
                <c:pt idx="185">
                  <c:v>98</c:v>
                </c:pt>
                <c:pt idx="186">
                  <c:v>98</c:v>
                </c:pt>
                <c:pt idx="187">
                  <c:v>98</c:v>
                </c:pt>
                <c:pt idx="188">
                  <c:v>98</c:v>
                </c:pt>
                <c:pt idx="189">
                  <c:v>98</c:v>
                </c:pt>
                <c:pt idx="190">
                  <c:v>98</c:v>
                </c:pt>
                <c:pt idx="191">
                  <c:v>98</c:v>
                </c:pt>
                <c:pt idx="192">
                  <c:v>98</c:v>
                </c:pt>
                <c:pt idx="193">
                  <c:v>98</c:v>
                </c:pt>
                <c:pt idx="194">
                  <c:v>98</c:v>
                </c:pt>
                <c:pt idx="195">
                  <c:v>98</c:v>
                </c:pt>
                <c:pt idx="196">
                  <c:v>98</c:v>
                </c:pt>
                <c:pt idx="197">
                  <c:v>98</c:v>
                </c:pt>
                <c:pt idx="198">
                  <c:v>98</c:v>
                </c:pt>
                <c:pt idx="199">
                  <c:v>98</c:v>
                </c:pt>
                <c:pt idx="200">
                  <c:v>98</c:v>
                </c:pt>
                <c:pt idx="201">
                  <c:v>98</c:v>
                </c:pt>
                <c:pt idx="202">
                  <c:v>98</c:v>
                </c:pt>
                <c:pt idx="203">
                  <c:v>98</c:v>
                </c:pt>
                <c:pt idx="204">
                  <c:v>98</c:v>
                </c:pt>
                <c:pt idx="205">
                  <c:v>98</c:v>
                </c:pt>
                <c:pt idx="206">
                  <c:v>98</c:v>
                </c:pt>
                <c:pt idx="207">
                  <c:v>98</c:v>
                </c:pt>
                <c:pt idx="208">
                  <c:v>98</c:v>
                </c:pt>
                <c:pt idx="209">
                  <c:v>98</c:v>
                </c:pt>
                <c:pt idx="210">
                  <c:v>99</c:v>
                </c:pt>
                <c:pt idx="211">
                  <c:v>99</c:v>
                </c:pt>
                <c:pt idx="212">
                  <c:v>99</c:v>
                </c:pt>
                <c:pt idx="213">
                  <c:v>99</c:v>
                </c:pt>
                <c:pt idx="214">
                  <c:v>99</c:v>
                </c:pt>
                <c:pt idx="215">
                  <c:v>99</c:v>
                </c:pt>
                <c:pt idx="216">
                  <c:v>99</c:v>
                </c:pt>
                <c:pt idx="217">
                  <c:v>99</c:v>
                </c:pt>
                <c:pt idx="218">
                  <c:v>98</c:v>
                </c:pt>
                <c:pt idx="219">
                  <c:v>98</c:v>
                </c:pt>
                <c:pt idx="220">
                  <c:v>98</c:v>
                </c:pt>
                <c:pt idx="221">
                  <c:v>98</c:v>
                </c:pt>
                <c:pt idx="222">
                  <c:v>98</c:v>
                </c:pt>
                <c:pt idx="223">
                  <c:v>98</c:v>
                </c:pt>
                <c:pt idx="224">
                  <c:v>98</c:v>
                </c:pt>
                <c:pt idx="225">
                  <c:v>99</c:v>
                </c:pt>
                <c:pt idx="226">
                  <c:v>99</c:v>
                </c:pt>
                <c:pt idx="227">
                  <c:v>99</c:v>
                </c:pt>
                <c:pt idx="228">
                  <c:v>99</c:v>
                </c:pt>
                <c:pt idx="229">
                  <c:v>99</c:v>
                </c:pt>
                <c:pt idx="230">
                  <c:v>99</c:v>
                </c:pt>
                <c:pt idx="231">
                  <c:v>99</c:v>
                </c:pt>
                <c:pt idx="232">
                  <c:v>99</c:v>
                </c:pt>
                <c:pt idx="233">
                  <c:v>99</c:v>
                </c:pt>
                <c:pt idx="234">
                  <c:v>99</c:v>
                </c:pt>
                <c:pt idx="235">
                  <c:v>99</c:v>
                </c:pt>
                <c:pt idx="236">
                  <c:v>99</c:v>
                </c:pt>
                <c:pt idx="237">
                  <c:v>99</c:v>
                </c:pt>
                <c:pt idx="238">
                  <c:v>99</c:v>
                </c:pt>
                <c:pt idx="239">
                  <c:v>99</c:v>
                </c:pt>
                <c:pt idx="240">
                  <c:v>99</c:v>
                </c:pt>
                <c:pt idx="241">
                  <c:v>99</c:v>
                </c:pt>
                <c:pt idx="242">
                  <c:v>99</c:v>
                </c:pt>
                <c:pt idx="243">
                  <c:v>99</c:v>
                </c:pt>
                <c:pt idx="244">
                  <c:v>99</c:v>
                </c:pt>
                <c:pt idx="245">
                  <c:v>99</c:v>
                </c:pt>
                <c:pt idx="246">
                  <c:v>99</c:v>
                </c:pt>
                <c:pt idx="247">
                  <c:v>99</c:v>
                </c:pt>
                <c:pt idx="248">
                  <c:v>99</c:v>
                </c:pt>
                <c:pt idx="249">
                  <c:v>99</c:v>
                </c:pt>
                <c:pt idx="250">
                  <c:v>99</c:v>
                </c:pt>
                <c:pt idx="251">
                  <c:v>99</c:v>
                </c:pt>
                <c:pt idx="252">
                  <c:v>99</c:v>
                </c:pt>
                <c:pt idx="253">
                  <c:v>99</c:v>
                </c:pt>
                <c:pt idx="254">
                  <c:v>99</c:v>
                </c:pt>
                <c:pt idx="255">
                  <c:v>99</c:v>
                </c:pt>
                <c:pt idx="256">
                  <c:v>99</c:v>
                </c:pt>
                <c:pt idx="257">
                  <c:v>99</c:v>
                </c:pt>
                <c:pt idx="258">
                  <c:v>99</c:v>
                </c:pt>
                <c:pt idx="259">
                  <c:v>99</c:v>
                </c:pt>
                <c:pt idx="260">
                  <c:v>99</c:v>
                </c:pt>
                <c:pt idx="261">
                  <c:v>99</c:v>
                </c:pt>
                <c:pt idx="262">
                  <c:v>99</c:v>
                </c:pt>
                <c:pt idx="263">
                  <c:v>99</c:v>
                </c:pt>
                <c:pt idx="264">
                  <c:v>99</c:v>
                </c:pt>
                <c:pt idx="265">
                  <c:v>99</c:v>
                </c:pt>
                <c:pt idx="266">
                  <c:v>99</c:v>
                </c:pt>
                <c:pt idx="267">
                  <c:v>99</c:v>
                </c:pt>
                <c:pt idx="268">
                  <c:v>99</c:v>
                </c:pt>
                <c:pt idx="269">
                  <c:v>99</c:v>
                </c:pt>
                <c:pt idx="270">
                  <c:v>99</c:v>
                </c:pt>
                <c:pt idx="271">
                  <c:v>99</c:v>
                </c:pt>
                <c:pt idx="272">
                  <c:v>99</c:v>
                </c:pt>
                <c:pt idx="273">
                  <c:v>99</c:v>
                </c:pt>
                <c:pt idx="274">
                  <c:v>99</c:v>
                </c:pt>
                <c:pt idx="275">
                  <c:v>99</c:v>
                </c:pt>
                <c:pt idx="276">
                  <c:v>99</c:v>
                </c:pt>
                <c:pt idx="277">
                  <c:v>99</c:v>
                </c:pt>
                <c:pt idx="278">
                  <c:v>99</c:v>
                </c:pt>
                <c:pt idx="279">
                  <c:v>99</c:v>
                </c:pt>
                <c:pt idx="280">
                  <c:v>99</c:v>
                </c:pt>
                <c:pt idx="281">
                  <c:v>99</c:v>
                </c:pt>
                <c:pt idx="282">
                  <c:v>99</c:v>
                </c:pt>
                <c:pt idx="283">
                  <c:v>99</c:v>
                </c:pt>
                <c:pt idx="284">
                  <c:v>99</c:v>
                </c:pt>
                <c:pt idx="285">
                  <c:v>99</c:v>
                </c:pt>
                <c:pt idx="286">
                  <c:v>99</c:v>
                </c:pt>
                <c:pt idx="287">
                  <c:v>99</c:v>
                </c:pt>
                <c:pt idx="288">
                  <c:v>99</c:v>
                </c:pt>
                <c:pt idx="289">
                  <c:v>100</c:v>
                </c:pt>
                <c:pt idx="290">
                  <c:v>100</c:v>
                </c:pt>
                <c:pt idx="291">
                  <c:v>100</c:v>
                </c:pt>
                <c:pt idx="292">
                  <c:v>101</c:v>
                </c:pt>
                <c:pt idx="293">
                  <c:v>101</c:v>
                </c:pt>
                <c:pt idx="294">
                  <c:v>101</c:v>
                </c:pt>
                <c:pt idx="295">
                  <c:v>101</c:v>
                </c:pt>
                <c:pt idx="296">
                  <c:v>102</c:v>
                </c:pt>
                <c:pt idx="297">
                  <c:v>102</c:v>
                </c:pt>
                <c:pt idx="298">
                  <c:v>102</c:v>
                </c:pt>
                <c:pt idx="299">
                  <c:v>102</c:v>
                </c:pt>
                <c:pt idx="300">
                  <c:v>102</c:v>
                </c:pt>
                <c:pt idx="301">
                  <c:v>103</c:v>
                </c:pt>
                <c:pt idx="302">
                  <c:v>103</c:v>
                </c:pt>
                <c:pt idx="303">
                  <c:v>103</c:v>
                </c:pt>
                <c:pt idx="304">
                  <c:v>104</c:v>
                </c:pt>
                <c:pt idx="305">
                  <c:v>104</c:v>
                </c:pt>
                <c:pt idx="306">
                  <c:v>104</c:v>
                </c:pt>
                <c:pt idx="307">
                  <c:v>104</c:v>
                </c:pt>
                <c:pt idx="308">
                  <c:v>104</c:v>
                </c:pt>
                <c:pt idx="309">
                  <c:v>103</c:v>
                </c:pt>
                <c:pt idx="310">
                  <c:v>103</c:v>
                </c:pt>
                <c:pt idx="311">
                  <c:v>102</c:v>
                </c:pt>
                <c:pt idx="312">
                  <c:v>100</c:v>
                </c:pt>
                <c:pt idx="313">
                  <c:v>100</c:v>
                </c:pt>
                <c:pt idx="314">
                  <c:v>100</c:v>
                </c:pt>
                <c:pt idx="315">
                  <c:v>100</c:v>
                </c:pt>
                <c:pt idx="316">
                  <c:v>100</c:v>
                </c:pt>
                <c:pt idx="317">
                  <c:v>100</c:v>
                </c:pt>
                <c:pt idx="318">
                  <c:v>99</c:v>
                </c:pt>
                <c:pt idx="319">
                  <c:v>99</c:v>
                </c:pt>
                <c:pt idx="320">
                  <c:v>99</c:v>
                </c:pt>
                <c:pt idx="321">
                  <c:v>99</c:v>
                </c:pt>
                <c:pt idx="322">
                  <c:v>99</c:v>
                </c:pt>
                <c:pt idx="323">
                  <c:v>99</c:v>
                </c:pt>
                <c:pt idx="324">
                  <c:v>99</c:v>
                </c:pt>
                <c:pt idx="325">
                  <c:v>99</c:v>
                </c:pt>
                <c:pt idx="326">
                  <c:v>99</c:v>
                </c:pt>
                <c:pt idx="327">
                  <c:v>100</c:v>
                </c:pt>
                <c:pt idx="328">
                  <c:v>100</c:v>
                </c:pt>
                <c:pt idx="329">
                  <c:v>100</c:v>
                </c:pt>
                <c:pt idx="330">
                  <c:v>100</c:v>
                </c:pt>
                <c:pt idx="331">
                  <c:v>101</c:v>
                </c:pt>
                <c:pt idx="332">
                  <c:v>101</c:v>
                </c:pt>
                <c:pt idx="333">
                  <c:v>101</c:v>
                </c:pt>
                <c:pt idx="334">
                  <c:v>101</c:v>
                </c:pt>
                <c:pt idx="335">
                  <c:v>100</c:v>
                </c:pt>
                <c:pt idx="336">
                  <c:v>100</c:v>
                </c:pt>
                <c:pt idx="337">
                  <c:v>100</c:v>
                </c:pt>
                <c:pt idx="338">
                  <c:v>99</c:v>
                </c:pt>
                <c:pt idx="339">
                  <c:v>100</c:v>
                </c:pt>
                <c:pt idx="340">
                  <c:v>100</c:v>
                </c:pt>
                <c:pt idx="341">
                  <c:v>100</c:v>
                </c:pt>
                <c:pt idx="342">
                  <c:v>100</c:v>
                </c:pt>
                <c:pt idx="343">
                  <c:v>100</c:v>
                </c:pt>
                <c:pt idx="344">
                  <c:v>100</c:v>
                </c:pt>
                <c:pt idx="345">
                  <c:v>100</c:v>
                </c:pt>
                <c:pt idx="346">
                  <c:v>100</c:v>
                </c:pt>
                <c:pt idx="347">
                  <c:v>99</c:v>
                </c:pt>
                <c:pt idx="348">
                  <c:v>99</c:v>
                </c:pt>
                <c:pt idx="349">
                  <c:v>99</c:v>
                </c:pt>
                <c:pt idx="350">
                  <c:v>99</c:v>
                </c:pt>
                <c:pt idx="351">
                  <c:v>99</c:v>
                </c:pt>
                <c:pt idx="352">
                  <c:v>99</c:v>
                </c:pt>
                <c:pt idx="353">
                  <c:v>99</c:v>
                </c:pt>
                <c:pt idx="354">
                  <c:v>99</c:v>
                </c:pt>
                <c:pt idx="355">
                  <c:v>99</c:v>
                </c:pt>
                <c:pt idx="356">
                  <c:v>99</c:v>
                </c:pt>
                <c:pt idx="357">
                  <c:v>99</c:v>
                </c:pt>
                <c:pt idx="358">
                  <c:v>99</c:v>
                </c:pt>
                <c:pt idx="359">
                  <c:v>99</c:v>
                </c:pt>
                <c:pt idx="360">
                  <c:v>99</c:v>
                </c:pt>
                <c:pt idx="361">
                  <c:v>99</c:v>
                </c:pt>
                <c:pt idx="362">
                  <c:v>99</c:v>
                </c:pt>
                <c:pt idx="363">
                  <c:v>100</c:v>
                </c:pt>
                <c:pt idx="364">
                  <c:v>100</c:v>
                </c:pt>
                <c:pt idx="365">
                  <c:v>100</c:v>
                </c:pt>
                <c:pt idx="366">
                  <c:v>100</c:v>
                </c:pt>
                <c:pt idx="367">
                  <c:v>100</c:v>
                </c:pt>
                <c:pt idx="368">
                  <c:v>100</c:v>
                </c:pt>
                <c:pt idx="369">
                  <c:v>100</c:v>
                </c:pt>
                <c:pt idx="370">
                  <c:v>100</c:v>
                </c:pt>
                <c:pt idx="371">
                  <c:v>100</c:v>
                </c:pt>
                <c:pt idx="372">
                  <c:v>100</c:v>
                </c:pt>
                <c:pt idx="373">
                  <c:v>100</c:v>
                </c:pt>
                <c:pt idx="374">
                  <c:v>100</c:v>
                </c:pt>
                <c:pt idx="375">
                  <c:v>100</c:v>
                </c:pt>
                <c:pt idx="376">
                  <c:v>100</c:v>
                </c:pt>
                <c:pt idx="377">
                  <c:v>100</c:v>
                </c:pt>
                <c:pt idx="378">
                  <c:v>100</c:v>
                </c:pt>
                <c:pt idx="379">
                  <c:v>100</c:v>
                </c:pt>
                <c:pt idx="380">
                  <c:v>100</c:v>
                </c:pt>
                <c:pt idx="381">
                  <c:v>100</c:v>
                </c:pt>
                <c:pt idx="382">
                  <c:v>100</c:v>
                </c:pt>
                <c:pt idx="383">
                  <c:v>100</c:v>
                </c:pt>
                <c:pt idx="384">
                  <c:v>100</c:v>
                </c:pt>
                <c:pt idx="385">
                  <c:v>100</c:v>
                </c:pt>
                <c:pt idx="386">
                  <c:v>100</c:v>
                </c:pt>
                <c:pt idx="387">
                  <c:v>100</c:v>
                </c:pt>
                <c:pt idx="388">
                  <c:v>100</c:v>
                </c:pt>
                <c:pt idx="389">
                  <c:v>100</c:v>
                </c:pt>
                <c:pt idx="390">
                  <c:v>100</c:v>
                </c:pt>
                <c:pt idx="391">
                  <c:v>100</c:v>
                </c:pt>
                <c:pt idx="392">
                  <c:v>100</c:v>
                </c:pt>
                <c:pt idx="393">
                  <c:v>100</c:v>
                </c:pt>
                <c:pt idx="394">
                  <c:v>100</c:v>
                </c:pt>
                <c:pt idx="395">
                  <c:v>100</c:v>
                </c:pt>
                <c:pt idx="396">
                  <c:v>100</c:v>
                </c:pt>
                <c:pt idx="397">
                  <c:v>100</c:v>
                </c:pt>
                <c:pt idx="398">
                  <c:v>100</c:v>
                </c:pt>
                <c:pt idx="399">
                  <c:v>100</c:v>
                </c:pt>
                <c:pt idx="400">
                  <c:v>100</c:v>
                </c:pt>
                <c:pt idx="401">
                  <c:v>100</c:v>
                </c:pt>
                <c:pt idx="402">
                  <c:v>100</c:v>
                </c:pt>
                <c:pt idx="403">
                  <c:v>100</c:v>
                </c:pt>
                <c:pt idx="404">
                  <c:v>100</c:v>
                </c:pt>
                <c:pt idx="405">
                  <c:v>101</c:v>
                </c:pt>
                <c:pt idx="406">
                  <c:v>101</c:v>
                </c:pt>
                <c:pt idx="407">
                  <c:v>101</c:v>
                </c:pt>
                <c:pt idx="408">
                  <c:v>101</c:v>
                </c:pt>
                <c:pt idx="409">
                  <c:v>101</c:v>
                </c:pt>
                <c:pt idx="410">
                  <c:v>101</c:v>
                </c:pt>
                <c:pt idx="411">
                  <c:v>101</c:v>
                </c:pt>
                <c:pt idx="412">
                  <c:v>101</c:v>
                </c:pt>
                <c:pt idx="413">
                  <c:v>101</c:v>
                </c:pt>
                <c:pt idx="414">
                  <c:v>101</c:v>
                </c:pt>
                <c:pt idx="415">
                  <c:v>101</c:v>
                </c:pt>
                <c:pt idx="416">
                  <c:v>101</c:v>
                </c:pt>
                <c:pt idx="417">
                  <c:v>101</c:v>
                </c:pt>
                <c:pt idx="418">
                  <c:v>100</c:v>
                </c:pt>
                <c:pt idx="419">
                  <c:v>100</c:v>
                </c:pt>
                <c:pt idx="420">
                  <c:v>100</c:v>
                </c:pt>
                <c:pt idx="421">
                  <c:v>100</c:v>
                </c:pt>
                <c:pt idx="422">
                  <c:v>100</c:v>
                </c:pt>
                <c:pt idx="423">
                  <c:v>100</c:v>
                </c:pt>
                <c:pt idx="424">
                  <c:v>100</c:v>
                </c:pt>
                <c:pt idx="425">
                  <c:v>100</c:v>
                </c:pt>
                <c:pt idx="426">
                  <c:v>100</c:v>
                </c:pt>
                <c:pt idx="427">
                  <c:v>100</c:v>
                </c:pt>
                <c:pt idx="428">
                  <c:v>101</c:v>
                </c:pt>
                <c:pt idx="429">
                  <c:v>101</c:v>
                </c:pt>
                <c:pt idx="430">
                  <c:v>101</c:v>
                </c:pt>
                <c:pt idx="431">
                  <c:v>101</c:v>
                </c:pt>
                <c:pt idx="432">
                  <c:v>101</c:v>
                </c:pt>
                <c:pt idx="433">
                  <c:v>101</c:v>
                </c:pt>
                <c:pt idx="434">
                  <c:v>101</c:v>
                </c:pt>
                <c:pt idx="435">
                  <c:v>101</c:v>
                </c:pt>
                <c:pt idx="436">
                  <c:v>101</c:v>
                </c:pt>
                <c:pt idx="437">
                  <c:v>101</c:v>
                </c:pt>
                <c:pt idx="438">
                  <c:v>101</c:v>
                </c:pt>
                <c:pt idx="439">
                  <c:v>101</c:v>
                </c:pt>
                <c:pt idx="440">
                  <c:v>102</c:v>
                </c:pt>
                <c:pt idx="441">
                  <c:v>102</c:v>
                </c:pt>
                <c:pt idx="442">
                  <c:v>102</c:v>
                </c:pt>
                <c:pt idx="443">
                  <c:v>102</c:v>
                </c:pt>
                <c:pt idx="444">
                  <c:v>102</c:v>
                </c:pt>
                <c:pt idx="445">
                  <c:v>102</c:v>
                </c:pt>
                <c:pt idx="446">
                  <c:v>102</c:v>
                </c:pt>
                <c:pt idx="447">
                  <c:v>102</c:v>
                </c:pt>
                <c:pt idx="448">
                  <c:v>102</c:v>
                </c:pt>
                <c:pt idx="449">
                  <c:v>102</c:v>
                </c:pt>
                <c:pt idx="450">
                  <c:v>102</c:v>
                </c:pt>
                <c:pt idx="451">
                  <c:v>102</c:v>
                </c:pt>
                <c:pt idx="452">
                  <c:v>102</c:v>
                </c:pt>
                <c:pt idx="453">
                  <c:v>102</c:v>
                </c:pt>
                <c:pt idx="454">
                  <c:v>102</c:v>
                </c:pt>
                <c:pt idx="455">
                  <c:v>102</c:v>
                </c:pt>
                <c:pt idx="456">
                  <c:v>102</c:v>
                </c:pt>
                <c:pt idx="457">
                  <c:v>102</c:v>
                </c:pt>
                <c:pt idx="458">
                  <c:v>102</c:v>
                </c:pt>
                <c:pt idx="459">
                  <c:v>102</c:v>
                </c:pt>
                <c:pt idx="460">
                  <c:v>102</c:v>
                </c:pt>
                <c:pt idx="461">
                  <c:v>102</c:v>
                </c:pt>
                <c:pt idx="462">
                  <c:v>103</c:v>
                </c:pt>
                <c:pt idx="463">
                  <c:v>103</c:v>
                </c:pt>
                <c:pt idx="464">
                  <c:v>103</c:v>
                </c:pt>
                <c:pt idx="465">
                  <c:v>103</c:v>
                </c:pt>
                <c:pt idx="466">
                  <c:v>104</c:v>
                </c:pt>
                <c:pt idx="467">
                  <c:v>104</c:v>
                </c:pt>
                <c:pt idx="468">
                  <c:v>106</c:v>
                </c:pt>
                <c:pt idx="469">
                  <c:v>106</c:v>
                </c:pt>
                <c:pt idx="470">
                  <c:v>105</c:v>
                </c:pt>
                <c:pt idx="471">
                  <c:v>105</c:v>
                </c:pt>
                <c:pt idx="472">
                  <c:v>105</c:v>
                </c:pt>
                <c:pt idx="473">
                  <c:v>105</c:v>
                </c:pt>
                <c:pt idx="474">
                  <c:v>105</c:v>
                </c:pt>
                <c:pt idx="475">
                  <c:v>105</c:v>
                </c:pt>
                <c:pt idx="476">
                  <c:v>106</c:v>
                </c:pt>
                <c:pt idx="477">
                  <c:v>106</c:v>
                </c:pt>
                <c:pt idx="478">
                  <c:v>106</c:v>
                </c:pt>
                <c:pt idx="479">
                  <c:v>106</c:v>
                </c:pt>
                <c:pt idx="480">
                  <c:v>107</c:v>
                </c:pt>
                <c:pt idx="481">
                  <c:v>107</c:v>
                </c:pt>
                <c:pt idx="482">
                  <c:v>108</c:v>
                </c:pt>
                <c:pt idx="483">
                  <c:v>108</c:v>
                </c:pt>
                <c:pt idx="484">
                  <c:v>108</c:v>
                </c:pt>
                <c:pt idx="485">
                  <c:v>108</c:v>
                </c:pt>
                <c:pt idx="486">
                  <c:v>108</c:v>
                </c:pt>
                <c:pt idx="487">
                  <c:v>108</c:v>
                </c:pt>
                <c:pt idx="488">
                  <c:v>108</c:v>
                </c:pt>
                <c:pt idx="489">
                  <c:v>108</c:v>
                </c:pt>
                <c:pt idx="490">
                  <c:v>108</c:v>
                </c:pt>
                <c:pt idx="491">
                  <c:v>108</c:v>
                </c:pt>
                <c:pt idx="492">
                  <c:v>108</c:v>
                </c:pt>
                <c:pt idx="493">
                  <c:v>108</c:v>
                </c:pt>
                <c:pt idx="494">
                  <c:v>108</c:v>
                </c:pt>
                <c:pt idx="495">
                  <c:v>108</c:v>
                </c:pt>
                <c:pt idx="496">
                  <c:v>108</c:v>
                </c:pt>
                <c:pt idx="497">
                  <c:v>108</c:v>
                </c:pt>
                <c:pt idx="498">
                  <c:v>109</c:v>
                </c:pt>
                <c:pt idx="499">
                  <c:v>108</c:v>
                </c:pt>
                <c:pt idx="500">
                  <c:v>108</c:v>
                </c:pt>
                <c:pt idx="501">
                  <c:v>108</c:v>
                </c:pt>
                <c:pt idx="502">
                  <c:v>107</c:v>
                </c:pt>
                <c:pt idx="503">
                  <c:v>107</c:v>
                </c:pt>
                <c:pt idx="504">
                  <c:v>107</c:v>
                </c:pt>
                <c:pt idx="505">
                  <c:v>107</c:v>
                </c:pt>
                <c:pt idx="506">
                  <c:v>107</c:v>
                </c:pt>
                <c:pt idx="507">
                  <c:v>107</c:v>
                </c:pt>
                <c:pt idx="508">
                  <c:v>107</c:v>
                </c:pt>
                <c:pt idx="509">
                  <c:v>107</c:v>
                </c:pt>
                <c:pt idx="510">
                  <c:v>107</c:v>
                </c:pt>
                <c:pt idx="511">
                  <c:v>107</c:v>
                </c:pt>
                <c:pt idx="512">
                  <c:v>107</c:v>
                </c:pt>
                <c:pt idx="513">
                  <c:v>107</c:v>
                </c:pt>
                <c:pt idx="514">
                  <c:v>108</c:v>
                </c:pt>
                <c:pt idx="515">
                  <c:v>108</c:v>
                </c:pt>
                <c:pt idx="516">
                  <c:v>108</c:v>
                </c:pt>
                <c:pt idx="517">
                  <c:v>108</c:v>
                </c:pt>
                <c:pt idx="518">
                  <c:v>108</c:v>
                </c:pt>
                <c:pt idx="519">
                  <c:v>108</c:v>
                </c:pt>
                <c:pt idx="520">
                  <c:v>108</c:v>
                </c:pt>
                <c:pt idx="521">
                  <c:v>108</c:v>
                </c:pt>
                <c:pt idx="522">
                  <c:v>108</c:v>
                </c:pt>
                <c:pt idx="523">
                  <c:v>108</c:v>
                </c:pt>
                <c:pt idx="524">
                  <c:v>108</c:v>
                </c:pt>
                <c:pt idx="525">
                  <c:v>108</c:v>
                </c:pt>
                <c:pt idx="526">
                  <c:v>109</c:v>
                </c:pt>
                <c:pt idx="527">
                  <c:v>109</c:v>
                </c:pt>
                <c:pt idx="528">
                  <c:v>109</c:v>
                </c:pt>
                <c:pt idx="529">
                  <c:v>109</c:v>
                </c:pt>
                <c:pt idx="530">
                  <c:v>109</c:v>
                </c:pt>
                <c:pt idx="531">
                  <c:v>109</c:v>
                </c:pt>
                <c:pt idx="532">
                  <c:v>109</c:v>
                </c:pt>
                <c:pt idx="533">
                  <c:v>108</c:v>
                </c:pt>
                <c:pt idx="534">
                  <c:v>108</c:v>
                </c:pt>
                <c:pt idx="535">
                  <c:v>108</c:v>
                </c:pt>
                <c:pt idx="536">
                  <c:v>109</c:v>
                </c:pt>
                <c:pt idx="537">
                  <c:v>109</c:v>
                </c:pt>
                <c:pt idx="538">
                  <c:v>109</c:v>
                </c:pt>
                <c:pt idx="539">
                  <c:v>109</c:v>
                </c:pt>
                <c:pt idx="540">
                  <c:v>109</c:v>
                </c:pt>
                <c:pt idx="541">
                  <c:v>109</c:v>
                </c:pt>
                <c:pt idx="542">
                  <c:v>109</c:v>
                </c:pt>
                <c:pt idx="543">
                  <c:v>109</c:v>
                </c:pt>
                <c:pt idx="544">
                  <c:v>109</c:v>
                </c:pt>
                <c:pt idx="545">
                  <c:v>109</c:v>
                </c:pt>
                <c:pt idx="546">
                  <c:v>109</c:v>
                </c:pt>
                <c:pt idx="547">
                  <c:v>109</c:v>
                </c:pt>
                <c:pt idx="548">
                  <c:v>109</c:v>
                </c:pt>
                <c:pt idx="549">
                  <c:v>109</c:v>
                </c:pt>
                <c:pt idx="550">
                  <c:v>110</c:v>
                </c:pt>
                <c:pt idx="551">
                  <c:v>110</c:v>
                </c:pt>
                <c:pt idx="552">
                  <c:v>110</c:v>
                </c:pt>
                <c:pt idx="553">
                  <c:v>110</c:v>
                </c:pt>
                <c:pt idx="554">
                  <c:v>110</c:v>
                </c:pt>
                <c:pt idx="555">
                  <c:v>110</c:v>
                </c:pt>
                <c:pt idx="556">
                  <c:v>111</c:v>
                </c:pt>
                <c:pt idx="557">
                  <c:v>111</c:v>
                </c:pt>
                <c:pt idx="558">
                  <c:v>110</c:v>
                </c:pt>
                <c:pt idx="559">
                  <c:v>109</c:v>
                </c:pt>
                <c:pt idx="560">
                  <c:v>107</c:v>
                </c:pt>
                <c:pt idx="561">
                  <c:v>107</c:v>
                </c:pt>
                <c:pt idx="562">
                  <c:v>108</c:v>
                </c:pt>
                <c:pt idx="563">
                  <c:v>108</c:v>
                </c:pt>
                <c:pt idx="564">
                  <c:v>108</c:v>
                </c:pt>
                <c:pt idx="565">
                  <c:v>108</c:v>
                </c:pt>
                <c:pt idx="566">
                  <c:v>108</c:v>
                </c:pt>
                <c:pt idx="567">
                  <c:v>108</c:v>
                </c:pt>
                <c:pt idx="568">
                  <c:v>108</c:v>
                </c:pt>
                <c:pt idx="569">
                  <c:v>107</c:v>
                </c:pt>
                <c:pt idx="570">
                  <c:v>107</c:v>
                </c:pt>
                <c:pt idx="571">
                  <c:v>107</c:v>
                </c:pt>
                <c:pt idx="572">
                  <c:v>107</c:v>
                </c:pt>
                <c:pt idx="573">
                  <c:v>107</c:v>
                </c:pt>
                <c:pt idx="574">
                  <c:v>107</c:v>
                </c:pt>
                <c:pt idx="575">
                  <c:v>108</c:v>
                </c:pt>
                <c:pt idx="576">
                  <c:v>108</c:v>
                </c:pt>
                <c:pt idx="577">
                  <c:v>108</c:v>
                </c:pt>
                <c:pt idx="578">
                  <c:v>108</c:v>
                </c:pt>
                <c:pt idx="579">
                  <c:v>108</c:v>
                </c:pt>
                <c:pt idx="580">
                  <c:v>108</c:v>
                </c:pt>
                <c:pt idx="581">
                  <c:v>108</c:v>
                </c:pt>
                <c:pt idx="582">
                  <c:v>108</c:v>
                </c:pt>
                <c:pt idx="583">
                  <c:v>108</c:v>
                </c:pt>
                <c:pt idx="584">
                  <c:v>108</c:v>
                </c:pt>
                <c:pt idx="585">
                  <c:v>108</c:v>
                </c:pt>
                <c:pt idx="586">
                  <c:v>107.5</c:v>
                </c:pt>
                <c:pt idx="587">
                  <c:v>108</c:v>
                </c:pt>
                <c:pt idx="588">
                  <c:v>107</c:v>
                </c:pt>
                <c:pt idx="589">
                  <c:v>107</c:v>
                </c:pt>
                <c:pt idx="590">
                  <c:v>108</c:v>
                </c:pt>
                <c:pt idx="591">
                  <c:v>107</c:v>
                </c:pt>
                <c:pt idx="592">
                  <c:v>107</c:v>
                </c:pt>
                <c:pt idx="593">
                  <c:v>107</c:v>
                </c:pt>
                <c:pt idx="594">
                  <c:v>107</c:v>
                </c:pt>
                <c:pt idx="595">
                  <c:v>107</c:v>
                </c:pt>
                <c:pt idx="596">
                  <c:v>107</c:v>
                </c:pt>
                <c:pt idx="597">
                  <c:v>107</c:v>
                </c:pt>
                <c:pt idx="598">
                  <c:v>107</c:v>
                </c:pt>
                <c:pt idx="599">
                  <c:v>107</c:v>
                </c:pt>
                <c:pt idx="600">
                  <c:v>107</c:v>
                </c:pt>
                <c:pt idx="601">
                  <c:v>107</c:v>
                </c:pt>
                <c:pt idx="602">
                  <c:v>106</c:v>
                </c:pt>
                <c:pt idx="603">
                  <c:v>106</c:v>
                </c:pt>
                <c:pt idx="604">
                  <c:v>106</c:v>
                </c:pt>
                <c:pt idx="605">
                  <c:v>106</c:v>
                </c:pt>
                <c:pt idx="606">
                  <c:v>106</c:v>
                </c:pt>
                <c:pt idx="607">
                  <c:v>106</c:v>
                </c:pt>
                <c:pt idx="608">
                  <c:v>106</c:v>
                </c:pt>
                <c:pt idx="609">
                  <c:v>105</c:v>
                </c:pt>
                <c:pt idx="610">
                  <c:v>103</c:v>
                </c:pt>
                <c:pt idx="611">
                  <c:v>103</c:v>
                </c:pt>
                <c:pt idx="612">
                  <c:v>102</c:v>
                </c:pt>
                <c:pt idx="613">
                  <c:v>102</c:v>
                </c:pt>
                <c:pt idx="614">
                  <c:v>102</c:v>
                </c:pt>
                <c:pt idx="615">
                  <c:v>102</c:v>
                </c:pt>
                <c:pt idx="616">
                  <c:v>102</c:v>
                </c:pt>
                <c:pt idx="617">
                  <c:v>102</c:v>
                </c:pt>
                <c:pt idx="618">
                  <c:v>102</c:v>
                </c:pt>
                <c:pt idx="619">
                  <c:v>102</c:v>
                </c:pt>
                <c:pt idx="620">
                  <c:v>102</c:v>
                </c:pt>
                <c:pt idx="621">
                  <c:v>101.94243792325057</c:v>
                </c:pt>
                <c:pt idx="622">
                  <c:v>102.05556788603941</c:v>
                </c:pt>
                <c:pt idx="623">
                  <c:v>102.0905861456483</c:v>
                </c:pt>
                <c:pt idx="624">
                  <c:v>102.22676745220097</c:v>
                </c:pt>
                <c:pt idx="625">
                  <c:v>102.61459495648292</c:v>
                </c:pt>
                <c:pt idx="626">
                  <c:v>102.98230683090705</c:v>
                </c:pt>
                <c:pt idx="627">
                  <c:v>103.73845806755952</c:v>
                </c:pt>
                <c:pt idx="628">
                  <c:v>104.41303001527598</c:v>
                </c:pt>
                <c:pt idx="629">
                  <c:v>104.62901824500432</c:v>
                </c:pt>
                <c:pt idx="630">
                  <c:v>104.82417309127082</c:v>
                </c:pt>
                <c:pt idx="631">
                  <c:v>104.87633739736252</c:v>
                </c:pt>
                <c:pt idx="632">
                  <c:v>104.86763974125061</c:v>
                </c:pt>
                <c:pt idx="633">
                  <c:v>104.42596415889007</c:v>
                </c:pt>
                <c:pt idx="634">
                  <c:v>104.02221125370185</c:v>
                </c:pt>
                <c:pt idx="635">
                  <c:v>103.6067105020586</c:v>
                </c:pt>
                <c:pt idx="636">
                  <c:v>103.02845619538425</c:v>
                </c:pt>
                <c:pt idx="637">
                  <c:v>102.74174283973186</c:v>
                </c:pt>
                <c:pt idx="638">
                  <c:v>102.5230769230769</c:v>
                </c:pt>
                <c:pt idx="639">
                  <c:v>102.67500304494335</c:v>
                </c:pt>
                <c:pt idx="640">
                  <c:v>102.95296057318487</c:v>
                </c:pt>
                <c:pt idx="641">
                  <c:v>103.08935268221099</c:v>
                </c:pt>
                <c:pt idx="642">
                  <c:v>102.99908363369784</c:v>
                </c:pt>
                <c:pt idx="643">
                  <c:v>102.85665480427045</c:v>
                </c:pt>
                <c:pt idx="644">
                  <c:v>102.75009141510583</c:v>
                </c:pt>
                <c:pt idx="645">
                  <c:v>102.69584991472426</c:v>
                </c:pt>
                <c:pt idx="646">
                  <c:v>102.77514528386229</c:v>
                </c:pt>
                <c:pt idx="647">
                  <c:v>102.99698623442207</c:v>
                </c:pt>
                <c:pt idx="648">
                  <c:v>103.07884815260142</c:v>
                </c:pt>
                <c:pt idx="649">
                  <c:v>103.20083246618104</c:v>
                </c:pt>
                <c:pt idx="650">
                  <c:v>103.10616438356162</c:v>
                </c:pt>
                <c:pt idx="651">
                  <c:v>103.01796407185626</c:v>
                </c:pt>
                <c:pt idx="652">
                  <c:v>102.74591695782885</c:v>
                </c:pt>
                <c:pt idx="653">
                  <c:v>102.58337727659917</c:v>
                </c:pt>
                <c:pt idx="654">
                  <c:v>102.44831986388768</c:v>
                </c:pt>
                <c:pt idx="655">
                  <c:v>102.49399177288291</c:v>
                </c:pt>
                <c:pt idx="656">
                  <c:v>102.57089552238804</c:v>
                </c:pt>
                <c:pt idx="657">
                  <c:v>102.47115072933548</c:v>
                </c:pt>
                <c:pt idx="658">
                  <c:v>102.48360821817886</c:v>
                </c:pt>
                <c:pt idx="659">
                  <c:v>102.46077180188392</c:v>
                </c:pt>
                <c:pt idx="660">
                  <c:v>102.49606873632163</c:v>
                </c:pt>
                <c:pt idx="661">
                  <c:v>102.46077180188394</c:v>
                </c:pt>
                <c:pt idx="662">
                  <c:v>102.45869626868695</c:v>
                </c:pt>
                <c:pt idx="663">
                  <c:v>102.56049638055845</c:v>
                </c:pt>
                <c:pt idx="664">
                  <c:v>102.62708734909202</c:v>
                </c:pt>
                <c:pt idx="665">
                  <c:v>102.829470602586</c:v>
                </c:pt>
                <c:pt idx="666">
                  <c:v>103.18398988147453</c:v>
                </c:pt>
              </c:numCache>
            </c:numRef>
          </c:val>
          <c:smooth val="0"/>
          <c:extLst>
            <c:ext xmlns:c16="http://schemas.microsoft.com/office/drawing/2014/chart" uri="{C3380CC4-5D6E-409C-BE32-E72D297353CC}">
              <c16:uniqueId val="{00000001-278A-4EF5-B312-96BEA00F0B78}"/>
            </c:ext>
          </c:extLst>
        </c:ser>
        <c:ser>
          <c:idx val="3"/>
          <c:order val="2"/>
          <c:tx>
            <c:strRef>
              <c:f>Sheet1!$D$1</c:f>
              <c:strCache>
                <c:ptCount val="1"/>
                <c:pt idx="0">
                  <c:v>Ռուսական ռուբլի</c:v>
                </c:pt>
              </c:strCache>
            </c:strRef>
          </c:tx>
          <c:spPr>
            <a:ln w="28575" cap="rnd">
              <a:solidFill>
                <a:srgbClr val="C00000"/>
              </a:solidFill>
              <a:round/>
            </a:ln>
            <a:effectLst/>
          </c:spPr>
          <c:marker>
            <c:symbol val="none"/>
          </c:marker>
          <c:cat>
            <c:numRef>
              <c:f>Sheet1!$A$2:$A$668</c:f>
              <c:numCache>
                <c:formatCode>m/d/yyyy</c:formatCode>
                <c:ptCount val="667"/>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c:v>44342</c:v>
                </c:pt>
                <c:pt idx="590">
                  <c:v>44343</c:v>
                </c:pt>
                <c:pt idx="591">
                  <c:v>44347</c:v>
                </c:pt>
                <c:pt idx="592">
                  <c:v>44348</c:v>
                </c:pt>
                <c:pt idx="593">
                  <c:v>44349</c:v>
                </c:pt>
                <c:pt idx="594">
                  <c:v>44350</c:v>
                </c:pt>
                <c:pt idx="595">
                  <c:v>44351</c:v>
                </c:pt>
                <c:pt idx="596">
                  <c:v>44354</c:v>
                </c:pt>
                <c:pt idx="597">
                  <c:v>44355</c:v>
                </c:pt>
                <c:pt idx="598">
                  <c:v>44356</c:v>
                </c:pt>
                <c:pt idx="599">
                  <c:v>44357</c:v>
                </c:pt>
                <c:pt idx="600">
                  <c:v>44358</c:v>
                </c:pt>
                <c:pt idx="601">
                  <c:v>44361</c:v>
                </c:pt>
                <c:pt idx="602">
                  <c:v>44362</c:v>
                </c:pt>
                <c:pt idx="603">
                  <c:v>44363</c:v>
                </c:pt>
                <c:pt idx="604">
                  <c:v>44364</c:v>
                </c:pt>
                <c:pt idx="605">
                  <c:v>44365</c:v>
                </c:pt>
                <c:pt idx="606">
                  <c:v>44368</c:v>
                </c:pt>
                <c:pt idx="607">
                  <c:v>44369</c:v>
                </c:pt>
                <c:pt idx="608">
                  <c:v>44370</c:v>
                </c:pt>
                <c:pt idx="609">
                  <c:v>44371</c:v>
                </c:pt>
                <c:pt idx="610">
                  <c:v>44372</c:v>
                </c:pt>
                <c:pt idx="611">
                  <c:v>44375</c:v>
                </c:pt>
                <c:pt idx="612">
                  <c:v>44376</c:v>
                </c:pt>
                <c:pt idx="613">
                  <c:v>44377</c:v>
                </c:pt>
                <c:pt idx="614">
                  <c:v>44378</c:v>
                </c:pt>
                <c:pt idx="615">
                  <c:v>44379</c:v>
                </c:pt>
                <c:pt idx="616">
                  <c:v>44383</c:v>
                </c:pt>
                <c:pt idx="617">
                  <c:v>44384</c:v>
                </c:pt>
                <c:pt idx="618">
                  <c:v>44385</c:v>
                </c:pt>
                <c:pt idx="619">
                  <c:v>44386</c:v>
                </c:pt>
                <c:pt idx="620">
                  <c:v>44389</c:v>
                </c:pt>
                <c:pt idx="621">
                  <c:v>44390</c:v>
                </c:pt>
                <c:pt idx="622">
                  <c:v>44391</c:v>
                </c:pt>
                <c:pt idx="623">
                  <c:v>44392</c:v>
                </c:pt>
                <c:pt idx="624">
                  <c:v>44393</c:v>
                </c:pt>
                <c:pt idx="625">
                  <c:v>44396</c:v>
                </c:pt>
                <c:pt idx="626">
                  <c:v>44397</c:v>
                </c:pt>
                <c:pt idx="627">
                  <c:v>44398</c:v>
                </c:pt>
                <c:pt idx="628">
                  <c:v>44399</c:v>
                </c:pt>
                <c:pt idx="629">
                  <c:v>44400</c:v>
                </c:pt>
                <c:pt idx="630">
                  <c:v>44403</c:v>
                </c:pt>
                <c:pt idx="631">
                  <c:v>44404</c:v>
                </c:pt>
                <c:pt idx="632">
                  <c:v>44405</c:v>
                </c:pt>
                <c:pt idx="633">
                  <c:v>44406</c:v>
                </c:pt>
                <c:pt idx="634">
                  <c:v>44407</c:v>
                </c:pt>
                <c:pt idx="635">
                  <c:v>44410</c:v>
                </c:pt>
                <c:pt idx="636">
                  <c:v>44411</c:v>
                </c:pt>
                <c:pt idx="637">
                  <c:v>44412</c:v>
                </c:pt>
                <c:pt idx="638">
                  <c:v>44413</c:v>
                </c:pt>
                <c:pt idx="639">
                  <c:v>44414</c:v>
                </c:pt>
                <c:pt idx="640">
                  <c:v>44417</c:v>
                </c:pt>
                <c:pt idx="641">
                  <c:v>44418</c:v>
                </c:pt>
                <c:pt idx="642">
                  <c:v>44419</c:v>
                </c:pt>
                <c:pt idx="643">
                  <c:v>44420</c:v>
                </c:pt>
                <c:pt idx="644">
                  <c:v>44421</c:v>
                </c:pt>
                <c:pt idx="645">
                  <c:v>44424</c:v>
                </c:pt>
                <c:pt idx="646">
                  <c:v>44425</c:v>
                </c:pt>
                <c:pt idx="647">
                  <c:v>44426</c:v>
                </c:pt>
                <c:pt idx="648">
                  <c:v>44427</c:v>
                </c:pt>
                <c:pt idx="649">
                  <c:v>44428</c:v>
                </c:pt>
                <c:pt idx="650">
                  <c:v>44431</c:v>
                </c:pt>
                <c:pt idx="651">
                  <c:v>44432</c:v>
                </c:pt>
                <c:pt idx="652">
                  <c:v>44433</c:v>
                </c:pt>
                <c:pt idx="653">
                  <c:v>44434</c:v>
                </c:pt>
                <c:pt idx="654">
                  <c:v>44435</c:v>
                </c:pt>
                <c:pt idx="655">
                  <c:v>44438</c:v>
                </c:pt>
                <c:pt idx="656">
                  <c:v>44439</c:v>
                </c:pt>
                <c:pt idx="657">
                  <c:v>44440</c:v>
                </c:pt>
                <c:pt idx="658">
                  <c:v>44441</c:v>
                </c:pt>
                <c:pt idx="659">
                  <c:v>44442</c:v>
                </c:pt>
                <c:pt idx="660">
                  <c:v>44445</c:v>
                </c:pt>
                <c:pt idx="661">
                  <c:v>44446</c:v>
                </c:pt>
                <c:pt idx="662">
                  <c:v>44447</c:v>
                </c:pt>
                <c:pt idx="663">
                  <c:v>44448</c:v>
                </c:pt>
                <c:pt idx="664">
                  <c:v>44449</c:v>
                </c:pt>
                <c:pt idx="665">
                  <c:v>44452</c:v>
                </c:pt>
                <c:pt idx="666">
                  <c:v>44453</c:v>
                </c:pt>
              </c:numCache>
            </c:numRef>
          </c:cat>
          <c:val>
            <c:numRef>
              <c:f>Sheet1!$D$2:$D$668</c:f>
              <c:numCache>
                <c:formatCode>0</c:formatCode>
                <c:ptCount val="667"/>
                <c:pt idx="0">
                  <c:v>100</c:v>
                </c:pt>
                <c:pt idx="1">
                  <c:v>100</c:v>
                </c:pt>
                <c:pt idx="2">
                  <c:v>100</c:v>
                </c:pt>
                <c:pt idx="3">
                  <c:v>100</c:v>
                </c:pt>
                <c:pt idx="4">
                  <c:v>100</c:v>
                </c:pt>
                <c:pt idx="5">
                  <c:v>100</c:v>
                </c:pt>
                <c:pt idx="6">
                  <c:v>99</c:v>
                </c:pt>
                <c:pt idx="7">
                  <c:v>99</c:v>
                </c:pt>
                <c:pt idx="8">
                  <c:v>99</c:v>
                </c:pt>
                <c:pt idx="9">
                  <c:v>99</c:v>
                </c:pt>
                <c:pt idx="10">
                  <c:v>99</c:v>
                </c:pt>
                <c:pt idx="11">
                  <c:v>99</c:v>
                </c:pt>
                <c:pt idx="12">
                  <c:v>98</c:v>
                </c:pt>
                <c:pt idx="13">
                  <c:v>99</c:v>
                </c:pt>
                <c:pt idx="14">
                  <c:v>99</c:v>
                </c:pt>
                <c:pt idx="15">
                  <c:v>98</c:v>
                </c:pt>
                <c:pt idx="16">
                  <c:v>97</c:v>
                </c:pt>
                <c:pt idx="17">
                  <c:v>98</c:v>
                </c:pt>
                <c:pt idx="18">
                  <c:v>98</c:v>
                </c:pt>
                <c:pt idx="19">
                  <c:v>98</c:v>
                </c:pt>
                <c:pt idx="20">
                  <c:v>98</c:v>
                </c:pt>
                <c:pt idx="21">
                  <c:v>98</c:v>
                </c:pt>
                <c:pt idx="22">
                  <c:v>98</c:v>
                </c:pt>
                <c:pt idx="23">
                  <c:v>98</c:v>
                </c:pt>
                <c:pt idx="24">
                  <c:v>98</c:v>
                </c:pt>
                <c:pt idx="25">
                  <c:v>98</c:v>
                </c:pt>
                <c:pt idx="26">
                  <c:v>100</c:v>
                </c:pt>
                <c:pt idx="27">
                  <c:v>99</c:v>
                </c:pt>
                <c:pt idx="28">
                  <c:v>99</c:v>
                </c:pt>
                <c:pt idx="29">
                  <c:v>99</c:v>
                </c:pt>
                <c:pt idx="30">
                  <c:v>98</c:v>
                </c:pt>
                <c:pt idx="31">
                  <c:v>98</c:v>
                </c:pt>
                <c:pt idx="32">
                  <c:v>98</c:v>
                </c:pt>
                <c:pt idx="33">
                  <c:v>97</c:v>
                </c:pt>
                <c:pt idx="34">
                  <c:v>98</c:v>
                </c:pt>
                <c:pt idx="35">
                  <c:v>98</c:v>
                </c:pt>
                <c:pt idx="36">
                  <c:v>98</c:v>
                </c:pt>
                <c:pt idx="37">
                  <c:v>98</c:v>
                </c:pt>
                <c:pt idx="38">
                  <c:v>98</c:v>
                </c:pt>
                <c:pt idx="39">
                  <c:v>98</c:v>
                </c:pt>
                <c:pt idx="40">
                  <c:v>98</c:v>
                </c:pt>
                <c:pt idx="41">
                  <c:v>98</c:v>
                </c:pt>
                <c:pt idx="42">
                  <c:v>98</c:v>
                </c:pt>
                <c:pt idx="43">
                  <c:v>98</c:v>
                </c:pt>
                <c:pt idx="44">
                  <c:v>98</c:v>
                </c:pt>
                <c:pt idx="45">
                  <c:v>98</c:v>
                </c:pt>
                <c:pt idx="46">
                  <c:v>97</c:v>
                </c:pt>
                <c:pt idx="47">
                  <c:v>96</c:v>
                </c:pt>
                <c:pt idx="48">
                  <c:v>96</c:v>
                </c:pt>
                <c:pt idx="49">
                  <c:v>96</c:v>
                </c:pt>
                <c:pt idx="50">
                  <c:v>95</c:v>
                </c:pt>
                <c:pt idx="51">
                  <c:v>96</c:v>
                </c:pt>
                <c:pt idx="52">
                  <c:v>96</c:v>
                </c:pt>
                <c:pt idx="53">
                  <c:v>96</c:v>
                </c:pt>
                <c:pt idx="54">
                  <c:v>97</c:v>
                </c:pt>
                <c:pt idx="55">
                  <c:v>97</c:v>
                </c:pt>
                <c:pt idx="56">
                  <c:v>96</c:v>
                </c:pt>
                <c:pt idx="57">
                  <c:v>97</c:v>
                </c:pt>
                <c:pt idx="58">
                  <c:v>98</c:v>
                </c:pt>
                <c:pt idx="59">
                  <c:v>97</c:v>
                </c:pt>
                <c:pt idx="60">
                  <c:v>97</c:v>
                </c:pt>
                <c:pt idx="61">
                  <c:v>98</c:v>
                </c:pt>
                <c:pt idx="62">
                  <c:v>98</c:v>
                </c:pt>
                <c:pt idx="63">
                  <c:v>96</c:v>
                </c:pt>
                <c:pt idx="64">
                  <c:v>96</c:v>
                </c:pt>
                <c:pt idx="65">
                  <c:v>96</c:v>
                </c:pt>
                <c:pt idx="66">
                  <c:v>96</c:v>
                </c:pt>
                <c:pt idx="67">
                  <c:v>96</c:v>
                </c:pt>
                <c:pt idx="68">
                  <c:v>96</c:v>
                </c:pt>
                <c:pt idx="69">
                  <c:v>95</c:v>
                </c:pt>
                <c:pt idx="70">
                  <c:v>95</c:v>
                </c:pt>
                <c:pt idx="71">
                  <c:v>95</c:v>
                </c:pt>
                <c:pt idx="72">
                  <c:v>95</c:v>
                </c:pt>
                <c:pt idx="73">
                  <c:v>95</c:v>
                </c:pt>
                <c:pt idx="74">
                  <c:v>97</c:v>
                </c:pt>
                <c:pt idx="75">
                  <c:v>97</c:v>
                </c:pt>
                <c:pt idx="76">
                  <c:v>96</c:v>
                </c:pt>
                <c:pt idx="77">
                  <c:v>96</c:v>
                </c:pt>
                <c:pt idx="78">
                  <c:v>97</c:v>
                </c:pt>
                <c:pt idx="79">
                  <c:v>97</c:v>
                </c:pt>
                <c:pt idx="80">
                  <c:v>97</c:v>
                </c:pt>
                <c:pt idx="81">
                  <c:v>97</c:v>
                </c:pt>
                <c:pt idx="82">
                  <c:v>97</c:v>
                </c:pt>
                <c:pt idx="83">
                  <c:v>97</c:v>
                </c:pt>
                <c:pt idx="84">
                  <c:v>97</c:v>
                </c:pt>
                <c:pt idx="85">
                  <c:v>97</c:v>
                </c:pt>
                <c:pt idx="86">
                  <c:v>97</c:v>
                </c:pt>
                <c:pt idx="87">
                  <c:v>96</c:v>
                </c:pt>
                <c:pt idx="88">
                  <c:v>96</c:v>
                </c:pt>
                <c:pt idx="89">
                  <c:v>96</c:v>
                </c:pt>
                <c:pt idx="90">
                  <c:v>96</c:v>
                </c:pt>
                <c:pt idx="91">
                  <c:v>96</c:v>
                </c:pt>
                <c:pt idx="92">
                  <c:v>96</c:v>
                </c:pt>
                <c:pt idx="93">
                  <c:v>96</c:v>
                </c:pt>
                <c:pt idx="94">
                  <c:v>96</c:v>
                </c:pt>
                <c:pt idx="95">
                  <c:v>97</c:v>
                </c:pt>
                <c:pt idx="96">
                  <c:v>97</c:v>
                </c:pt>
                <c:pt idx="97">
                  <c:v>98</c:v>
                </c:pt>
                <c:pt idx="98">
                  <c:v>97</c:v>
                </c:pt>
                <c:pt idx="99">
                  <c:v>97</c:v>
                </c:pt>
                <c:pt idx="100">
                  <c:v>97</c:v>
                </c:pt>
                <c:pt idx="101">
                  <c:v>97</c:v>
                </c:pt>
                <c:pt idx="102">
                  <c:v>97</c:v>
                </c:pt>
                <c:pt idx="103">
                  <c:v>96</c:v>
                </c:pt>
                <c:pt idx="104">
                  <c:v>96</c:v>
                </c:pt>
                <c:pt idx="105">
                  <c:v>96</c:v>
                </c:pt>
                <c:pt idx="106">
                  <c:v>96</c:v>
                </c:pt>
                <c:pt idx="107">
                  <c:v>96</c:v>
                </c:pt>
                <c:pt idx="108">
                  <c:v>96</c:v>
                </c:pt>
                <c:pt idx="109">
                  <c:v>96</c:v>
                </c:pt>
                <c:pt idx="110">
                  <c:v>95</c:v>
                </c:pt>
                <c:pt idx="111">
                  <c:v>94</c:v>
                </c:pt>
                <c:pt idx="112">
                  <c:v>94</c:v>
                </c:pt>
                <c:pt idx="113">
                  <c:v>94</c:v>
                </c:pt>
                <c:pt idx="114">
                  <c:v>93</c:v>
                </c:pt>
                <c:pt idx="115">
                  <c:v>94</c:v>
                </c:pt>
                <c:pt idx="116">
                  <c:v>94</c:v>
                </c:pt>
                <c:pt idx="117">
                  <c:v>94</c:v>
                </c:pt>
                <c:pt idx="118">
                  <c:v>94</c:v>
                </c:pt>
                <c:pt idx="119">
                  <c:v>94</c:v>
                </c:pt>
                <c:pt idx="120">
                  <c:v>95</c:v>
                </c:pt>
                <c:pt idx="121">
                  <c:v>95</c:v>
                </c:pt>
                <c:pt idx="122">
                  <c:v>95</c:v>
                </c:pt>
                <c:pt idx="123">
                  <c:v>95</c:v>
                </c:pt>
                <c:pt idx="124">
                  <c:v>95</c:v>
                </c:pt>
                <c:pt idx="125">
                  <c:v>94</c:v>
                </c:pt>
                <c:pt idx="126">
                  <c:v>94</c:v>
                </c:pt>
                <c:pt idx="127">
                  <c:v>93</c:v>
                </c:pt>
                <c:pt idx="128">
                  <c:v>94</c:v>
                </c:pt>
                <c:pt idx="129">
                  <c:v>94</c:v>
                </c:pt>
                <c:pt idx="130">
                  <c:v>94</c:v>
                </c:pt>
                <c:pt idx="131">
                  <c:v>94</c:v>
                </c:pt>
                <c:pt idx="132">
                  <c:v>94</c:v>
                </c:pt>
                <c:pt idx="133">
                  <c:v>94</c:v>
                </c:pt>
                <c:pt idx="134">
                  <c:v>94</c:v>
                </c:pt>
                <c:pt idx="135">
                  <c:v>94</c:v>
                </c:pt>
                <c:pt idx="136">
                  <c:v>94</c:v>
                </c:pt>
                <c:pt idx="137">
                  <c:v>95</c:v>
                </c:pt>
                <c:pt idx="138">
                  <c:v>94</c:v>
                </c:pt>
                <c:pt idx="139">
                  <c:v>95</c:v>
                </c:pt>
                <c:pt idx="140">
                  <c:v>95</c:v>
                </c:pt>
                <c:pt idx="141">
                  <c:v>97</c:v>
                </c:pt>
                <c:pt idx="142">
                  <c:v>97</c:v>
                </c:pt>
                <c:pt idx="143">
                  <c:v>97</c:v>
                </c:pt>
                <c:pt idx="144">
                  <c:v>97</c:v>
                </c:pt>
                <c:pt idx="145">
                  <c:v>97</c:v>
                </c:pt>
                <c:pt idx="146">
                  <c:v>98</c:v>
                </c:pt>
                <c:pt idx="147">
                  <c:v>98</c:v>
                </c:pt>
                <c:pt idx="148">
                  <c:v>98</c:v>
                </c:pt>
                <c:pt idx="149">
                  <c:v>97</c:v>
                </c:pt>
                <c:pt idx="150">
                  <c:v>99</c:v>
                </c:pt>
                <c:pt idx="151">
                  <c:v>98</c:v>
                </c:pt>
                <c:pt idx="152">
                  <c:v>100</c:v>
                </c:pt>
                <c:pt idx="153">
                  <c:v>99</c:v>
                </c:pt>
                <c:pt idx="154">
                  <c:v>99</c:v>
                </c:pt>
                <c:pt idx="155">
                  <c:v>98</c:v>
                </c:pt>
                <c:pt idx="156">
                  <c:v>98</c:v>
                </c:pt>
                <c:pt idx="157">
                  <c:v>98</c:v>
                </c:pt>
                <c:pt idx="158">
                  <c:v>99</c:v>
                </c:pt>
                <c:pt idx="159">
                  <c:v>99</c:v>
                </c:pt>
                <c:pt idx="160">
                  <c:v>99</c:v>
                </c:pt>
                <c:pt idx="161">
                  <c:v>99</c:v>
                </c:pt>
                <c:pt idx="162">
                  <c:v>99</c:v>
                </c:pt>
                <c:pt idx="163">
                  <c:v>100</c:v>
                </c:pt>
                <c:pt idx="164">
                  <c:v>99</c:v>
                </c:pt>
                <c:pt idx="165">
                  <c:v>98</c:v>
                </c:pt>
                <c:pt idx="166">
                  <c:v>98</c:v>
                </c:pt>
                <c:pt idx="167">
                  <c:v>98</c:v>
                </c:pt>
                <c:pt idx="168">
                  <c:v>98</c:v>
                </c:pt>
                <c:pt idx="169">
                  <c:v>98</c:v>
                </c:pt>
                <c:pt idx="170">
                  <c:v>97</c:v>
                </c:pt>
                <c:pt idx="171">
                  <c:v>96</c:v>
                </c:pt>
                <c:pt idx="172">
                  <c:v>96</c:v>
                </c:pt>
                <c:pt idx="173">
                  <c:v>96</c:v>
                </c:pt>
                <c:pt idx="174">
                  <c:v>96</c:v>
                </c:pt>
                <c:pt idx="175">
                  <c:v>96</c:v>
                </c:pt>
                <c:pt idx="176">
                  <c:v>95</c:v>
                </c:pt>
                <c:pt idx="177">
                  <c:v>95</c:v>
                </c:pt>
                <c:pt idx="178">
                  <c:v>95</c:v>
                </c:pt>
                <c:pt idx="179">
                  <c:v>96</c:v>
                </c:pt>
                <c:pt idx="180">
                  <c:v>96</c:v>
                </c:pt>
                <c:pt idx="181">
                  <c:v>96</c:v>
                </c:pt>
                <c:pt idx="182">
                  <c:v>97</c:v>
                </c:pt>
                <c:pt idx="183">
                  <c:v>97</c:v>
                </c:pt>
                <c:pt idx="184">
                  <c:v>97</c:v>
                </c:pt>
                <c:pt idx="185">
                  <c:v>97</c:v>
                </c:pt>
                <c:pt idx="186">
                  <c:v>97</c:v>
                </c:pt>
                <c:pt idx="187">
                  <c:v>97</c:v>
                </c:pt>
                <c:pt idx="188">
                  <c:v>97</c:v>
                </c:pt>
                <c:pt idx="189">
                  <c:v>97</c:v>
                </c:pt>
                <c:pt idx="190">
                  <c:v>97</c:v>
                </c:pt>
                <c:pt idx="191">
                  <c:v>96</c:v>
                </c:pt>
                <c:pt idx="192">
                  <c:v>96</c:v>
                </c:pt>
                <c:pt idx="193">
                  <c:v>96</c:v>
                </c:pt>
                <c:pt idx="194">
                  <c:v>96</c:v>
                </c:pt>
                <c:pt idx="195">
                  <c:v>95</c:v>
                </c:pt>
                <c:pt idx="196">
                  <c:v>95</c:v>
                </c:pt>
                <c:pt idx="197">
                  <c:v>95</c:v>
                </c:pt>
                <c:pt idx="198">
                  <c:v>95</c:v>
                </c:pt>
                <c:pt idx="199">
                  <c:v>95</c:v>
                </c:pt>
                <c:pt idx="200">
                  <c:v>95</c:v>
                </c:pt>
                <c:pt idx="201">
                  <c:v>95</c:v>
                </c:pt>
                <c:pt idx="202">
                  <c:v>95</c:v>
                </c:pt>
                <c:pt idx="203">
                  <c:v>95</c:v>
                </c:pt>
                <c:pt idx="204">
                  <c:v>95</c:v>
                </c:pt>
                <c:pt idx="205">
                  <c:v>95</c:v>
                </c:pt>
                <c:pt idx="206">
                  <c:v>95</c:v>
                </c:pt>
                <c:pt idx="207">
                  <c:v>95</c:v>
                </c:pt>
                <c:pt idx="208">
                  <c:v>94</c:v>
                </c:pt>
                <c:pt idx="209">
                  <c:v>95</c:v>
                </c:pt>
                <c:pt idx="210">
                  <c:v>95</c:v>
                </c:pt>
                <c:pt idx="211">
                  <c:v>95</c:v>
                </c:pt>
                <c:pt idx="212">
                  <c:v>95</c:v>
                </c:pt>
                <c:pt idx="213">
                  <c:v>95</c:v>
                </c:pt>
                <c:pt idx="214">
                  <c:v>96</c:v>
                </c:pt>
                <c:pt idx="215">
                  <c:v>96</c:v>
                </c:pt>
                <c:pt idx="216">
                  <c:v>95</c:v>
                </c:pt>
                <c:pt idx="217">
                  <c:v>95</c:v>
                </c:pt>
                <c:pt idx="218">
                  <c:v>95</c:v>
                </c:pt>
                <c:pt idx="219">
                  <c:v>95</c:v>
                </c:pt>
                <c:pt idx="220">
                  <c:v>95</c:v>
                </c:pt>
                <c:pt idx="221">
                  <c:v>95</c:v>
                </c:pt>
                <c:pt idx="222">
                  <c:v>95</c:v>
                </c:pt>
                <c:pt idx="223">
                  <c:v>95</c:v>
                </c:pt>
                <c:pt idx="224">
                  <c:v>95</c:v>
                </c:pt>
                <c:pt idx="225">
                  <c:v>95</c:v>
                </c:pt>
                <c:pt idx="226">
                  <c:v>95</c:v>
                </c:pt>
                <c:pt idx="227">
                  <c:v>96</c:v>
                </c:pt>
                <c:pt idx="228">
                  <c:v>96</c:v>
                </c:pt>
                <c:pt idx="229">
                  <c:v>95</c:v>
                </c:pt>
                <c:pt idx="230">
                  <c:v>95</c:v>
                </c:pt>
                <c:pt idx="231">
                  <c:v>95</c:v>
                </c:pt>
                <c:pt idx="232">
                  <c:v>95</c:v>
                </c:pt>
                <c:pt idx="233">
                  <c:v>95</c:v>
                </c:pt>
                <c:pt idx="234">
                  <c:v>95</c:v>
                </c:pt>
                <c:pt idx="235">
                  <c:v>94</c:v>
                </c:pt>
                <c:pt idx="236">
                  <c:v>93</c:v>
                </c:pt>
                <c:pt idx="237">
                  <c:v>94</c:v>
                </c:pt>
                <c:pt idx="238">
                  <c:v>93</c:v>
                </c:pt>
                <c:pt idx="239">
                  <c:v>93</c:v>
                </c:pt>
                <c:pt idx="240">
                  <c:v>93</c:v>
                </c:pt>
                <c:pt idx="241">
                  <c:v>93</c:v>
                </c:pt>
                <c:pt idx="242">
                  <c:v>93</c:v>
                </c:pt>
                <c:pt idx="243">
                  <c:v>93</c:v>
                </c:pt>
                <c:pt idx="244">
                  <c:v>92</c:v>
                </c:pt>
                <c:pt idx="245">
                  <c:v>92</c:v>
                </c:pt>
                <c:pt idx="246">
                  <c:v>92</c:v>
                </c:pt>
                <c:pt idx="247">
                  <c:v>92</c:v>
                </c:pt>
                <c:pt idx="248">
                  <c:v>91</c:v>
                </c:pt>
                <c:pt idx="249">
                  <c:v>91</c:v>
                </c:pt>
                <c:pt idx="250">
                  <c:v>91</c:v>
                </c:pt>
                <c:pt idx="251">
                  <c:v>91</c:v>
                </c:pt>
                <c:pt idx="252">
                  <c:v>92</c:v>
                </c:pt>
                <c:pt idx="253">
                  <c:v>92</c:v>
                </c:pt>
                <c:pt idx="254">
                  <c:v>92</c:v>
                </c:pt>
                <c:pt idx="255">
                  <c:v>92</c:v>
                </c:pt>
                <c:pt idx="256">
                  <c:v>92</c:v>
                </c:pt>
                <c:pt idx="257">
                  <c:v>92</c:v>
                </c:pt>
                <c:pt idx="258">
                  <c:v>92</c:v>
                </c:pt>
                <c:pt idx="259">
                  <c:v>92</c:v>
                </c:pt>
                <c:pt idx="260">
                  <c:v>93</c:v>
                </c:pt>
                <c:pt idx="261">
                  <c:v>94</c:v>
                </c:pt>
                <c:pt idx="262">
                  <c:v>94</c:v>
                </c:pt>
                <c:pt idx="263">
                  <c:v>95</c:v>
                </c:pt>
                <c:pt idx="264">
                  <c:v>94</c:v>
                </c:pt>
                <c:pt idx="265">
                  <c:v>93</c:v>
                </c:pt>
                <c:pt idx="266">
                  <c:v>94</c:v>
                </c:pt>
                <c:pt idx="267">
                  <c:v>95</c:v>
                </c:pt>
                <c:pt idx="268">
                  <c:v>95</c:v>
                </c:pt>
                <c:pt idx="269">
                  <c:v>95</c:v>
                </c:pt>
                <c:pt idx="270">
                  <c:v>94</c:v>
                </c:pt>
                <c:pt idx="271">
                  <c:v>95</c:v>
                </c:pt>
                <c:pt idx="272">
                  <c:v>95</c:v>
                </c:pt>
                <c:pt idx="273">
                  <c:v>94</c:v>
                </c:pt>
                <c:pt idx="274">
                  <c:v>95</c:v>
                </c:pt>
                <c:pt idx="275">
                  <c:v>95</c:v>
                </c:pt>
                <c:pt idx="276">
                  <c:v>95</c:v>
                </c:pt>
                <c:pt idx="277">
                  <c:v>96</c:v>
                </c:pt>
                <c:pt idx="278">
                  <c:v>96</c:v>
                </c:pt>
                <c:pt idx="279">
                  <c:v>98</c:v>
                </c:pt>
                <c:pt idx="280">
                  <c:v>98</c:v>
                </c:pt>
                <c:pt idx="281">
                  <c:v>98</c:v>
                </c:pt>
                <c:pt idx="282">
                  <c:v>101</c:v>
                </c:pt>
                <c:pt idx="283">
                  <c:v>99</c:v>
                </c:pt>
                <c:pt idx="284">
                  <c:v>99</c:v>
                </c:pt>
                <c:pt idx="285">
                  <c:v>98</c:v>
                </c:pt>
                <c:pt idx="286">
                  <c:v>99</c:v>
                </c:pt>
                <c:pt idx="287">
                  <c:v>102</c:v>
                </c:pt>
                <c:pt idx="288">
                  <c:v>110</c:v>
                </c:pt>
                <c:pt idx="289">
                  <c:v>107</c:v>
                </c:pt>
                <c:pt idx="290">
                  <c:v>107</c:v>
                </c:pt>
                <c:pt idx="291">
                  <c:v>111</c:v>
                </c:pt>
                <c:pt idx="292">
                  <c:v>108</c:v>
                </c:pt>
                <c:pt idx="293">
                  <c:v>111</c:v>
                </c:pt>
                <c:pt idx="294">
                  <c:v>112</c:v>
                </c:pt>
                <c:pt idx="295">
                  <c:v>116</c:v>
                </c:pt>
                <c:pt idx="296">
                  <c:v>119</c:v>
                </c:pt>
                <c:pt idx="297">
                  <c:v>116</c:v>
                </c:pt>
                <c:pt idx="298">
                  <c:v>120</c:v>
                </c:pt>
                <c:pt idx="299">
                  <c:v>117</c:v>
                </c:pt>
                <c:pt idx="300">
                  <c:v>116</c:v>
                </c:pt>
                <c:pt idx="301">
                  <c:v>117</c:v>
                </c:pt>
                <c:pt idx="302">
                  <c:v>116</c:v>
                </c:pt>
                <c:pt idx="303">
                  <c:v>118</c:v>
                </c:pt>
                <c:pt idx="304">
                  <c:v>116</c:v>
                </c:pt>
                <c:pt idx="305">
                  <c:v>118</c:v>
                </c:pt>
                <c:pt idx="306">
                  <c:v>117</c:v>
                </c:pt>
                <c:pt idx="307">
                  <c:v>114</c:v>
                </c:pt>
                <c:pt idx="308">
                  <c:v>114</c:v>
                </c:pt>
                <c:pt idx="309">
                  <c:v>112</c:v>
                </c:pt>
                <c:pt idx="310">
                  <c:v>113</c:v>
                </c:pt>
                <c:pt idx="311">
                  <c:v>110</c:v>
                </c:pt>
                <c:pt idx="312">
                  <c:v>110</c:v>
                </c:pt>
                <c:pt idx="313">
                  <c:v>109</c:v>
                </c:pt>
                <c:pt idx="314">
                  <c:v>110</c:v>
                </c:pt>
                <c:pt idx="315">
                  <c:v>110</c:v>
                </c:pt>
                <c:pt idx="316">
                  <c:v>111</c:v>
                </c:pt>
                <c:pt idx="317">
                  <c:v>111</c:v>
                </c:pt>
                <c:pt idx="318">
                  <c:v>114</c:v>
                </c:pt>
                <c:pt idx="319">
                  <c:v>114</c:v>
                </c:pt>
                <c:pt idx="320">
                  <c:v>112</c:v>
                </c:pt>
                <c:pt idx="321">
                  <c:v>111</c:v>
                </c:pt>
                <c:pt idx="322">
                  <c:v>110</c:v>
                </c:pt>
                <c:pt idx="323">
                  <c:v>110</c:v>
                </c:pt>
                <c:pt idx="324">
                  <c:v>109</c:v>
                </c:pt>
                <c:pt idx="325">
                  <c:v>112</c:v>
                </c:pt>
                <c:pt idx="326">
                  <c:v>110</c:v>
                </c:pt>
                <c:pt idx="327">
                  <c:v>111</c:v>
                </c:pt>
                <c:pt idx="328">
                  <c:v>110</c:v>
                </c:pt>
                <c:pt idx="329">
                  <c:v>110</c:v>
                </c:pt>
                <c:pt idx="330">
                  <c:v>110</c:v>
                </c:pt>
                <c:pt idx="331">
                  <c:v>110</c:v>
                </c:pt>
                <c:pt idx="332">
                  <c:v>109</c:v>
                </c:pt>
                <c:pt idx="333">
                  <c:v>110</c:v>
                </c:pt>
                <c:pt idx="334">
                  <c:v>109</c:v>
                </c:pt>
                <c:pt idx="335">
                  <c:v>109</c:v>
                </c:pt>
                <c:pt idx="336">
                  <c:v>108</c:v>
                </c:pt>
                <c:pt idx="337">
                  <c:v>107</c:v>
                </c:pt>
                <c:pt idx="338">
                  <c:v>106</c:v>
                </c:pt>
                <c:pt idx="339">
                  <c:v>107</c:v>
                </c:pt>
                <c:pt idx="340">
                  <c:v>107</c:v>
                </c:pt>
                <c:pt idx="341">
                  <c:v>106</c:v>
                </c:pt>
                <c:pt idx="342">
                  <c:v>106</c:v>
                </c:pt>
                <c:pt idx="343">
                  <c:v>104</c:v>
                </c:pt>
                <c:pt idx="344">
                  <c:v>102</c:v>
                </c:pt>
                <c:pt idx="345">
                  <c:v>102</c:v>
                </c:pt>
                <c:pt idx="346">
                  <c:v>103</c:v>
                </c:pt>
                <c:pt idx="347">
                  <c:v>102</c:v>
                </c:pt>
                <c:pt idx="348">
                  <c:v>102</c:v>
                </c:pt>
                <c:pt idx="349">
                  <c:v>103</c:v>
                </c:pt>
                <c:pt idx="350">
                  <c:v>103</c:v>
                </c:pt>
                <c:pt idx="351">
                  <c:v>103</c:v>
                </c:pt>
                <c:pt idx="352">
                  <c:v>104</c:v>
                </c:pt>
                <c:pt idx="353">
                  <c:v>105</c:v>
                </c:pt>
                <c:pt idx="354">
                  <c:v>104</c:v>
                </c:pt>
                <c:pt idx="355">
                  <c:v>104</c:v>
                </c:pt>
                <c:pt idx="356">
                  <c:v>103</c:v>
                </c:pt>
                <c:pt idx="357">
                  <c:v>103</c:v>
                </c:pt>
                <c:pt idx="358">
                  <c:v>103</c:v>
                </c:pt>
                <c:pt idx="359">
                  <c:v>103</c:v>
                </c:pt>
                <c:pt idx="360">
                  <c:v>103</c:v>
                </c:pt>
                <c:pt idx="361">
                  <c:v>103</c:v>
                </c:pt>
                <c:pt idx="362">
                  <c:v>103</c:v>
                </c:pt>
                <c:pt idx="363">
                  <c:v>104</c:v>
                </c:pt>
                <c:pt idx="364">
                  <c:v>106</c:v>
                </c:pt>
                <c:pt idx="365">
                  <c:v>106</c:v>
                </c:pt>
                <c:pt idx="366">
                  <c:v>105</c:v>
                </c:pt>
                <c:pt idx="367">
                  <c:v>106</c:v>
                </c:pt>
                <c:pt idx="368">
                  <c:v>107</c:v>
                </c:pt>
                <c:pt idx="369">
                  <c:v>108</c:v>
                </c:pt>
                <c:pt idx="370">
                  <c:v>106</c:v>
                </c:pt>
                <c:pt idx="371">
                  <c:v>106</c:v>
                </c:pt>
                <c:pt idx="372">
                  <c:v>106</c:v>
                </c:pt>
                <c:pt idx="373">
                  <c:v>106</c:v>
                </c:pt>
                <c:pt idx="374">
                  <c:v>106</c:v>
                </c:pt>
                <c:pt idx="375">
                  <c:v>106</c:v>
                </c:pt>
                <c:pt idx="376">
                  <c:v>106</c:v>
                </c:pt>
                <c:pt idx="377">
                  <c:v>107</c:v>
                </c:pt>
                <c:pt idx="378">
                  <c:v>107</c:v>
                </c:pt>
                <c:pt idx="379">
                  <c:v>106</c:v>
                </c:pt>
                <c:pt idx="380">
                  <c:v>106</c:v>
                </c:pt>
                <c:pt idx="381">
                  <c:v>106</c:v>
                </c:pt>
                <c:pt idx="382">
                  <c:v>106</c:v>
                </c:pt>
                <c:pt idx="383">
                  <c:v>107</c:v>
                </c:pt>
                <c:pt idx="384">
                  <c:v>108</c:v>
                </c:pt>
                <c:pt idx="385">
                  <c:v>108</c:v>
                </c:pt>
                <c:pt idx="386">
                  <c:v>110</c:v>
                </c:pt>
                <c:pt idx="387">
                  <c:v>110</c:v>
                </c:pt>
                <c:pt idx="388">
                  <c:v>110</c:v>
                </c:pt>
                <c:pt idx="389">
                  <c:v>110</c:v>
                </c:pt>
                <c:pt idx="390">
                  <c:v>109</c:v>
                </c:pt>
                <c:pt idx="391">
                  <c:v>109</c:v>
                </c:pt>
                <c:pt idx="392">
                  <c:v>110</c:v>
                </c:pt>
                <c:pt idx="393">
                  <c:v>110</c:v>
                </c:pt>
                <c:pt idx="394">
                  <c:v>109</c:v>
                </c:pt>
                <c:pt idx="395">
                  <c:v>109</c:v>
                </c:pt>
                <c:pt idx="396">
                  <c:v>110</c:v>
                </c:pt>
                <c:pt idx="397">
                  <c:v>109</c:v>
                </c:pt>
                <c:pt idx="398">
                  <c:v>109</c:v>
                </c:pt>
                <c:pt idx="399">
                  <c:v>109</c:v>
                </c:pt>
                <c:pt idx="400">
                  <c:v>109</c:v>
                </c:pt>
                <c:pt idx="401">
                  <c:v>110</c:v>
                </c:pt>
                <c:pt idx="402">
                  <c:v>111</c:v>
                </c:pt>
                <c:pt idx="403">
                  <c:v>111</c:v>
                </c:pt>
                <c:pt idx="404">
                  <c:v>111</c:v>
                </c:pt>
                <c:pt idx="405">
                  <c:v>113</c:v>
                </c:pt>
                <c:pt idx="406">
                  <c:v>112</c:v>
                </c:pt>
                <c:pt idx="407">
                  <c:v>111</c:v>
                </c:pt>
                <c:pt idx="408">
                  <c:v>110</c:v>
                </c:pt>
                <c:pt idx="409">
                  <c:v>110</c:v>
                </c:pt>
                <c:pt idx="410">
                  <c:v>110</c:v>
                </c:pt>
                <c:pt idx="411">
                  <c:v>112</c:v>
                </c:pt>
                <c:pt idx="412">
                  <c:v>112</c:v>
                </c:pt>
                <c:pt idx="413">
                  <c:v>113</c:v>
                </c:pt>
                <c:pt idx="414">
                  <c:v>114</c:v>
                </c:pt>
                <c:pt idx="415">
                  <c:v>113</c:v>
                </c:pt>
                <c:pt idx="416">
                  <c:v>112</c:v>
                </c:pt>
                <c:pt idx="417">
                  <c:v>112</c:v>
                </c:pt>
                <c:pt idx="418">
                  <c:v>112</c:v>
                </c:pt>
                <c:pt idx="419">
                  <c:v>112</c:v>
                </c:pt>
                <c:pt idx="420">
                  <c:v>111</c:v>
                </c:pt>
                <c:pt idx="421">
                  <c:v>112</c:v>
                </c:pt>
                <c:pt idx="422">
                  <c:v>112</c:v>
                </c:pt>
                <c:pt idx="423">
                  <c:v>113</c:v>
                </c:pt>
                <c:pt idx="424">
                  <c:v>114</c:v>
                </c:pt>
                <c:pt idx="425">
                  <c:v>115</c:v>
                </c:pt>
                <c:pt idx="426">
                  <c:v>115</c:v>
                </c:pt>
                <c:pt idx="427">
                  <c:v>118</c:v>
                </c:pt>
                <c:pt idx="428">
                  <c:v>118</c:v>
                </c:pt>
                <c:pt idx="429">
                  <c:v>117</c:v>
                </c:pt>
                <c:pt idx="430">
                  <c:v>115</c:v>
                </c:pt>
                <c:pt idx="431">
                  <c:v>117</c:v>
                </c:pt>
                <c:pt idx="432">
                  <c:v>117</c:v>
                </c:pt>
                <c:pt idx="433">
                  <c:v>117</c:v>
                </c:pt>
                <c:pt idx="434">
                  <c:v>117</c:v>
                </c:pt>
                <c:pt idx="435">
                  <c:v>116</c:v>
                </c:pt>
                <c:pt idx="436">
                  <c:v>115</c:v>
                </c:pt>
                <c:pt idx="437">
                  <c:v>115</c:v>
                </c:pt>
                <c:pt idx="438">
                  <c:v>115</c:v>
                </c:pt>
                <c:pt idx="439">
                  <c:v>115</c:v>
                </c:pt>
                <c:pt idx="440">
                  <c:v>116</c:v>
                </c:pt>
                <c:pt idx="441">
                  <c:v>117</c:v>
                </c:pt>
                <c:pt idx="442">
                  <c:v>116</c:v>
                </c:pt>
                <c:pt idx="443">
                  <c:v>116</c:v>
                </c:pt>
                <c:pt idx="444">
                  <c:v>115</c:v>
                </c:pt>
                <c:pt idx="445">
                  <c:v>115</c:v>
                </c:pt>
                <c:pt idx="446">
                  <c:v>114</c:v>
                </c:pt>
                <c:pt idx="447">
                  <c:v>114</c:v>
                </c:pt>
                <c:pt idx="448">
                  <c:v>114</c:v>
                </c:pt>
                <c:pt idx="449">
                  <c:v>116</c:v>
                </c:pt>
                <c:pt idx="450">
                  <c:v>118</c:v>
                </c:pt>
                <c:pt idx="451">
                  <c:v>118</c:v>
                </c:pt>
                <c:pt idx="452">
                  <c:v>120</c:v>
                </c:pt>
                <c:pt idx="453">
                  <c:v>119</c:v>
                </c:pt>
                <c:pt idx="454">
                  <c:v>118</c:v>
                </c:pt>
                <c:pt idx="455">
                  <c:v>116</c:v>
                </c:pt>
                <c:pt idx="456">
                  <c:v>116</c:v>
                </c:pt>
                <c:pt idx="457">
                  <c:v>115</c:v>
                </c:pt>
                <c:pt idx="458">
                  <c:v>114</c:v>
                </c:pt>
                <c:pt idx="459">
                  <c:v>113</c:v>
                </c:pt>
                <c:pt idx="460">
                  <c:v>115</c:v>
                </c:pt>
                <c:pt idx="461">
                  <c:v>115</c:v>
                </c:pt>
                <c:pt idx="462">
                  <c:v>115</c:v>
                </c:pt>
                <c:pt idx="463">
                  <c:v>114</c:v>
                </c:pt>
                <c:pt idx="464">
                  <c:v>113</c:v>
                </c:pt>
                <c:pt idx="465">
                  <c:v>114</c:v>
                </c:pt>
                <c:pt idx="466">
                  <c:v>114</c:v>
                </c:pt>
                <c:pt idx="467">
                  <c:v>113</c:v>
                </c:pt>
                <c:pt idx="468">
                  <c:v>113</c:v>
                </c:pt>
                <c:pt idx="469">
                  <c:v>112</c:v>
                </c:pt>
                <c:pt idx="470">
                  <c:v>113</c:v>
                </c:pt>
                <c:pt idx="471">
                  <c:v>113</c:v>
                </c:pt>
                <c:pt idx="472">
                  <c:v>114</c:v>
                </c:pt>
                <c:pt idx="473">
                  <c:v>113</c:v>
                </c:pt>
                <c:pt idx="474">
                  <c:v>113</c:v>
                </c:pt>
                <c:pt idx="475">
                  <c:v>112</c:v>
                </c:pt>
                <c:pt idx="476">
                  <c:v>111</c:v>
                </c:pt>
                <c:pt idx="477">
                  <c:v>111</c:v>
                </c:pt>
                <c:pt idx="478">
                  <c:v>109</c:v>
                </c:pt>
                <c:pt idx="479">
                  <c:v>109</c:v>
                </c:pt>
                <c:pt idx="480">
                  <c:v>110</c:v>
                </c:pt>
                <c:pt idx="481">
                  <c:v>109</c:v>
                </c:pt>
                <c:pt idx="482">
                  <c:v>109</c:v>
                </c:pt>
                <c:pt idx="483">
                  <c:v>109</c:v>
                </c:pt>
                <c:pt idx="484">
                  <c:v>109</c:v>
                </c:pt>
                <c:pt idx="485">
                  <c:v>109</c:v>
                </c:pt>
                <c:pt idx="486">
                  <c:v>110</c:v>
                </c:pt>
                <c:pt idx="487">
                  <c:v>112</c:v>
                </c:pt>
                <c:pt idx="488">
                  <c:v>113</c:v>
                </c:pt>
                <c:pt idx="489">
                  <c:v>112</c:v>
                </c:pt>
                <c:pt idx="490">
                  <c:v>111</c:v>
                </c:pt>
                <c:pt idx="491">
                  <c:v>110</c:v>
                </c:pt>
                <c:pt idx="492">
                  <c:v>110</c:v>
                </c:pt>
                <c:pt idx="493">
                  <c:v>110</c:v>
                </c:pt>
                <c:pt idx="494">
                  <c:v>111</c:v>
                </c:pt>
                <c:pt idx="495">
                  <c:v>111</c:v>
                </c:pt>
                <c:pt idx="496">
                  <c:v>111</c:v>
                </c:pt>
                <c:pt idx="497">
                  <c:v>110</c:v>
                </c:pt>
                <c:pt idx="498">
                  <c:v>110</c:v>
                </c:pt>
                <c:pt idx="499">
                  <c:v>109</c:v>
                </c:pt>
                <c:pt idx="500">
                  <c:v>109</c:v>
                </c:pt>
                <c:pt idx="501">
                  <c:v>111</c:v>
                </c:pt>
                <c:pt idx="502">
                  <c:v>110</c:v>
                </c:pt>
                <c:pt idx="503">
                  <c:v>109</c:v>
                </c:pt>
                <c:pt idx="504">
                  <c:v>110</c:v>
                </c:pt>
                <c:pt idx="505">
                  <c:v>111</c:v>
                </c:pt>
                <c:pt idx="506">
                  <c:v>112</c:v>
                </c:pt>
                <c:pt idx="507">
                  <c:v>113</c:v>
                </c:pt>
                <c:pt idx="508">
                  <c:v>112</c:v>
                </c:pt>
                <c:pt idx="509">
                  <c:v>114</c:v>
                </c:pt>
                <c:pt idx="510">
                  <c:v>113</c:v>
                </c:pt>
                <c:pt idx="511">
                  <c:v>113</c:v>
                </c:pt>
                <c:pt idx="512">
                  <c:v>113</c:v>
                </c:pt>
                <c:pt idx="513">
                  <c:v>112</c:v>
                </c:pt>
                <c:pt idx="514">
                  <c:v>112</c:v>
                </c:pt>
                <c:pt idx="515">
                  <c:v>111</c:v>
                </c:pt>
                <c:pt idx="516">
                  <c:v>110</c:v>
                </c:pt>
                <c:pt idx="517">
                  <c:v>110</c:v>
                </c:pt>
                <c:pt idx="518">
                  <c:v>110</c:v>
                </c:pt>
                <c:pt idx="519">
                  <c:v>111</c:v>
                </c:pt>
                <c:pt idx="520">
                  <c:v>109</c:v>
                </c:pt>
                <c:pt idx="521">
                  <c:v>109</c:v>
                </c:pt>
                <c:pt idx="522">
                  <c:v>110</c:v>
                </c:pt>
                <c:pt idx="523">
                  <c:v>110</c:v>
                </c:pt>
                <c:pt idx="524">
                  <c:v>110</c:v>
                </c:pt>
                <c:pt idx="525">
                  <c:v>111</c:v>
                </c:pt>
                <c:pt idx="526">
                  <c:v>111</c:v>
                </c:pt>
                <c:pt idx="527">
                  <c:v>110</c:v>
                </c:pt>
                <c:pt idx="528">
                  <c:v>110</c:v>
                </c:pt>
                <c:pt idx="529">
                  <c:v>111</c:v>
                </c:pt>
                <c:pt idx="530">
                  <c:v>110</c:v>
                </c:pt>
                <c:pt idx="531">
                  <c:v>111</c:v>
                </c:pt>
                <c:pt idx="532">
                  <c:v>110</c:v>
                </c:pt>
                <c:pt idx="533">
                  <c:v>110</c:v>
                </c:pt>
                <c:pt idx="534">
                  <c:v>111</c:v>
                </c:pt>
                <c:pt idx="535">
                  <c:v>110</c:v>
                </c:pt>
                <c:pt idx="536">
                  <c:v>110</c:v>
                </c:pt>
                <c:pt idx="537">
                  <c:v>110</c:v>
                </c:pt>
                <c:pt idx="538">
                  <c:v>110</c:v>
                </c:pt>
                <c:pt idx="539">
                  <c:v>109</c:v>
                </c:pt>
                <c:pt idx="540">
                  <c:v>109</c:v>
                </c:pt>
                <c:pt idx="541">
                  <c:v>109</c:v>
                </c:pt>
                <c:pt idx="542">
                  <c:v>110</c:v>
                </c:pt>
                <c:pt idx="543">
                  <c:v>111</c:v>
                </c:pt>
                <c:pt idx="544">
                  <c:v>111</c:v>
                </c:pt>
                <c:pt idx="545">
                  <c:v>114</c:v>
                </c:pt>
                <c:pt idx="546">
                  <c:v>113</c:v>
                </c:pt>
                <c:pt idx="547">
                  <c:v>113</c:v>
                </c:pt>
                <c:pt idx="548">
                  <c:v>113</c:v>
                </c:pt>
                <c:pt idx="549">
                  <c:v>113</c:v>
                </c:pt>
                <c:pt idx="550">
                  <c:v>113</c:v>
                </c:pt>
                <c:pt idx="551">
                  <c:v>113</c:v>
                </c:pt>
                <c:pt idx="552">
                  <c:v>113</c:v>
                </c:pt>
                <c:pt idx="553">
                  <c:v>114</c:v>
                </c:pt>
                <c:pt idx="554">
                  <c:v>114</c:v>
                </c:pt>
                <c:pt idx="555">
                  <c:v>114</c:v>
                </c:pt>
                <c:pt idx="556">
                  <c:v>116</c:v>
                </c:pt>
                <c:pt idx="557">
                  <c:v>115</c:v>
                </c:pt>
                <c:pt idx="558">
                  <c:v>115</c:v>
                </c:pt>
                <c:pt idx="559">
                  <c:v>115</c:v>
                </c:pt>
                <c:pt idx="560">
                  <c:v>115</c:v>
                </c:pt>
                <c:pt idx="561">
                  <c:v>113</c:v>
                </c:pt>
                <c:pt idx="562">
                  <c:v>114</c:v>
                </c:pt>
                <c:pt idx="563">
                  <c:v>113</c:v>
                </c:pt>
                <c:pt idx="564">
                  <c:v>113</c:v>
                </c:pt>
                <c:pt idx="565">
                  <c:v>114</c:v>
                </c:pt>
                <c:pt idx="566">
                  <c:v>115</c:v>
                </c:pt>
                <c:pt idx="567">
                  <c:v>113</c:v>
                </c:pt>
                <c:pt idx="568">
                  <c:v>112</c:v>
                </c:pt>
                <c:pt idx="569">
                  <c:v>112</c:v>
                </c:pt>
                <c:pt idx="570">
                  <c:v>112</c:v>
                </c:pt>
                <c:pt idx="571">
                  <c:v>111</c:v>
                </c:pt>
                <c:pt idx="572">
                  <c:v>111</c:v>
                </c:pt>
                <c:pt idx="573">
                  <c:v>112</c:v>
                </c:pt>
                <c:pt idx="574">
                  <c:v>113</c:v>
                </c:pt>
                <c:pt idx="575">
                  <c:v>112</c:v>
                </c:pt>
                <c:pt idx="576">
                  <c:v>111</c:v>
                </c:pt>
                <c:pt idx="577">
                  <c:v>111</c:v>
                </c:pt>
                <c:pt idx="578">
                  <c:v>110</c:v>
                </c:pt>
                <c:pt idx="579">
                  <c:v>110</c:v>
                </c:pt>
                <c:pt idx="580">
                  <c:v>110</c:v>
                </c:pt>
                <c:pt idx="581">
                  <c:v>111</c:v>
                </c:pt>
                <c:pt idx="582">
                  <c:v>111</c:v>
                </c:pt>
                <c:pt idx="583">
                  <c:v>110</c:v>
                </c:pt>
                <c:pt idx="584">
                  <c:v>110</c:v>
                </c:pt>
                <c:pt idx="585">
                  <c:v>110</c:v>
                </c:pt>
                <c:pt idx="586">
                  <c:v>110</c:v>
                </c:pt>
                <c:pt idx="587">
                  <c:v>109.79</c:v>
                </c:pt>
                <c:pt idx="588">
                  <c:v>109.29</c:v>
                </c:pt>
                <c:pt idx="589">
                  <c:v>109.62</c:v>
                </c:pt>
                <c:pt idx="590">
                  <c:v>109.49</c:v>
                </c:pt>
                <c:pt idx="591">
                  <c:v>109.45</c:v>
                </c:pt>
                <c:pt idx="592">
                  <c:v>109.62</c:v>
                </c:pt>
                <c:pt idx="593">
                  <c:v>109.62</c:v>
                </c:pt>
                <c:pt idx="594">
                  <c:v>109.06</c:v>
                </c:pt>
                <c:pt idx="595">
                  <c:v>109.18</c:v>
                </c:pt>
                <c:pt idx="596">
                  <c:v>108.57</c:v>
                </c:pt>
                <c:pt idx="597">
                  <c:v>108.37</c:v>
                </c:pt>
                <c:pt idx="598">
                  <c:v>107.57</c:v>
                </c:pt>
                <c:pt idx="599">
                  <c:v>107.65</c:v>
                </c:pt>
                <c:pt idx="600">
                  <c:v>106.77</c:v>
                </c:pt>
                <c:pt idx="601">
                  <c:v>107.78</c:v>
                </c:pt>
                <c:pt idx="602">
                  <c:v>107.06</c:v>
                </c:pt>
                <c:pt idx="603">
                  <c:v>107.19</c:v>
                </c:pt>
                <c:pt idx="604">
                  <c:v>108.09</c:v>
                </c:pt>
                <c:pt idx="605">
                  <c:v>107.55</c:v>
                </c:pt>
                <c:pt idx="606">
                  <c:v>108.83</c:v>
                </c:pt>
                <c:pt idx="607">
                  <c:v>109.1</c:v>
                </c:pt>
                <c:pt idx="608">
                  <c:v>108.26</c:v>
                </c:pt>
                <c:pt idx="609">
                  <c:v>107.69</c:v>
                </c:pt>
                <c:pt idx="610">
                  <c:v>107.57</c:v>
                </c:pt>
                <c:pt idx="611">
                  <c:v>107.49</c:v>
                </c:pt>
                <c:pt idx="612">
                  <c:v>107.95</c:v>
                </c:pt>
                <c:pt idx="613">
                  <c:v>109.02</c:v>
                </c:pt>
                <c:pt idx="614">
                  <c:v>108.69</c:v>
                </c:pt>
                <c:pt idx="615">
                  <c:v>109.91</c:v>
                </c:pt>
                <c:pt idx="616">
                  <c:v>109.44</c:v>
                </c:pt>
                <c:pt idx="617">
                  <c:v>110.67</c:v>
                </c:pt>
                <c:pt idx="618">
                  <c:v>111.88</c:v>
                </c:pt>
                <c:pt idx="619">
                  <c:v>110.79</c:v>
                </c:pt>
                <c:pt idx="620">
                  <c:v>111.32</c:v>
                </c:pt>
                <c:pt idx="621">
                  <c:v>111.49360165232541</c:v>
                </c:pt>
                <c:pt idx="622">
                  <c:v>111.84952995963985</c:v>
                </c:pt>
                <c:pt idx="623">
                  <c:v>111.43332649271042</c:v>
                </c:pt>
                <c:pt idx="624">
                  <c:v>111.84802019329409</c:v>
                </c:pt>
                <c:pt idx="625">
                  <c:v>110.99864473167771</c:v>
                </c:pt>
                <c:pt idx="626">
                  <c:v>111.43392592453128</c:v>
                </c:pt>
                <c:pt idx="627">
                  <c:v>111.95697891825503</c:v>
                </c:pt>
                <c:pt idx="628">
                  <c:v>112.43474977407615</c:v>
                </c:pt>
                <c:pt idx="629">
                  <c:v>112.36583369721166</c:v>
                </c:pt>
                <c:pt idx="630">
                  <c:v>112.52162502970512</c:v>
                </c:pt>
                <c:pt idx="631">
                  <c:v>112.37055754378588</c:v>
                </c:pt>
                <c:pt idx="632">
                  <c:v>112.74162586670441</c:v>
                </c:pt>
                <c:pt idx="633">
                  <c:v>113.27783094482623</c:v>
                </c:pt>
                <c:pt idx="634">
                  <c:v>113.29022103911764</c:v>
                </c:pt>
                <c:pt idx="635">
                  <c:v>113.43631851952244</c:v>
                </c:pt>
                <c:pt idx="636">
                  <c:v>113.58606296881167</c:v>
                </c:pt>
                <c:pt idx="637">
                  <c:v>113.28541955594442</c:v>
                </c:pt>
                <c:pt idx="638">
                  <c:v>113.37718277945616</c:v>
                </c:pt>
                <c:pt idx="639">
                  <c:v>112.79779701117064</c:v>
                </c:pt>
                <c:pt idx="640">
                  <c:v>112.44283617918336</c:v>
                </c:pt>
                <c:pt idx="641">
                  <c:v>112.09101215582614</c:v>
                </c:pt>
                <c:pt idx="642">
                  <c:v>112.92184776402125</c:v>
                </c:pt>
                <c:pt idx="643">
                  <c:v>112.56671866976399</c:v>
                </c:pt>
                <c:pt idx="644">
                  <c:v>113.16891486261132</c:v>
                </c:pt>
                <c:pt idx="645">
                  <c:v>113.13167777574495</c:v>
                </c:pt>
                <c:pt idx="646">
                  <c:v>112.62638949600387</c:v>
                </c:pt>
                <c:pt idx="647">
                  <c:v>112.24239272753867</c:v>
                </c:pt>
                <c:pt idx="648">
                  <c:v>111.72420725911159</c:v>
                </c:pt>
                <c:pt idx="649">
                  <c:v>111.57602313888442</c:v>
                </c:pt>
                <c:pt idx="650">
                  <c:v>111.75012344080623</c:v>
                </c:pt>
                <c:pt idx="651">
                  <c:v>112.37589139633282</c:v>
                </c:pt>
                <c:pt idx="652">
                  <c:v>112.07312251809689</c:v>
                </c:pt>
                <c:pt idx="653">
                  <c:v>111.62818120460889</c:v>
                </c:pt>
                <c:pt idx="654">
                  <c:v>112.65961835641728</c:v>
                </c:pt>
                <c:pt idx="655">
                  <c:v>112.72935547066311</c:v>
                </c:pt>
                <c:pt idx="656">
                  <c:v>113.15639675859035</c:v>
                </c:pt>
                <c:pt idx="657">
                  <c:v>113.56489128885475</c:v>
                </c:pt>
                <c:pt idx="658">
                  <c:v>113.70233641345959</c:v>
                </c:pt>
                <c:pt idx="659">
                  <c:v>113.9287061638091</c:v>
                </c:pt>
                <c:pt idx="660">
                  <c:v>113.51432915276759</c:v>
                </c:pt>
                <c:pt idx="661">
                  <c:v>113.070699003451</c:v>
                </c:pt>
                <c:pt idx="662">
                  <c:v>113.27860524632116</c:v>
                </c:pt>
                <c:pt idx="663">
                  <c:v>113.54170490374614</c:v>
                </c:pt>
                <c:pt idx="664">
                  <c:v>113.21746802408592</c:v>
                </c:pt>
                <c:pt idx="665">
                  <c:v>114.06954631806741</c:v>
                </c:pt>
                <c:pt idx="666">
                  <c:v>113.64853426744914</c:v>
                </c:pt>
              </c:numCache>
            </c:numRef>
          </c:val>
          <c:smooth val="0"/>
          <c:extLst>
            <c:ext xmlns:c16="http://schemas.microsoft.com/office/drawing/2014/chart" uri="{C3380CC4-5D6E-409C-BE32-E72D297353CC}">
              <c16:uniqueId val="{00000002-278A-4EF5-B312-96BEA00F0B78}"/>
            </c:ext>
          </c:extLst>
        </c:ser>
        <c:ser>
          <c:idx val="2"/>
          <c:order val="3"/>
          <c:tx>
            <c:strRef>
              <c:f>Sheet1!$E$1</c:f>
              <c:strCache>
                <c:ptCount val="1"/>
                <c:pt idx="0">
                  <c:v>Դոլարի ինդեքս</c:v>
                </c:pt>
              </c:strCache>
            </c:strRef>
          </c:tx>
          <c:spPr>
            <a:ln w="28575">
              <a:solidFill>
                <a:srgbClr val="00B050"/>
              </a:solidFill>
            </a:ln>
          </c:spPr>
          <c:marker>
            <c:symbol val="none"/>
          </c:marker>
          <c:cat>
            <c:numRef>
              <c:f>Sheet1!$A$2:$A$668</c:f>
              <c:numCache>
                <c:formatCode>m/d/yyyy</c:formatCode>
                <c:ptCount val="667"/>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c:v>44342</c:v>
                </c:pt>
                <c:pt idx="590">
                  <c:v>44343</c:v>
                </c:pt>
                <c:pt idx="591">
                  <c:v>44347</c:v>
                </c:pt>
                <c:pt idx="592">
                  <c:v>44348</c:v>
                </c:pt>
                <c:pt idx="593">
                  <c:v>44349</c:v>
                </c:pt>
                <c:pt idx="594">
                  <c:v>44350</c:v>
                </c:pt>
                <c:pt idx="595">
                  <c:v>44351</c:v>
                </c:pt>
                <c:pt idx="596">
                  <c:v>44354</c:v>
                </c:pt>
                <c:pt idx="597">
                  <c:v>44355</c:v>
                </c:pt>
                <c:pt idx="598">
                  <c:v>44356</c:v>
                </c:pt>
                <c:pt idx="599">
                  <c:v>44357</c:v>
                </c:pt>
                <c:pt idx="600">
                  <c:v>44358</c:v>
                </c:pt>
                <c:pt idx="601">
                  <c:v>44361</c:v>
                </c:pt>
                <c:pt idx="602">
                  <c:v>44362</c:v>
                </c:pt>
                <c:pt idx="603">
                  <c:v>44363</c:v>
                </c:pt>
                <c:pt idx="604">
                  <c:v>44364</c:v>
                </c:pt>
                <c:pt idx="605">
                  <c:v>44365</c:v>
                </c:pt>
                <c:pt idx="606">
                  <c:v>44368</c:v>
                </c:pt>
                <c:pt idx="607">
                  <c:v>44369</c:v>
                </c:pt>
                <c:pt idx="608">
                  <c:v>44370</c:v>
                </c:pt>
                <c:pt idx="609">
                  <c:v>44371</c:v>
                </c:pt>
                <c:pt idx="610">
                  <c:v>44372</c:v>
                </c:pt>
                <c:pt idx="611">
                  <c:v>44375</c:v>
                </c:pt>
                <c:pt idx="612">
                  <c:v>44376</c:v>
                </c:pt>
                <c:pt idx="613">
                  <c:v>44377</c:v>
                </c:pt>
                <c:pt idx="614">
                  <c:v>44378</c:v>
                </c:pt>
                <c:pt idx="615">
                  <c:v>44379</c:v>
                </c:pt>
                <c:pt idx="616">
                  <c:v>44383</c:v>
                </c:pt>
                <c:pt idx="617">
                  <c:v>44384</c:v>
                </c:pt>
                <c:pt idx="618">
                  <c:v>44385</c:v>
                </c:pt>
                <c:pt idx="619">
                  <c:v>44386</c:v>
                </c:pt>
                <c:pt idx="620">
                  <c:v>44389</c:v>
                </c:pt>
                <c:pt idx="621">
                  <c:v>44390</c:v>
                </c:pt>
                <c:pt idx="622">
                  <c:v>44391</c:v>
                </c:pt>
                <c:pt idx="623">
                  <c:v>44392</c:v>
                </c:pt>
                <c:pt idx="624">
                  <c:v>44393</c:v>
                </c:pt>
                <c:pt idx="625">
                  <c:v>44396</c:v>
                </c:pt>
                <c:pt idx="626">
                  <c:v>44397</c:v>
                </c:pt>
                <c:pt idx="627">
                  <c:v>44398</c:v>
                </c:pt>
                <c:pt idx="628">
                  <c:v>44399</c:v>
                </c:pt>
                <c:pt idx="629">
                  <c:v>44400</c:v>
                </c:pt>
                <c:pt idx="630">
                  <c:v>44403</c:v>
                </c:pt>
                <c:pt idx="631">
                  <c:v>44404</c:v>
                </c:pt>
                <c:pt idx="632">
                  <c:v>44405</c:v>
                </c:pt>
                <c:pt idx="633">
                  <c:v>44406</c:v>
                </c:pt>
                <c:pt idx="634">
                  <c:v>44407</c:v>
                </c:pt>
                <c:pt idx="635">
                  <c:v>44410</c:v>
                </c:pt>
                <c:pt idx="636">
                  <c:v>44411</c:v>
                </c:pt>
                <c:pt idx="637">
                  <c:v>44412</c:v>
                </c:pt>
                <c:pt idx="638">
                  <c:v>44413</c:v>
                </c:pt>
                <c:pt idx="639">
                  <c:v>44414</c:v>
                </c:pt>
                <c:pt idx="640">
                  <c:v>44417</c:v>
                </c:pt>
                <c:pt idx="641">
                  <c:v>44418</c:v>
                </c:pt>
                <c:pt idx="642">
                  <c:v>44419</c:v>
                </c:pt>
                <c:pt idx="643">
                  <c:v>44420</c:v>
                </c:pt>
                <c:pt idx="644">
                  <c:v>44421</c:v>
                </c:pt>
                <c:pt idx="645">
                  <c:v>44424</c:v>
                </c:pt>
                <c:pt idx="646">
                  <c:v>44425</c:v>
                </c:pt>
                <c:pt idx="647">
                  <c:v>44426</c:v>
                </c:pt>
                <c:pt idx="648">
                  <c:v>44427</c:v>
                </c:pt>
                <c:pt idx="649">
                  <c:v>44428</c:v>
                </c:pt>
                <c:pt idx="650">
                  <c:v>44431</c:v>
                </c:pt>
                <c:pt idx="651">
                  <c:v>44432</c:v>
                </c:pt>
                <c:pt idx="652">
                  <c:v>44433</c:v>
                </c:pt>
                <c:pt idx="653">
                  <c:v>44434</c:v>
                </c:pt>
                <c:pt idx="654">
                  <c:v>44435</c:v>
                </c:pt>
                <c:pt idx="655">
                  <c:v>44438</c:v>
                </c:pt>
                <c:pt idx="656">
                  <c:v>44439</c:v>
                </c:pt>
                <c:pt idx="657">
                  <c:v>44440</c:v>
                </c:pt>
                <c:pt idx="658">
                  <c:v>44441</c:v>
                </c:pt>
                <c:pt idx="659">
                  <c:v>44442</c:v>
                </c:pt>
                <c:pt idx="660">
                  <c:v>44445</c:v>
                </c:pt>
                <c:pt idx="661">
                  <c:v>44446</c:v>
                </c:pt>
                <c:pt idx="662">
                  <c:v>44447</c:v>
                </c:pt>
                <c:pt idx="663">
                  <c:v>44448</c:v>
                </c:pt>
                <c:pt idx="664">
                  <c:v>44449</c:v>
                </c:pt>
                <c:pt idx="665">
                  <c:v>44452</c:v>
                </c:pt>
                <c:pt idx="666">
                  <c:v>44453</c:v>
                </c:pt>
              </c:numCache>
            </c:numRef>
          </c:cat>
          <c:val>
            <c:numRef>
              <c:f>Sheet1!$E$2:$E$668</c:f>
              <c:numCache>
                <c:formatCode>0</c:formatCode>
                <c:ptCount val="667"/>
                <c:pt idx="0" formatCode="General">
                  <c:v>100</c:v>
                </c:pt>
                <c:pt idx="1">
                  <c:v>99</c:v>
                </c:pt>
                <c:pt idx="2">
                  <c:v>100</c:v>
                </c:pt>
                <c:pt idx="3">
                  <c:v>100</c:v>
                </c:pt>
                <c:pt idx="4">
                  <c:v>100</c:v>
                </c:pt>
                <c:pt idx="5">
                  <c:v>100</c:v>
                </c:pt>
                <c:pt idx="6">
                  <c:v>100</c:v>
                </c:pt>
                <c:pt idx="7">
                  <c:v>100</c:v>
                </c:pt>
                <c:pt idx="8">
                  <c:v>101</c:v>
                </c:pt>
                <c:pt idx="9">
                  <c:v>101</c:v>
                </c:pt>
                <c:pt idx="10">
                  <c:v>101</c:v>
                </c:pt>
                <c:pt idx="11">
                  <c:v>100</c:v>
                </c:pt>
                <c:pt idx="12">
                  <c:v>101</c:v>
                </c:pt>
                <c:pt idx="13">
                  <c:v>100</c:v>
                </c:pt>
                <c:pt idx="14">
                  <c:v>100</c:v>
                </c:pt>
                <c:pt idx="15">
                  <c:v>100</c:v>
                </c:pt>
                <c:pt idx="16">
                  <c:v>100</c:v>
                </c:pt>
                <c:pt idx="17">
                  <c:v>100</c:v>
                </c:pt>
                <c:pt idx="18">
                  <c:v>100</c:v>
                </c:pt>
                <c:pt idx="19">
                  <c:v>100</c:v>
                </c:pt>
                <c:pt idx="20">
                  <c:v>101</c:v>
                </c:pt>
                <c:pt idx="21">
                  <c:v>101</c:v>
                </c:pt>
                <c:pt idx="22">
                  <c:v>101</c:v>
                </c:pt>
                <c:pt idx="23">
                  <c:v>101</c:v>
                </c:pt>
                <c:pt idx="24">
                  <c:v>101</c:v>
                </c:pt>
                <c:pt idx="25">
                  <c:v>102</c:v>
                </c:pt>
                <c:pt idx="26">
                  <c:v>101</c:v>
                </c:pt>
                <c:pt idx="27">
                  <c:v>101</c:v>
                </c:pt>
                <c:pt idx="28">
                  <c:v>101</c:v>
                </c:pt>
                <c:pt idx="29">
                  <c:v>101</c:v>
                </c:pt>
                <c:pt idx="30">
                  <c:v>101</c:v>
                </c:pt>
                <c:pt idx="31">
                  <c:v>101</c:v>
                </c:pt>
                <c:pt idx="32">
                  <c:v>101</c:v>
                </c:pt>
                <c:pt idx="33">
                  <c:v>101</c:v>
                </c:pt>
                <c:pt idx="34">
                  <c:v>100</c:v>
                </c:pt>
                <c:pt idx="35">
                  <c:v>101</c:v>
                </c:pt>
                <c:pt idx="36">
                  <c:v>101</c:v>
                </c:pt>
                <c:pt idx="37">
                  <c:v>101</c:v>
                </c:pt>
                <c:pt idx="38">
                  <c:v>101</c:v>
                </c:pt>
                <c:pt idx="39">
                  <c:v>101</c:v>
                </c:pt>
                <c:pt idx="40">
                  <c:v>101</c:v>
                </c:pt>
                <c:pt idx="41">
                  <c:v>102</c:v>
                </c:pt>
                <c:pt idx="42">
                  <c:v>102</c:v>
                </c:pt>
                <c:pt idx="43">
                  <c:v>101</c:v>
                </c:pt>
                <c:pt idx="44">
                  <c:v>101</c:v>
                </c:pt>
                <c:pt idx="45">
                  <c:v>101</c:v>
                </c:pt>
                <c:pt idx="46">
                  <c:v>101</c:v>
                </c:pt>
                <c:pt idx="47">
                  <c:v>101</c:v>
                </c:pt>
                <c:pt idx="48">
                  <c:v>100</c:v>
                </c:pt>
                <c:pt idx="49">
                  <c:v>100</c:v>
                </c:pt>
                <c:pt idx="50">
                  <c:v>101</c:v>
                </c:pt>
                <c:pt idx="51">
                  <c:v>101</c:v>
                </c:pt>
                <c:pt idx="52">
                  <c:v>101</c:v>
                </c:pt>
                <c:pt idx="53">
                  <c:v>101</c:v>
                </c:pt>
                <c:pt idx="54">
                  <c:v>101</c:v>
                </c:pt>
                <c:pt idx="55">
                  <c:v>101</c:v>
                </c:pt>
                <c:pt idx="56">
                  <c:v>101</c:v>
                </c:pt>
                <c:pt idx="57">
                  <c:v>101</c:v>
                </c:pt>
                <c:pt idx="58">
                  <c:v>102</c:v>
                </c:pt>
                <c:pt idx="59">
                  <c:v>101</c:v>
                </c:pt>
                <c:pt idx="60">
                  <c:v>102</c:v>
                </c:pt>
                <c:pt idx="61">
                  <c:v>102</c:v>
                </c:pt>
                <c:pt idx="62">
                  <c:v>101</c:v>
                </c:pt>
                <c:pt idx="63">
                  <c:v>101</c:v>
                </c:pt>
                <c:pt idx="64">
                  <c:v>101</c:v>
                </c:pt>
                <c:pt idx="65">
                  <c:v>101</c:v>
                </c:pt>
                <c:pt idx="66">
                  <c:v>101</c:v>
                </c:pt>
                <c:pt idx="67">
                  <c:v>101</c:v>
                </c:pt>
                <c:pt idx="68">
                  <c:v>101</c:v>
                </c:pt>
                <c:pt idx="69">
                  <c:v>101</c:v>
                </c:pt>
                <c:pt idx="70">
                  <c:v>102</c:v>
                </c:pt>
                <c:pt idx="71">
                  <c:v>102</c:v>
                </c:pt>
                <c:pt idx="72">
                  <c:v>102</c:v>
                </c:pt>
                <c:pt idx="73">
                  <c:v>102</c:v>
                </c:pt>
                <c:pt idx="74">
                  <c:v>103</c:v>
                </c:pt>
                <c:pt idx="75">
                  <c:v>102</c:v>
                </c:pt>
                <c:pt idx="76">
                  <c:v>102</c:v>
                </c:pt>
                <c:pt idx="77">
                  <c:v>102</c:v>
                </c:pt>
                <c:pt idx="78">
                  <c:v>102</c:v>
                </c:pt>
                <c:pt idx="79">
                  <c:v>102</c:v>
                </c:pt>
                <c:pt idx="80">
                  <c:v>102</c:v>
                </c:pt>
                <c:pt idx="81">
                  <c:v>102</c:v>
                </c:pt>
                <c:pt idx="82">
                  <c:v>102</c:v>
                </c:pt>
                <c:pt idx="83">
                  <c:v>102</c:v>
                </c:pt>
                <c:pt idx="84">
                  <c:v>102</c:v>
                </c:pt>
                <c:pt idx="85">
                  <c:v>102</c:v>
                </c:pt>
                <c:pt idx="86">
                  <c:v>102</c:v>
                </c:pt>
                <c:pt idx="87">
                  <c:v>102</c:v>
                </c:pt>
                <c:pt idx="88">
                  <c:v>102</c:v>
                </c:pt>
                <c:pt idx="89">
                  <c:v>102</c:v>
                </c:pt>
                <c:pt idx="90">
                  <c:v>103</c:v>
                </c:pt>
                <c:pt idx="91">
                  <c:v>103</c:v>
                </c:pt>
                <c:pt idx="92">
                  <c:v>102</c:v>
                </c:pt>
                <c:pt idx="93">
                  <c:v>102</c:v>
                </c:pt>
                <c:pt idx="94">
                  <c:v>102</c:v>
                </c:pt>
                <c:pt idx="95">
                  <c:v>103</c:v>
                </c:pt>
                <c:pt idx="96">
                  <c:v>103</c:v>
                </c:pt>
                <c:pt idx="97">
                  <c:v>102</c:v>
                </c:pt>
                <c:pt idx="98">
                  <c:v>102</c:v>
                </c:pt>
                <c:pt idx="99">
                  <c:v>102</c:v>
                </c:pt>
                <c:pt idx="100">
                  <c:v>102</c:v>
                </c:pt>
                <c:pt idx="101">
                  <c:v>102</c:v>
                </c:pt>
                <c:pt idx="102">
                  <c:v>101</c:v>
                </c:pt>
                <c:pt idx="103">
                  <c:v>101</c:v>
                </c:pt>
                <c:pt idx="104">
                  <c:v>101</c:v>
                </c:pt>
                <c:pt idx="105">
                  <c:v>102</c:v>
                </c:pt>
                <c:pt idx="106">
                  <c:v>102</c:v>
                </c:pt>
                <c:pt idx="107">
                  <c:v>102</c:v>
                </c:pt>
                <c:pt idx="108">
                  <c:v>102</c:v>
                </c:pt>
                <c:pt idx="109">
                  <c:v>102</c:v>
                </c:pt>
                <c:pt idx="110">
                  <c:v>101</c:v>
                </c:pt>
                <c:pt idx="111">
                  <c:v>101</c:v>
                </c:pt>
                <c:pt idx="112">
                  <c:v>100</c:v>
                </c:pt>
                <c:pt idx="113">
                  <c:v>100</c:v>
                </c:pt>
                <c:pt idx="114">
                  <c:v>100</c:v>
                </c:pt>
                <c:pt idx="115">
                  <c:v>100</c:v>
                </c:pt>
                <c:pt idx="116">
                  <c:v>100</c:v>
                </c:pt>
                <c:pt idx="117">
                  <c:v>100</c:v>
                </c:pt>
                <c:pt idx="118">
                  <c:v>101</c:v>
                </c:pt>
                <c:pt idx="119">
                  <c:v>101</c:v>
                </c:pt>
                <c:pt idx="120">
                  <c:v>101</c:v>
                </c:pt>
                <c:pt idx="121">
                  <c:v>101</c:v>
                </c:pt>
                <c:pt idx="122">
                  <c:v>102</c:v>
                </c:pt>
                <c:pt idx="123">
                  <c:v>102</c:v>
                </c:pt>
                <c:pt idx="124">
                  <c:v>101</c:v>
                </c:pt>
                <c:pt idx="125">
                  <c:v>101</c:v>
                </c:pt>
                <c:pt idx="126">
                  <c:v>101</c:v>
                </c:pt>
                <c:pt idx="127">
                  <c:v>101</c:v>
                </c:pt>
                <c:pt idx="128">
                  <c:v>102</c:v>
                </c:pt>
                <c:pt idx="129">
                  <c:v>101</c:v>
                </c:pt>
                <c:pt idx="130">
                  <c:v>101</c:v>
                </c:pt>
                <c:pt idx="131">
                  <c:v>101</c:v>
                </c:pt>
                <c:pt idx="132">
                  <c:v>102</c:v>
                </c:pt>
                <c:pt idx="133">
                  <c:v>102</c:v>
                </c:pt>
                <c:pt idx="134">
                  <c:v>102</c:v>
                </c:pt>
                <c:pt idx="135">
                  <c:v>102</c:v>
                </c:pt>
                <c:pt idx="136">
                  <c:v>102</c:v>
                </c:pt>
                <c:pt idx="137">
                  <c:v>102</c:v>
                </c:pt>
                <c:pt idx="138">
                  <c:v>102</c:v>
                </c:pt>
                <c:pt idx="139">
                  <c:v>103</c:v>
                </c:pt>
                <c:pt idx="140">
                  <c:v>103</c:v>
                </c:pt>
                <c:pt idx="141">
                  <c:v>102</c:v>
                </c:pt>
                <c:pt idx="142">
                  <c:v>102</c:v>
                </c:pt>
                <c:pt idx="143">
                  <c:v>102</c:v>
                </c:pt>
                <c:pt idx="144">
                  <c:v>102</c:v>
                </c:pt>
                <c:pt idx="145">
                  <c:v>102</c:v>
                </c:pt>
                <c:pt idx="146">
                  <c:v>102</c:v>
                </c:pt>
                <c:pt idx="147">
                  <c:v>102</c:v>
                </c:pt>
                <c:pt idx="148">
                  <c:v>102</c:v>
                </c:pt>
                <c:pt idx="149">
                  <c:v>102</c:v>
                </c:pt>
                <c:pt idx="150">
                  <c:v>103</c:v>
                </c:pt>
                <c:pt idx="151">
                  <c:v>103</c:v>
                </c:pt>
                <c:pt idx="152">
                  <c:v>103</c:v>
                </c:pt>
                <c:pt idx="153">
                  <c:v>103</c:v>
                </c:pt>
                <c:pt idx="154">
                  <c:v>103</c:v>
                </c:pt>
                <c:pt idx="155">
                  <c:v>103</c:v>
                </c:pt>
                <c:pt idx="156">
                  <c:v>102</c:v>
                </c:pt>
                <c:pt idx="157">
                  <c:v>103</c:v>
                </c:pt>
                <c:pt idx="158">
                  <c:v>103</c:v>
                </c:pt>
                <c:pt idx="159">
                  <c:v>103</c:v>
                </c:pt>
                <c:pt idx="160">
                  <c:v>103</c:v>
                </c:pt>
                <c:pt idx="161">
                  <c:v>104</c:v>
                </c:pt>
                <c:pt idx="162">
                  <c:v>104</c:v>
                </c:pt>
                <c:pt idx="163">
                  <c:v>104</c:v>
                </c:pt>
                <c:pt idx="164">
                  <c:v>103</c:v>
                </c:pt>
                <c:pt idx="165">
                  <c:v>103</c:v>
                </c:pt>
                <c:pt idx="166">
                  <c:v>103</c:v>
                </c:pt>
                <c:pt idx="167">
                  <c:v>103</c:v>
                </c:pt>
                <c:pt idx="168">
                  <c:v>103</c:v>
                </c:pt>
                <c:pt idx="169">
                  <c:v>103</c:v>
                </c:pt>
                <c:pt idx="170">
                  <c:v>103</c:v>
                </c:pt>
                <c:pt idx="171">
                  <c:v>103</c:v>
                </c:pt>
                <c:pt idx="172">
                  <c:v>103</c:v>
                </c:pt>
                <c:pt idx="173">
                  <c:v>102</c:v>
                </c:pt>
                <c:pt idx="174">
                  <c:v>103</c:v>
                </c:pt>
                <c:pt idx="175">
                  <c:v>102</c:v>
                </c:pt>
                <c:pt idx="176">
                  <c:v>103</c:v>
                </c:pt>
                <c:pt idx="177">
                  <c:v>103</c:v>
                </c:pt>
                <c:pt idx="178">
                  <c:v>103</c:v>
                </c:pt>
                <c:pt idx="179">
                  <c:v>103</c:v>
                </c:pt>
                <c:pt idx="180">
                  <c:v>103</c:v>
                </c:pt>
                <c:pt idx="181">
                  <c:v>103</c:v>
                </c:pt>
                <c:pt idx="182">
                  <c:v>104</c:v>
                </c:pt>
                <c:pt idx="183">
                  <c:v>103</c:v>
                </c:pt>
                <c:pt idx="184">
                  <c:v>103</c:v>
                </c:pt>
                <c:pt idx="185">
                  <c:v>103</c:v>
                </c:pt>
                <c:pt idx="186">
                  <c:v>103</c:v>
                </c:pt>
                <c:pt idx="187">
                  <c:v>103</c:v>
                </c:pt>
                <c:pt idx="188">
                  <c:v>104</c:v>
                </c:pt>
                <c:pt idx="189">
                  <c:v>103</c:v>
                </c:pt>
                <c:pt idx="190">
                  <c:v>103</c:v>
                </c:pt>
                <c:pt idx="191">
                  <c:v>103</c:v>
                </c:pt>
                <c:pt idx="192">
                  <c:v>103</c:v>
                </c:pt>
                <c:pt idx="193">
                  <c:v>103</c:v>
                </c:pt>
                <c:pt idx="194">
                  <c:v>102</c:v>
                </c:pt>
                <c:pt idx="195">
                  <c:v>102</c:v>
                </c:pt>
                <c:pt idx="196">
                  <c:v>102</c:v>
                </c:pt>
                <c:pt idx="197">
                  <c:v>102</c:v>
                </c:pt>
                <c:pt idx="198">
                  <c:v>102</c:v>
                </c:pt>
                <c:pt idx="199">
                  <c:v>102</c:v>
                </c:pt>
                <c:pt idx="200">
                  <c:v>102</c:v>
                </c:pt>
                <c:pt idx="201">
                  <c:v>102</c:v>
                </c:pt>
                <c:pt idx="202">
                  <c:v>102</c:v>
                </c:pt>
                <c:pt idx="203">
                  <c:v>102</c:v>
                </c:pt>
                <c:pt idx="204">
                  <c:v>102</c:v>
                </c:pt>
                <c:pt idx="205">
                  <c:v>102</c:v>
                </c:pt>
                <c:pt idx="206">
                  <c:v>102</c:v>
                </c:pt>
                <c:pt idx="207">
                  <c:v>102</c:v>
                </c:pt>
                <c:pt idx="208">
                  <c:v>102</c:v>
                </c:pt>
                <c:pt idx="209">
                  <c:v>102</c:v>
                </c:pt>
                <c:pt idx="210">
                  <c:v>103</c:v>
                </c:pt>
                <c:pt idx="211">
                  <c:v>103</c:v>
                </c:pt>
                <c:pt idx="212">
                  <c:v>103</c:v>
                </c:pt>
                <c:pt idx="213">
                  <c:v>103</c:v>
                </c:pt>
                <c:pt idx="214">
                  <c:v>103</c:v>
                </c:pt>
                <c:pt idx="215">
                  <c:v>103</c:v>
                </c:pt>
                <c:pt idx="216">
                  <c:v>103</c:v>
                </c:pt>
                <c:pt idx="217">
                  <c:v>102</c:v>
                </c:pt>
                <c:pt idx="218">
                  <c:v>102</c:v>
                </c:pt>
                <c:pt idx="219">
                  <c:v>102</c:v>
                </c:pt>
                <c:pt idx="220">
                  <c:v>103</c:v>
                </c:pt>
                <c:pt idx="221">
                  <c:v>103</c:v>
                </c:pt>
                <c:pt idx="222">
                  <c:v>103</c:v>
                </c:pt>
                <c:pt idx="223">
                  <c:v>103</c:v>
                </c:pt>
                <c:pt idx="224">
                  <c:v>103</c:v>
                </c:pt>
                <c:pt idx="225">
                  <c:v>103</c:v>
                </c:pt>
                <c:pt idx="226">
                  <c:v>103</c:v>
                </c:pt>
                <c:pt idx="227">
                  <c:v>102</c:v>
                </c:pt>
                <c:pt idx="228">
                  <c:v>102</c:v>
                </c:pt>
                <c:pt idx="229">
                  <c:v>102</c:v>
                </c:pt>
                <c:pt idx="230">
                  <c:v>102</c:v>
                </c:pt>
                <c:pt idx="231">
                  <c:v>102</c:v>
                </c:pt>
                <c:pt idx="232">
                  <c:v>102</c:v>
                </c:pt>
                <c:pt idx="233">
                  <c:v>102</c:v>
                </c:pt>
                <c:pt idx="234">
                  <c:v>102</c:v>
                </c:pt>
                <c:pt idx="235">
                  <c:v>102</c:v>
                </c:pt>
                <c:pt idx="236">
                  <c:v>102</c:v>
                </c:pt>
                <c:pt idx="237">
                  <c:v>102</c:v>
                </c:pt>
                <c:pt idx="238">
                  <c:v>101</c:v>
                </c:pt>
                <c:pt idx="239">
                  <c:v>102</c:v>
                </c:pt>
                <c:pt idx="240">
                  <c:v>102</c:v>
                </c:pt>
                <c:pt idx="241">
                  <c:v>102</c:v>
                </c:pt>
                <c:pt idx="242">
                  <c:v>102</c:v>
                </c:pt>
                <c:pt idx="243">
                  <c:v>102</c:v>
                </c:pt>
                <c:pt idx="244">
                  <c:v>102</c:v>
                </c:pt>
                <c:pt idx="245">
                  <c:v>101</c:v>
                </c:pt>
                <c:pt idx="246">
                  <c:v>101</c:v>
                </c:pt>
                <c:pt idx="247">
                  <c:v>102</c:v>
                </c:pt>
                <c:pt idx="248">
                  <c:v>102</c:v>
                </c:pt>
                <c:pt idx="249">
                  <c:v>102</c:v>
                </c:pt>
                <c:pt idx="250">
                  <c:v>102</c:v>
                </c:pt>
                <c:pt idx="251">
                  <c:v>102</c:v>
                </c:pt>
                <c:pt idx="252">
                  <c:v>102</c:v>
                </c:pt>
                <c:pt idx="253">
                  <c:v>102</c:v>
                </c:pt>
                <c:pt idx="254">
                  <c:v>102</c:v>
                </c:pt>
                <c:pt idx="255">
                  <c:v>102</c:v>
                </c:pt>
                <c:pt idx="256">
                  <c:v>102</c:v>
                </c:pt>
                <c:pt idx="257">
                  <c:v>102</c:v>
                </c:pt>
                <c:pt idx="258">
                  <c:v>102</c:v>
                </c:pt>
                <c:pt idx="259">
                  <c:v>102</c:v>
                </c:pt>
                <c:pt idx="260">
                  <c:v>102</c:v>
                </c:pt>
                <c:pt idx="261">
                  <c:v>102</c:v>
                </c:pt>
                <c:pt idx="262">
                  <c:v>102</c:v>
                </c:pt>
                <c:pt idx="263">
                  <c:v>102</c:v>
                </c:pt>
                <c:pt idx="264">
                  <c:v>102</c:v>
                </c:pt>
                <c:pt idx="265">
                  <c:v>103</c:v>
                </c:pt>
                <c:pt idx="266">
                  <c:v>103</c:v>
                </c:pt>
                <c:pt idx="267">
                  <c:v>103</c:v>
                </c:pt>
                <c:pt idx="268">
                  <c:v>103</c:v>
                </c:pt>
                <c:pt idx="269">
                  <c:v>103</c:v>
                </c:pt>
                <c:pt idx="270">
                  <c:v>104</c:v>
                </c:pt>
                <c:pt idx="271">
                  <c:v>104</c:v>
                </c:pt>
                <c:pt idx="272">
                  <c:v>104</c:v>
                </c:pt>
                <c:pt idx="273">
                  <c:v>104</c:v>
                </c:pt>
                <c:pt idx="274">
                  <c:v>104</c:v>
                </c:pt>
                <c:pt idx="275">
                  <c:v>104</c:v>
                </c:pt>
                <c:pt idx="276">
                  <c:v>105</c:v>
                </c:pt>
                <c:pt idx="277">
                  <c:v>104</c:v>
                </c:pt>
                <c:pt idx="278">
                  <c:v>104</c:v>
                </c:pt>
                <c:pt idx="279">
                  <c:v>104</c:v>
                </c:pt>
                <c:pt idx="280">
                  <c:v>104</c:v>
                </c:pt>
                <c:pt idx="281">
                  <c:v>103</c:v>
                </c:pt>
                <c:pt idx="282">
                  <c:v>103</c:v>
                </c:pt>
                <c:pt idx="283">
                  <c:v>102</c:v>
                </c:pt>
                <c:pt idx="284">
                  <c:v>102</c:v>
                </c:pt>
                <c:pt idx="285">
                  <c:v>102</c:v>
                </c:pt>
                <c:pt idx="286">
                  <c:v>101</c:v>
                </c:pt>
                <c:pt idx="287">
                  <c:v>100</c:v>
                </c:pt>
                <c:pt idx="288">
                  <c:v>99</c:v>
                </c:pt>
                <c:pt idx="289">
                  <c:v>101</c:v>
                </c:pt>
                <c:pt idx="290">
                  <c:v>101</c:v>
                </c:pt>
                <c:pt idx="291">
                  <c:v>102</c:v>
                </c:pt>
                <c:pt idx="292">
                  <c:v>103</c:v>
                </c:pt>
                <c:pt idx="293">
                  <c:v>103</c:v>
                </c:pt>
                <c:pt idx="294">
                  <c:v>105</c:v>
                </c:pt>
                <c:pt idx="295">
                  <c:v>106</c:v>
                </c:pt>
                <c:pt idx="296">
                  <c:v>109</c:v>
                </c:pt>
                <c:pt idx="297">
                  <c:v>108</c:v>
                </c:pt>
                <c:pt idx="298">
                  <c:v>108</c:v>
                </c:pt>
                <c:pt idx="299">
                  <c:v>107</c:v>
                </c:pt>
                <c:pt idx="300">
                  <c:v>106</c:v>
                </c:pt>
                <c:pt idx="301">
                  <c:v>104</c:v>
                </c:pt>
                <c:pt idx="302">
                  <c:v>103</c:v>
                </c:pt>
                <c:pt idx="303">
                  <c:v>104</c:v>
                </c:pt>
                <c:pt idx="304">
                  <c:v>104</c:v>
                </c:pt>
                <c:pt idx="305">
                  <c:v>104</c:v>
                </c:pt>
                <c:pt idx="306">
                  <c:v>105</c:v>
                </c:pt>
                <c:pt idx="307">
                  <c:v>105</c:v>
                </c:pt>
                <c:pt idx="308">
                  <c:v>106</c:v>
                </c:pt>
                <c:pt idx="309">
                  <c:v>105</c:v>
                </c:pt>
                <c:pt idx="310">
                  <c:v>105</c:v>
                </c:pt>
                <c:pt idx="311">
                  <c:v>104</c:v>
                </c:pt>
                <c:pt idx="312">
                  <c:v>104</c:v>
                </c:pt>
                <c:pt idx="313">
                  <c:v>104</c:v>
                </c:pt>
                <c:pt idx="314">
                  <c:v>104</c:v>
                </c:pt>
                <c:pt idx="315">
                  <c:v>105</c:v>
                </c:pt>
                <c:pt idx="316">
                  <c:v>105</c:v>
                </c:pt>
                <c:pt idx="317">
                  <c:v>105</c:v>
                </c:pt>
                <c:pt idx="318">
                  <c:v>105</c:v>
                </c:pt>
                <c:pt idx="319">
                  <c:v>105</c:v>
                </c:pt>
                <c:pt idx="320">
                  <c:v>105</c:v>
                </c:pt>
                <c:pt idx="321">
                  <c:v>105</c:v>
                </c:pt>
                <c:pt idx="322">
                  <c:v>105</c:v>
                </c:pt>
                <c:pt idx="323">
                  <c:v>104</c:v>
                </c:pt>
                <c:pt idx="324">
                  <c:v>104</c:v>
                </c:pt>
                <c:pt idx="325">
                  <c:v>104</c:v>
                </c:pt>
                <c:pt idx="326">
                  <c:v>104</c:v>
                </c:pt>
                <c:pt idx="327">
                  <c:v>105</c:v>
                </c:pt>
                <c:pt idx="328">
                  <c:v>105</c:v>
                </c:pt>
                <c:pt idx="329">
                  <c:v>104</c:v>
                </c:pt>
                <c:pt idx="330">
                  <c:v>105</c:v>
                </c:pt>
                <c:pt idx="331">
                  <c:v>105</c:v>
                </c:pt>
                <c:pt idx="332">
                  <c:v>105</c:v>
                </c:pt>
                <c:pt idx="333">
                  <c:v>105</c:v>
                </c:pt>
                <c:pt idx="334">
                  <c:v>105</c:v>
                </c:pt>
                <c:pt idx="335">
                  <c:v>104</c:v>
                </c:pt>
                <c:pt idx="336">
                  <c:v>104</c:v>
                </c:pt>
                <c:pt idx="337">
                  <c:v>104</c:v>
                </c:pt>
                <c:pt idx="338">
                  <c:v>104</c:v>
                </c:pt>
                <c:pt idx="339">
                  <c:v>105</c:v>
                </c:pt>
                <c:pt idx="340">
                  <c:v>105</c:v>
                </c:pt>
                <c:pt idx="341">
                  <c:v>104</c:v>
                </c:pt>
                <c:pt idx="342">
                  <c:v>104</c:v>
                </c:pt>
                <c:pt idx="343">
                  <c:v>102</c:v>
                </c:pt>
                <c:pt idx="344">
                  <c:v>102</c:v>
                </c:pt>
                <c:pt idx="345">
                  <c:v>102</c:v>
                </c:pt>
                <c:pt idx="346">
                  <c:v>101</c:v>
                </c:pt>
                <c:pt idx="347">
                  <c:v>102</c:v>
                </c:pt>
                <c:pt idx="348">
                  <c:v>101</c:v>
                </c:pt>
                <c:pt idx="349">
                  <c:v>101</c:v>
                </c:pt>
                <c:pt idx="350">
                  <c:v>100</c:v>
                </c:pt>
                <c:pt idx="351">
                  <c:v>101</c:v>
                </c:pt>
                <c:pt idx="352">
                  <c:v>102</c:v>
                </c:pt>
                <c:pt idx="353">
                  <c:v>102</c:v>
                </c:pt>
                <c:pt idx="354">
                  <c:v>102</c:v>
                </c:pt>
                <c:pt idx="355">
                  <c:v>102</c:v>
                </c:pt>
                <c:pt idx="356">
                  <c:v>102</c:v>
                </c:pt>
                <c:pt idx="357">
                  <c:v>102</c:v>
                </c:pt>
                <c:pt idx="358">
                  <c:v>102</c:v>
                </c:pt>
                <c:pt idx="359">
                  <c:v>101</c:v>
                </c:pt>
                <c:pt idx="360">
                  <c:v>102</c:v>
                </c:pt>
                <c:pt idx="361">
                  <c:v>102</c:v>
                </c:pt>
                <c:pt idx="362">
                  <c:v>102</c:v>
                </c:pt>
                <c:pt idx="363">
                  <c:v>102</c:v>
                </c:pt>
                <c:pt idx="364">
                  <c:v>102</c:v>
                </c:pt>
                <c:pt idx="365">
                  <c:v>102</c:v>
                </c:pt>
                <c:pt idx="366">
                  <c:v>102</c:v>
                </c:pt>
                <c:pt idx="367">
                  <c:v>102</c:v>
                </c:pt>
                <c:pt idx="368">
                  <c:v>101</c:v>
                </c:pt>
                <c:pt idx="369">
                  <c:v>101</c:v>
                </c:pt>
                <c:pt idx="370">
                  <c:v>101</c:v>
                </c:pt>
                <c:pt idx="371">
                  <c:v>101</c:v>
                </c:pt>
                <c:pt idx="372">
                  <c:v>101</c:v>
                </c:pt>
                <c:pt idx="373">
                  <c:v>101</c:v>
                </c:pt>
                <c:pt idx="374">
                  <c:v>101</c:v>
                </c:pt>
                <c:pt idx="375">
                  <c:v>101</c:v>
                </c:pt>
                <c:pt idx="376">
                  <c:v>101</c:v>
                </c:pt>
                <c:pt idx="377">
                  <c:v>100</c:v>
                </c:pt>
                <c:pt idx="378">
                  <c:v>100</c:v>
                </c:pt>
                <c:pt idx="379">
                  <c:v>100</c:v>
                </c:pt>
                <c:pt idx="380">
                  <c:v>99</c:v>
                </c:pt>
                <c:pt idx="381">
                  <c:v>99</c:v>
                </c:pt>
                <c:pt idx="382">
                  <c:v>99</c:v>
                </c:pt>
                <c:pt idx="383">
                  <c:v>98</c:v>
                </c:pt>
                <c:pt idx="384">
                  <c:v>98</c:v>
                </c:pt>
                <c:pt idx="385">
                  <c:v>98</c:v>
                </c:pt>
                <c:pt idx="386">
                  <c:v>97</c:v>
                </c:pt>
                <c:pt idx="387">
                  <c:v>98</c:v>
                </c:pt>
                <c:pt idx="388">
                  <c:v>98</c:v>
                </c:pt>
                <c:pt idx="389">
                  <c:v>98</c:v>
                </c:pt>
                <c:pt idx="390">
                  <c:v>97</c:v>
                </c:pt>
                <c:pt idx="391">
                  <c:v>97</c:v>
                </c:pt>
                <c:pt idx="392">
                  <c:v>98</c:v>
                </c:pt>
                <c:pt idx="393">
                  <c:v>98</c:v>
                </c:pt>
                <c:pt idx="394">
                  <c:v>98</c:v>
                </c:pt>
                <c:pt idx="395">
                  <c:v>98</c:v>
                </c:pt>
                <c:pt idx="396">
                  <c:v>98</c:v>
                </c:pt>
                <c:pt idx="397">
                  <c:v>97</c:v>
                </c:pt>
                <c:pt idx="398">
                  <c:v>97</c:v>
                </c:pt>
                <c:pt idx="399">
                  <c:v>97</c:v>
                </c:pt>
                <c:pt idx="400">
                  <c:v>97</c:v>
                </c:pt>
                <c:pt idx="401">
                  <c:v>97</c:v>
                </c:pt>
                <c:pt idx="402">
                  <c:v>98</c:v>
                </c:pt>
                <c:pt idx="403">
                  <c:v>98</c:v>
                </c:pt>
                <c:pt idx="404">
                  <c:v>97</c:v>
                </c:pt>
                <c:pt idx="405">
                  <c:v>97</c:v>
                </c:pt>
                <c:pt idx="406">
                  <c:v>97</c:v>
                </c:pt>
                <c:pt idx="407">
                  <c:v>97</c:v>
                </c:pt>
                <c:pt idx="408">
                  <c:v>96</c:v>
                </c:pt>
                <c:pt idx="409">
                  <c:v>97</c:v>
                </c:pt>
                <c:pt idx="410">
                  <c:v>97</c:v>
                </c:pt>
                <c:pt idx="411">
                  <c:v>97</c:v>
                </c:pt>
                <c:pt idx="412">
                  <c:v>97</c:v>
                </c:pt>
                <c:pt idx="413">
                  <c:v>97</c:v>
                </c:pt>
                <c:pt idx="414">
                  <c:v>98</c:v>
                </c:pt>
                <c:pt idx="415">
                  <c:v>98</c:v>
                </c:pt>
                <c:pt idx="416">
                  <c:v>98</c:v>
                </c:pt>
                <c:pt idx="417">
                  <c:v>98</c:v>
                </c:pt>
                <c:pt idx="418">
                  <c:v>97</c:v>
                </c:pt>
                <c:pt idx="419">
                  <c:v>97</c:v>
                </c:pt>
                <c:pt idx="420">
                  <c:v>98</c:v>
                </c:pt>
                <c:pt idx="421">
                  <c:v>97</c:v>
                </c:pt>
                <c:pt idx="422">
                  <c:v>97</c:v>
                </c:pt>
                <c:pt idx="423">
                  <c:v>98</c:v>
                </c:pt>
                <c:pt idx="424">
                  <c:v>99</c:v>
                </c:pt>
                <c:pt idx="425">
                  <c:v>99</c:v>
                </c:pt>
                <c:pt idx="426">
                  <c:v>99</c:v>
                </c:pt>
                <c:pt idx="427">
                  <c:v>99</c:v>
                </c:pt>
                <c:pt idx="428">
                  <c:v>98</c:v>
                </c:pt>
                <c:pt idx="429">
                  <c:v>98</c:v>
                </c:pt>
                <c:pt idx="430">
                  <c:v>98</c:v>
                </c:pt>
                <c:pt idx="431">
                  <c:v>98</c:v>
                </c:pt>
                <c:pt idx="432">
                  <c:v>98</c:v>
                </c:pt>
                <c:pt idx="433">
                  <c:v>98</c:v>
                </c:pt>
                <c:pt idx="434">
                  <c:v>98</c:v>
                </c:pt>
                <c:pt idx="435">
                  <c:v>98</c:v>
                </c:pt>
                <c:pt idx="436">
                  <c:v>97</c:v>
                </c:pt>
                <c:pt idx="437">
                  <c:v>98</c:v>
                </c:pt>
                <c:pt idx="438">
                  <c:v>98</c:v>
                </c:pt>
                <c:pt idx="439">
                  <c:v>98</c:v>
                </c:pt>
                <c:pt idx="440">
                  <c:v>98</c:v>
                </c:pt>
                <c:pt idx="441">
                  <c:v>98</c:v>
                </c:pt>
                <c:pt idx="442">
                  <c:v>98</c:v>
                </c:pt>
                <c:pt idx="443">
                  <c:v>97</c:v>
                </c:pt>
                <c:pt idx="444">
                  <c:v>97</c:v>
                </c:pt>
                <c:pt idx="445">
                  <c:v>97</c:v>
                </c:pt>
                <c:pt idx="446">
                  <c:v>97</c:v>
                </c:pt>
                <c:pt idx="447">
                  <c:v>97</c:v>
                </c:pt>
                <c:pt idx="448">
                  <c:v>97</c:v>
                </c:pt>
                <c:pt idx="449">
                  <c:v>98</c:v>
                </c:pt>
                <c:pt idx="450">
                  <c:v>98</c:v>
                </c:pt>
                <c:pt idx="451">
                  <c:v>98</c:v>
                </c:pt>
                <c:pt idx="452">
                  <c:v>99</c:v>
                </c:pt>
                <c:pt idx="453">
                  <c:v>98</c:v>
                </c:pt>
                <c:pt idx="454">
                  <c:v>98</c:v>
                </c:pt>
                <c:pt idx="455">
                  <c:v>97</c:v>
                </c:pt>
                <c:pt idx="456">
                  <c:v>97</c:v>
                </c:pt>
                <c:pt idx="457">
                  <c:v>97</c:v>
                </c:pt>
                <c:pt idx="458">
                  <c:v>97</c:v>
                </c:pt>
                <c:pt idx="459">
                  <c:v>97</c:v>
                </c:pt>
                <c:pt idx="460">
                  <c:v>97</c:v>
                </c:pt>
                <c:pt idx="461">
                  <c:v>97</c:v>
                </c:pt>
                <c:pt idx="462">
                  <c:v>97</c:v>
                </c:pt>
                <c:pt idx="463">
                  <c:v>97</c:v>
                </c:pt>
                <c:pt idx="464">
                  <c:v>97</c:v>
                </c:pt>
                <c:pt idx="465">
                  <c:v>97</c:v>
                </c:pt>
                <c:pt idx="466">
                  <c:v>97</c:v>
                </c:pt>
                <c:pt idx="467">
                  <c:v>97</c:v>
                </c:pt>
                <c:pt idx="468">
                  <c:v>97</c:v>
                </c:pt>
                <c:pt idx="469">
                  <c:v>96</c:v>
                </c:pt>
                <c:pt idx="470">
                  <c:v>96</c:v>
                </c:pt>
                <c:pt idx="471">
                  <c:v>96</c:v>
                </c:pt>
                <c:pt idx="472">
                  <c:v>96</c:v>
                </c:pt>
                <c:pt idx="473">
                  <c:v>96</c:v>
                </c:pt>
                <c:pt idx="474">
                  <c:v>95</c:v>
                </c:pt>
                <c:pt idx="475">
                  <c:v>95</c:v>
                </c:pt>
                <c:pt idx="476">
                  <c:v>95</c:v>
                </c:pt>
                <c:pt idx="477">
                  <c:v>95</c:v>
                </c:pt>
                <c:pt idx="478">
                  <c:v>95</c:v>
                </c:pt>
                <c:pt idx="479">
                  <c:v>95</c:v>
                </c:pt>
                <c:pt idx="480">
                  <c:v>95</c:v>
                </c:pt>
                <c:pt idx="481">
                  <c:v>95</c:v>
                </c:pt>
                <c:pt idx="482">
                  <c:v>95</c:v>
                </c:pt>
                <c:pt idx="483">
                  <c:v>95</c:v>
                </c:pt>
                <c:pt idx="484">
                  <c:v>95</c:v>
                </c:pt>
                <c:pt idx="485">
                  <c:v>94</c:v>
                </c:pt>
                <c:pt idx="486">
                  <c:v>94</c:v>
                </c:pt>
                <c:pt idx="487">
                  <c:v>94</c:v>
                </c:pt>
                <c:pt idx="488">
                  <c:v>95</c:v>
                </c:pt>
                <c:pt idx="489">
                  <c:v>95</c:v>
                </c:pt>
                <c:pt idx="490">
                  <c:v>95</c:v>
                </c:pt>
                <c:pt idx="491">
                  <c:v>95</c:v>
                </c:pt>
                <c:pt idx="492">
                  <c:v>94</c:v>
                </c:pt>
                <c:pt idx="493">
                  <c:v>94</c:v>
                </c:pt>
                <c:pt idx="494">
                  <c:v>94</c:v>
                </c:pt>
                <c:pt idx="495">
                  <c:v>94</c:v>
                </c:pt>
                <c:pt idx="496">
                  <c:v>95</c:v>
                </c:pt>
                <c:pt idx="497">
                  <c:v>94</c:v>
                </c:pt>
                <c:pt idx="498">
                  <c:v>95</c:v>
                </c:pt>
                <c:pt idx="499">
                  <c:v>94</c:v>
                </c:pt>
                <c:pt idx="500">
                  <c:v>95</c:v>
                </c:pt>
                <c:pt idx="501">
                  <c:v>95</c:v>
                </c:pt>
                <c:pt idx="502">
                  <c:v>95</c:v>
                </c:pt>
                <c:pt idx="503">
                  <c:v>95</c:v>
                </c:pt>
                <c:pt idx="504">
                  <c:v>94</c:v>
                </c:pt>
                <c:pt idx="505">
                  <c:v>94</c:v>
                </c:pt>
                <c:pt idx="506">
                  <c:v>95</c:v>
                </c:pt>
                <c:pt idx="507">
                  <c:v>94</c:v>
                </c:pt>
                <c:pt idx="508">
                  <c:v>95</c:v>
                </c:pt>
                <c:pt idx="509">
                  <c:v>95</c:v>
                </c:pt>
                <c:pt idx="510">
                  <c:v>95</c:v>
                </c:pt>
                <c:pt idx="511">
                  <c:v>96</c:v>
                </c:pt>
                <c:pt idx="512">
                  <c:v>95</c:v>
                </c:pt>
                <c:pt idx="513">
                  <c:v>96</c:v>
                </c:pt>
                <c:pt idx="514">
                  <c:v>95</c:v>
                </c:pt>
                <c:pt idx="515">
                  <c:v>95</c:v>
                </c:pt>
                <c:pt idx="516">
                  <c:v>95</c:v>
                </c:pt>
                <c:pt idx="517">
                  <c:v>95</c:v>
                </c:pt>
                <c:pt idx="518">
                  <c:v>95</c:v>
                </c:pt>
                <c:pt idx="519">
                  <c:v>95</c:v>
                </c:pt>
                <c:pt idx="520">
                  <c:v>95</c:v>
                </c:pt>
                <c:pt idx="521">
                  <c:v>95</c:v>
                </c:pt>
                <c:pt idx="522">
                  <c:v>95</c:v>
                </c:pt>
                <c:pt idx="523">
                  <c:v>95</c:v>
                </c:pt>
                <c:pt idx="524">
                  <c:v>95</c:v>
                </c:pt>
                <c:pt idx="525">
                  <c:v>94</c:v>
                </c:pt>
                <c:pt idx="526">
                  <c:v>94</c:v>
                </c:pt>
                <c:pt idx="527">
                  <c:v>94</c:v>
                </c:pt>
                <c:pt idx="528">
                  <c:v>94</c:v>
                </c:pt>
                <c:pt idx="529">
                  <c:v>95</c:v>
                </c:pt>
                <c:pt idx="530">
                  <c:v>95</c:v>
                </c:pt>
                <c:pt idx="531">
                  <c:v>95</c:v>
                </c:pt>
                <c:pt idx="532">
                  <c:v>95</c:v>
                </c:pt>
                <c:pt idx="533">
                  <c:v>96</c:v>
                </c:pt>
                <c:pt idx="534">
                  <c:v>96</c:v>
                </c:pt>
                <c:pt idx="535">
                  <c:v>96</c:v>
                </c:pt>
                <c:pt idx="536">
                  <c:v>96</c:v>
                </c:pt>
                <c:pt idx="537">
                  <c:v>96</c:v>
                </c:pt>
                <c:pt idx="538">
                  <c:v>96</c:v>
                </c:pt>
                <c:pt idx="539">
                  <c:v>96</c:v>
                </c:pt>
                <c:pt idx="540">
                  <c:v>96</c:v>
                </c:pt>
                <c:pt idx="541">
                  <c:v>96</c:v>
                </c:pt>
                <c:pt idx="542">
                  <c:v>96</c:v>
                </c:pt>
                <c:pt idx="543">
                  <c:v>96</c:v>
                </c:pt>
                <c:pt idx="544">
                  <c:v>96</c:v>
                </c:pt>
                <c:pt idx="545">
                  <c:v>97</c:v>
                </c:pt>
                <c:pt idx="546">
                  <c:v>97</c:v>
                </c:pt>
                <c:pt idx="547">
                  <c:v>97</c:v>
                </c:pt>
                <c:pt idx="548">
                  <c:v>97</c:v>
                </c:pt>
                <c:pt idx="549">
                  <c:v>97</c:v>
                </c:pt>
                <c:pt idx="550">
                  <c:v>98</c:v>
                </c:pt>
                <c:pt idx="551">
                  <c:v>98</c:v>
                </c:pt>
                <c:pt idx="552">
                  <c:v>97</c:v>
                </c:pt>
                <c:pt idx="553">
                  <c:v>97</c:v>
                </c:pt>
                <c:pt idx="554">
                  <c:v>97</c:v>
                </c:pt>
                <c:pt idx="555">
                  <c:v>97</c:v>
                </c:pt>
                <c:pt idx="556">
                  <c:v>97</c:v>
                </c:pt>
                <c:pt idx="557" formatCode="0.00">
                  <c:v>96.43</c:v>
                </c:pt>
                <c:pt idx="558" formatCode="0.00">
                  <c:v>96.52</c:v>
                </c:pt>
                <c:pt idx="559" formatCode="0.00">
                  <c:v>96.51</c:v>
                </c:pt>
                <c:pt idx="560">
                  <c:v>96</c:v>
                </c:pt>
                <c:pt idx="561">
                  <c:v>96</c:v>
                </c:pt>
                <c:pt idx="562">
                  <c:v>96</c:v>
                </c:pt>
                <c:pt idx="563">
                  <c:v>96</c:v>
                </c:pt>
                <c:pt idx="564">
                  <c:v>95</c:v>
                </c:pt>
                <c:pt idx="565">
                  <c:v>96</c:v>
                </c:pt>
                <c:pt idx="566">
                  <c:v>95</c:v>
                </c:pt>
                <c:pt idx="567">
                  <c:v>96</c:v>
                </c:pt>
                <c:pt idx="568">
                  <c:v>95</c:v>
                </c:pt>
                <c:pt idx="569">
                  <c:v>95</c:v>
                </c:pt>
                <c:pt idx="570">
                  <c:v>95</c:v>
                </c:pt>
                <c:pt idx="571">
                  <c:v>95</c:v>
                </c:pt>
                <c:pt idx="572">
                  <c:v>95</c:v>
                </c:pt>
                <c:pt idx="573">
                  <c:v>96</c:v>
                </c:pt>
                <c:pt idx="574">
                  <c:v>95</c:v>
                </c:pt>
                <c:pt idx="575">
                  <c:v>96</c:v>
                </c:pt>
                <c:pt idx="576">
                  <c:v>96</c:v>
                </c:pt>
                <c:pt idx="577">
                  <c:v>95</c:v>
                </c:pt>
                <c:pt idx="578">
                  <c:v>94</c:v>
                </c:pt>
                <c:pt idx="579">
                  <c:v>94</c:v>
                </c:pt>
                <c:pt idx="580">
                  <c:v>94</c:v>
                </c:pt>
                <c:pt idx="581">
                  <c:v>95</c:v>
                </c:pt>
                <c:pt idx="582">
                  <c:v>95</c:v>
                </c:pt>
                <c:pt idx="583">
                  <c:v>95</c:v>
                </c:pt>
                <c:pt idx="584">
                  <c:v>94.4</c:v>
                </c:pt>
                <c:pt idx="585">
                  <c:v>94</c:v>
                </c:pt>
                <c:pt idx="586">
                  <c:v>94.5</c:v>
                </c:pt>
                <c:pt idx="587">
                  <c:v>94</c:v>
                </c:pt>
                <c:pt idx="588">
                  <c:v>93.9</c:v>
                </c:pt>
                <c:pt idx="589" formatCode="General">
                  <c:v>94.3</c:v>
                </c:pt>
                <c:pt idx="590" formatCode="General">
                  <c:v>94.2</c:v>
                </c:pt>
                <c:pt idx="591" formatCode="General">
                  <c:v>94.3</c:v>
                </c:pt>
                <c:pt idx="592" formatCode="General">
                  <c:v>94.1</c:v>
                </c:pt>
                <c:pt idx="593" formatCode="General">
                  <c:v>94.2</c:v>
                </c:pt>
                <c:pt idx="594" formatCode="General">
                  <c:v>94.8</c:v>
                </c:pt>
                <c:pt idx="595" formatCode="General">
                  <c:v>94.4</c:v>
                </c:pt>
                <c:pt idx="596" formatCode="General">
                  <c:v>94.2</c:v>
                </c:pt>
                <c:pt idx="597" formatCode="General">
                  <c:v>94.3</c:v>
                </c:pt>
                <c:pt idx="598" formatCode="General">
                  <c:v>94.4</c:v>
                </c:pt>
                <c:pt idx="599" formatCode="General">
                  <c:v>94.3</c:v>
                </c:pt>
                <c:pt idx="600" formatCode="General">
                  <c:v>94.8</c:v>
                </c:pt>
                <c:pt idx="601" formatCode="General">
                  <c:v>94.8</c:v>
                </c:pt>
                <c:pt idx="602" formatCode="General">
                  <c:v>94.8</c:v>
                </c:pt>
                <c:pt idx="603" formatCode="General">
                  <c:v>95.5</c:v>
                </c:pt>
                <c:pt idx="604" formatCode="General">
                  <c:v>96.2</c:v>
                </c:pt>
                <c:pt idx="605" formatCode="General">
                  <c:v>96.6</c:v>
                </c:pt>
                <c:pt idx="606" formatCode="General">
                  <c:v>96.2</c:v>
                </c:pt>
                <c:pt idx="607" formatCode="General">
                  <c:v>96.1</c:v>
                </c:pt>
                <c:pt idx="608" formatCode="General">
                  <c:v>96.1</c:v>
                </c:pt>
                <c:pt idx="609" formatCode="General">
                  <c:v>96.1</c:v>
                </c:pt>
                <c:pt idx="610" formatCode="General">
                  <c:v>96.2</c:v>
                </c:pt>
                <c:pt idx="611" formatCode="General">
                  <c:v>96.2</c:v>
                </c:pt>
                <c:pt idx="612" formatCode="General">
                  <c:v>96.4</c:v>
                </c:pt>
                <c:pt idx="613" formatCode="General">
                  <c:v>96.8</c:v>
                </c:pt>
                <c:pt idx="614" formatCode="General">
                  <c:v>97</c:v>
                </c:pt>
                <c:pt idx="615" formatCode="General">
                  <c:v>96.8</c:v>
                </c:pt>
                <c:pt idx="616" formatCode="General">
                  <c:v>96.9</c:v>
                </c:pt>
                <c:pt idx="617" formatCode="General">
                  <c:v>97</c:v>
                </c:pt>
                <c:pt idx="618" formatCode="General">
                  <c:v>96.8</c:v>
                </c:pt>
                <c:pt idx="619" formatCode="General">
                  <c:v>96.5</c:v>
                </c:pt>
                <c:pt idx="620" formatCode="General">
                  <c:v>96.6</c:v>
                </c:pt>
                <c:pt idx="621">
                  <c:v>96.076171584428465</c:v>
                </c:pt>
                <c:pt idx="622">
                  <c:v>96.444235701531298</c:v>
                </c:pt>
                <c:pt idx="623">
                  <c:v>96.208932214917255</c:v>
                </c:pt>
                <c:pt idx="624">
                  <c:v>96.150804319915423</c:v>
                </c:pt>
                <c:pt idx="625">
                  <c:v>95.930350914962332</c:v>
                </c:pt>
                <c:pt idx="626">
                  <c:v>95.848843287193901</c:v>
                </c:pt>
                <c:pt idx="627">
                  <c:v>96.076171584428479</c:v>
                </c:pt>
                <c:pt idx="628">
                  <c:v>96.002688785952827</c:v>
                </c:pt>
                <c:pt idx="629">
                  <c:v>95.901446280991749</c:v>
                </c:pt>
                <c:pt idx="630">
                  <c:v>96.188164186031457</c:v>
                </c:pt>
                <c:pt idx="631">
                  <c:v>96.411891470855508</c:v>
                </c:pt>
                <c:pt idx="632">
                  <c:v>96.536169936198121</c:v>
                </c:pt>
                <c:pt idx="633">
                  <c:v>97.004817624712928</c:v>
                </c:pt>
                <c:pt idx="634">
                  <c:v>96.67125439319652</c:v>
                </c:pt>
                <c:pt idx="635">
                  <c:v>96.800408407103689</c:v>
                </c:pt>
                <c:pt idx="636">
                  <c:v>96.776231430805339</c:v>
                </c:pt>
                <c:pt idx="637">
                  <c:v>96.581156121984534</c:v>
                </c:pt>
                <c:pt idx="638">
                  <c:v>96.604188527078023</c:v>
                </c:pt>
                <c:pt idx="639">
                  <c:v>96.03372413793106</c:v>
                </c:pt>
                <c:pt idx="640">
                  <c:v>95.89112741827887</c:v>
                </c:pt>
                <c:pt idx="641">
                  <c:v>95.770561495889538</c:v>
                </c:pt>
                <c:pt idx="642">
                  <c:v>95.911767364773254</c:v>
                </c:pt>
                <c:pt idx="643">
                  <c:v>95.788060792364433</c:v>
                </c:pt>
                <c:pt idx="644">
                  <c:v>96.332687651331739</c:v>
                </c:pt>
                <c:pt idx="645">
                  <c:v>96.221397337479374</c:v>
                </c:pt>
                <c:pt idx="646">
                  <c:v>95.678024585323982</c:v>
                </c:pt>
                <c:pt idx="647">
                  <c:v>95.679051790775588</c:v>
                </c:pt>
                <c:pt idx="648">
                  <c:v>95.225131427106064</c:v>
                </c:pt>
                <c:pt idx="649">
                  <c:v>95.306600504769676</c:v>
                </c:pt>
                <c:pt idx="650">
                  <c:v>95.857090920824788</c:v>
                </c:pt>
                <c:pt idx="651">
                  <c:v>95.929318306584449</c:v>
                </c:pt>
                <c:pt idx="652">
                  <c:v>96.000620475698057</c:v>
                </c:pt>
                <c:pt idx="653">
                  <c:v>95.746896151614791</c:v>
                </c:pt>
                <c:pt idx="654">
                  <c:v>96.143543271409158</c:v>
                </c:pt>
                <c:pt idx="655">
                  <c:v>96.187126019945609</c:v>
                </c:pt>
                <c:pt idx="656">
                  <c:v>96.204777891725598</c:v>
                </c:pt>
                <c:pt idx="657">
                  <c:v>96.39833421670329</c:v>
                </c:pt>
                <c:pt idx="658">
                  <c:v>96.629327319252312</c:v>
                </c:pt>
                <c:pt idx="659">
                  <c:v>96.834066041528601</c:v>
                </c:pt>
                <c:pt idx="660">
                  <c:v>96.834066041528601</c:v>
                </c:pt>
                <c:pt idx="661">
                  <c:v>96.330605097606878</c:v>
                </c:pt>
                <c:pt idx="662">
                  <c:v>96.18920237452781</c:v>
                </c:pt>
                <c:pt idx="663">
                  <c:v>96.366020761245707</c:v>
                </c:pt>
                <c:pt idx="664">
                  <c:v>96.251534722972266</c:v>
                </c:pt>
                <c:pt idx="665">
                  <c:v>96.187126019945637</c:v>
                </c:pt>
                <c:pt idx="666">
                  <c:v>96.226592091908387</c:v>
                </c:pt>
              </c:numCache>
            </c:numRef>
          </c:val>
          <c:smooth val="0"/>
          <c:extLst>
            <c:ext xmlns:c16="http://schemas.microsoft.com/office/drawing/2014/chart" uri="{C3380CC4-5D6E-409C-BE32-E72D297353CC}">
              <c16:uniqueId val="{00000003-278A-4EF5-B312-96BEA00F0B78}"/>
            </c:ext>
          </c:extLst>
        </c:ser>
        <c:dLbls>
          <c:showLegendKey val="0"/>
          <c:showVal val="0"/>
          <c:showCatName val="0"/>
          <c:showSerName val="0"/>
          <c:showPercent val="0"/>
          <c:showBubbleSize val="0"/>
        </c:dLbls>
        <c:smooth val="0"/>
        <c:axId val="290548736"/>
        <c:axId val="295166720"/>
      </c:lineChart>
      <c:dateAx>
        <c:axId val="29054873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95166720"/>
        <c:crosses val="autoZero"/>
        <c:auto val="1"/>
        <c:lblOffset val="100"/>
        <c:baseTimeUnit val="days"/>
      </c:dateAx>
      <c:valAx>
        <c:axId val="295166720"/>
        <c:scaling>
          <c:orientation val="minMax"/>
          <c:max val="128"/>
          <c:min val="8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baseline="0">
                    <a:effectLst/>
                  </a:rPr>
                  <a:t>Ինդեքս՝ 2019 թ. հունվարի 8</a:t>
                </a:r>
                <a:endParaRPr lang="en-US" sz="700" b="0" i="0" u="none" strike="noStrike" baseline="0">
                  <a:effectLst/>
                </a:endParaRPr>
              </a:p>
              <a:p>
                <a:pPr>
                  <a:defRPr sz="700" b="0" i="0" u="none" strike="noStrike" kern="1200" baseline="0">
                    <a:solidFill>
                      <a:schemeClr val="tx1">
                        <a:lumMod val="65000"/>
                        <a:lumOff val="35000"/>
                      </a:schemeClr>
                    </a:solidFill>
                    <a:latin typeface="+mn-lt"/>
                    <a:ea typeface="+mn-ea"/>
                    <a:cs typeface="+mn-cs"/>
                  </a:defRPr>
                </a:pPr>
                <a:r>
                  <a:rPr lang="hy-AM" sz="700" b="0" i="0" u="none" strike="noStrike" baseline="0">
                    <a:effectLst/>
                  </a:rPr>
                  <a:t>=100</a:t>
                </a:r>
                <a:endParaRPr lang="en-US" sz="700"/>
              </a:p>
            </c:rich>
          </c:tx>
          <c:layout>
            <c:manualLayout>
              <c:xMode val="edge"/>
              <c:yMode val="edge"/>
              <c:x val="7.751937984496143E-3"/>
              <c:y val="8.4670206921809224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548736"/>
        <c:crosses val="autoZero"/>
        <c:crossBetween val="between"/>
        <c:majorUnit val="20"/>
      </c:valAx>
      <c:spPr>
        <a:noFill/>
        <a:ln>
          <a:noFill/>
        </a:ln>
        <a:effectLst/>
      </c:spPr>
    </c:plotArea>
    <c:legend>
      <c:legendPos val="b"/>
      <c:layout>
        <c:manualLayout>
          <c:xMode val="edge"/>
          <c:yMode val="edge"/>
          <c:x val="0"/>
          <c:y val="0.81035853771867028"/>
          <c:w val="0.99798755588566268"/>
          <c:h val="0.1896414622813296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none" spc="0" normalizeH="0" baseline="0">
                <a:solidFill>
                  <a:schemeClr val="tx1"/>
                </a:solidFill>
                <a:latin typeface="GHEA Grapalat" panose="02000506050000020003" pitchFamily="50" charset="0"/>
                <a:ea typeface="+mj-ea"/>
                <a:cs typeface="+mj-cs"/>
              </a:defRPr>
            </a:pPr>
            <a:r>
              <a:rPr lang="hy-AM" sz="900" i="1"/>
              <a:t>Կարճաժամկետ տոկոսադրույքներ, </a:t>
            </a:r>
            <a:r>
              <a:rPr lang="en-US" sz="900" i="1"/>
              <a:t>%</a:t>
            </a:r>
          </a:p>
        </c:rich>
      </c:tx>
      <c:layout/>
      <c:overlay val="0"/>
      <c:spPr>
        <a:noFill/>
        <a:ln>
          <a:noFill/>
        </a:ln>
        <a:effectLst/>
      </c:spPr>
    </c:title>
    <c:autoTitleDeleted val="0"/>
    <c:plotArea>
      <c:layout>
        <c:manualLayout>
          <c:layoutTarget val="inner"/>
          <c:xMode val="edge"/>
          <c:yMode val="edge"/>
          <c:x val="0.11873660719946239"/>
          <c:y val="0.19546619172603483"/>
          <c:w val="0.83697997895190634"/>
          <c:h val="0.34204632060829027"/>
        </c:manualLayout>
      </c:layout>
      <c:lineChart>
        <c:grouping val="standard"/>
        <c:varyColors val="0"/>
        <c:ser>
          <c:idx val="0"/>
          <c:order val="0"/>
          <c:tx>
            <c:strRef>
              <c:f>Sheet1!$B$1</c:f>
              <c:strCache>
                <c:ptCount val="1"/>
                <c:pt idx="0">
                  <c:v>ԿԲ վերաֆինանսավորման տոկոսադրույք</c:v>
                </c:pt>
              </c:strCache>
            </c:strRef>
          </c:tx>
          <c:spPr>
            <a:ln w="22225" cap="rnd">
              <a:solidFill>
                <a:schemeClr val="accent1"/>
              </a:solidFill>
              <a:round/>
            </a:ln>
            <a:effectLst/>
          </c:spPr>
          <c:marker>
            <c:symbol val="none"/>
          </c:marker>
          <c:cat>
            <c:strRef>
              <c:f>Sheet1!$A$2:$A$58</c:f>
              <c:strCache>
                <c:ptCount val="57"/>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pt idx="56">
                  <c:v>2021/9</c:v>
                </c:pt>
              </c:strCache>
            </c:strRef>
          </c:cat>
          <c:val>
            <c:numRef>
              <c:f>Sheet1!$B$2:$B$58</c:f>
              <c:numCache>
                <c:formatCode>0.0</c:formatCode>
                <c:ptCount val="57"/>
                <c:pt idx="0">
                  <c:v>6.25</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5.75</c:v>
                </c:pt>
                <c:pt idx="25">
                  <c:v>5.75</c:v>
                </c:pt>
                <c:pt idx="26">
                  <c:v>5.75</c:v>
                </c:pt>
                <c:pt idx="27">
                  <c:v>5.75</c:v>
                </c:pt>
                <c:pt idx="28">
                  <c:v>5.75</c:v>
                </c:pt>
                <c:pt idx="29">
                  <c:v>5.75</c:v>
                </c:pt>
                <c:pt idx="30">
                  <c:v>5.75</c:v>
                </c:pt>
                <c:pt idx="31">
                  <c:v>5.75</c:v>
                </c:pt>
                <c:pt idx="32">
                  <c:v>5.5</c:v>
                </c:pt>
                <c:pt idx="33">
                  <c:v>5.5</c:v>
                </c:pt>
                <c:pt idx="34">
                  <c:v>5.5</c:v>
                </c:pt>
                <c:pt idx="35">
                  <c:v>5.5</c:v>
                </c:pt>
                <c:pt idx="36">
                  <c:v>5.5</c:v>
                </c:pt>
                <c:pt idx="37">
                  <c:v>5.5</c:v>
                </c:pt>
                <c:pt idx="38">
                  <c:v>5.25</c:v>
                </c:pt>
                <c:pt idx="39">
                  <c:v>5</c:v>
                </c:pt>
                <c:pt idx="40">
                  <c:v>5</c:v>
                </c:pt>
                <c:pt idx="41">
                  <c:v>4.5</c:v>
                </c:pt>
                <c:pt idx="42">
                  <c:v>4.5</c:v>
                </c:pt>
                <c:pt idx="43">
                  <c:v>4.5</c:v>
                </c:pt>
                <c:pt idx="44">
                  <c:v>4.25</c:v>
                </c:pt>
                <c:pt idx="45">
                  <c:v>4.25</c:v>
                </c:pt>
                <c:pt idx="46">
                  <c:v>4.25</c:v>
                </c:pt>
                <c:pt idx="47">
                  <c:v>5.25</c:v>
                </c:pt>
                <c:pt idx="48">
                  <c:v>5.25</c:v>
                </c:pt>
                <c:pt idx="49">
                  <c:v>5.5</c:v>
                </c:pt>
                <c:pt idx="50">
                  <c:v>5.5</c:v>
                </c:pt>
                <c:pt idx="51">
                  <c:v>5.5</c:v>
                </c:pt>
                <c:pt idx="52">
                  <c:v>6</c:v>
                </c:pt>
                <c:pt idx="53">
                  <c:v>6.5</c:v>
                </c:pt>
                <c:pt idx="54">
                  <c:v>6.5</c:v>
                </c:pt>
                <c:pt idx="55">
                  <c:v>7</c:v>
                </c:pt>
                <c:pt idx="56">
                  <c:v>7.25</c:v>
                </c:pt>
              </c:numCache>
            </c:numRef>
          </c:val>
          <c:smooth val="0"/>
          <c:extLst>
            <c:ext xmlns:c16="http://schemas.microsoft.com/office/drawing/2014/chart" uri="{C3380CC4-5D6E-409C-BE32-E72D297353CC}">
              <c16:uniqueId val="{00000000-3591-45CE-810A-394B5D4DFF6F}"/>
            </c:ext>
          </c:extLst>
        </c:ser>
        <c:ser>
          <c:idx val="1"/>
          <c:order val="1"/>
          <c:tx>
            <c:strRef>
              <c:f>Sheet1!$C$1</c:f>
              <c:strCache>
                <c:ptCount val="1"/>
                <c:pt idx="0">
                  <c:v>Միջբանկային ռեպո տոկոսադրույք </c:v>
                </c:pt>
              </c:strCache>
            </c:strRef>
          </c:tx>
          <c:spPr>
            <a:ln w="22225" cap="rnd">
              <a:solidFill>
                <a:schemeClr val="accent2"/>
              </a:solidFill>
              <a:round/>
            </a:ln>
            <a:effectLst/>
          </c:spPr>
          <c:marker>
            <c:symbol val="none"/>
          </c:marker>
          <c:cat>
            <c:strRef>
              <c:f>Sheet1!$A$2:$A$58</c:f>
              <c:strCache>
                <c:ptCount val="57"/>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pt idx="56">
                  <c:v>2021/9</c:v>
                </c:pt>
              </c:strCache>
            </c:strRef>
          </c:cat>
          <c:val>
            <c:numRef>
              <c:f>Sheet1!$C$2:$C$58</c:f>
              <c:numCache>
                <c:formatCode>0.0</c:formatCode>
                <c:ptCount val="57"/>
                <c:pt idx="0">
                  <c:v>6.02</c:v>
                </c:pt>
                <c:pt idx="1">
                  <c:v>6.12</c:v>
                </c:pt>
                <c:pt idx="2">
                  <c:v>6.03</c:v>
                </c:pt>
                <c:pt idx="3">
                  <c:v>6.04</c:v>
                </c:pt>
                <c:pt idx="4">
                  <c:v>5.89</c:v>
                </c:pt>
                <c:pt idx="5">
                  <c:v>5.64</c:v>
                </c:pt>
                <c:pt idx="6">
                  <c:v>5.6</c:v>
                </c:pt>
                <c:pt idx="7">
                  <c:v>5.24</c:v>
                </c:pt>
                <c:pt idx="8">
                  <c:v>5.19</c:v>
                </c:pt>
                <c:pt idx="9">
                  <c:v>5.7</c:v>
                </c:pt>
                <c:pt idx="10">
                  <c:v>5.86</c:v>
                </c:pt>
                <c:pt idx="11">
                  <c:v>6.12</c:v>
                </c:pt>
                <c:pt idx="12">
                  <c:v>6.03</c:v>
                </c:pt>
                <c:pt idx="13">
                  <c:v>5.85</c:v>
                </c:pt>
                <c:pt idx="14">
                  <c:v>5.99</c:v>
                </c:pt>
                <c:pt idx="15">
                  <c:v>5.93</c:v>
                </c:pt>
                <c:pt idx="16">
                  <c:v>6.23</c:v>
                </c:pt>
                <c:pt idx="17">
                  <c:v>6.45</c:v>
                </c:pt>
                <c:pt idx="18">
                  <c:v>6.22</c:v>
                </c:pt>
                <c:pt idx="19">
                  <c:v>6.17</c:v>
                </c:pt>
                <c:pt idx="20">
                  <c:v>6.14</c:v>
                </c:pt>
                <c:pt idx="21">
                  <c:v>6.1</c:v>
                </c:pt>
                <c:pt idx="22">
                  <c:v>6.16</c:v>
                </c:pt>
                <c:pt idx="23">
                  <c:v>6.22</c:v>
                </c:pt>
                <c:pt idx="24">
                  <c:v>6.15</c:v>
                </c:pt>
                <c:pt idx="25">
                  <c:v>5.8</c:v>
                </c:pt>
                <c:pt idx="26">
                  <c:v>5.84</c:v>
                </c:pt>
                <c:pt idx="27">
                  <c:v>5.95</c:v>
                </c:pt>
                <c:pt idx="28">
                  <c:v>5.83</c:v>
                </c:pt>
                <c:pt idx="29">
                  <c:v>5.84</c:v>
                </c:pt>
                <c:pt idx="30">
                  <c:v>5.81</c:v>
                </c:pt>
                <c:pt idx="31">
                  <c:v>5.83</c:v>
                </c:pt>
                <c:pt idx="32">
                  <c:v>5.68</c:v>
                </c:pt>
                <c:pt idx="33">
                  <c:v>5.59</c:v>
                </c:pt>
                <c:pt idx="34">
                  <c:v>5.5</c:v>
                </c:pt>
                <c:pt idx="35">
                  <c:v>5.56</c:v>
                </c:pt>
                <c:pt idx="36">
                  <c:v>5.55</c:v>
                </c:pt>
                <c:pt idx="37">
                  <c:v>5.54</c:v>
                </c:pt>
                <c:pt idx="38">
                  <c:v>5.33</c:v>
                </c:pt>
                <c:pt idx="39">
                  <c:v>5.27</c:v>
                </c:pt>
                <c:pt idx="40">
                  <c:v>5.1100000000000003</c:v>
                </c:pt>
                <c:pt idx="41">
                  <c:v>4.87</c:v>
                </c:pt>
                <c:pt idx="42">
                  <c:v>3.3</c:v>
                </c:pt>
                <c:pt idx="43">
                  <c:v>4.58</c:v>
                </c:pt>
                <c:pt idx="44">
                  <c:v>4.3899999999999997</c:v>
                </c:pt>
                <c:pt idx="45">
                  <c:v>4.28</c:v>
                </c:pt>
                <c:pt idx="46">
                  <c:v>4.3099999999999996</c:v>
                </c:pt>
                <c:pt idx="47">
                  <c:v>5.03</c:v>
                </c:pt>
                <c:pt idx="48">
                  <c:v>5.49</c:v>
                </c:pt>
                <c:pt idx="49">
                  <c:v>5.56</c:v>
                </c:pt>
                <c:pt idx="50">
                  <c:v>5.54</c:v>
                </c:pt>
                <c:pt idx="51">
                  <c:v>5.54</c:v>
                </c:pt>
                <c:pt idx="52">
                  <c:v>6.71</c:v>
                </c:pt>
                <c:pt idx="53">
                  <c:v>6.5</c:v>
                </c:pt>
                <c:pt idx="54">
                  <c:v>6.93</c:v>
                </c:pt>
                <c:pt idx="55">
                  <c:v>7.3</c:v>
                </c:pt>
              </c:numCache>
            </c:numRef>
          </c:val>
          <c:smooth val="0"/>
          <c:extLst>
            <c:ext xmlns:c16="http://schemas.microsoft.com/office/drawing/2014/chart" uri="{C3380CC4-5D6E-409C-BE32-E72D297353CC}">
              <c16:uniqueId val="{00000001-3591-45CE-810A-394B5D4DFF6F}"/>
            </c:ext>
          </c:extLst>
        </c:ser>
        <c:ser>
          <c:idx val="2"/>
          <c:order val="2"/>
          <c:tx>
            <c:strRef>
              <c:f>Sheet1!$D$1</c:f>
              <c:strCache>
                <c:ptCount val="1"/>
                <c:pt idx="0">
                  <c:v>1 տարի ժ․կ․ ՊՊ եկամտ․</c:v>
                </c:pt>
              </c:strCache>
            </c:strRef>
          </c:tx>
          <c:spPr>
            <a:ln w="22225" cap="rnd">
              <a:solidFill>
                <a:schemeClr val="accent3"/>
              </a:solidFill>
              <a:round/>
            </a:ln>
            <a:effectLst/>
          </c:spPr>
          <c:marker>
            <c:symbol val="none"/>
          </c:marker>
          <c:cat>
            <c:strRef>
              <c:f>Sheet1!$A$2:$A$58</c:f>
              <c:strCache>
                <c:ptCount val="57"/>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pt idx="56">
                  <c:v>2021/9</c:v>
                </c:pt>
              </c:strCache>
            </c:strRef>
          </c:cat>
          <c:val>
            <c:numRef>
              <c:f>Sheet1!$D$2:$D$58</c:f>
              <c:numCache>
                <c:formatCode>#,##0.0</c:formatCode>
                <c:ptCount val="57"/>
                <c:pt idx="0">
                  <c:v>7.7614999999999998</c:v>
                </c:pt>
                <c:pt idx="1">
                  <c:v>7.6989999999999998</c:v>
                </c:pt>
                <c:pt idx="2">
                  <c:v>7.2957999999999998</c:v>
                </c:pt>
                <c:pt idx="3">
                  <c:v>7.0052000000000003</c:v>
                </c:pt>
                <c:pt idx="4">
                  <c:v>6.7395000000000005</c:v>
                </c:pt>
                <c:pt idx="5">
                  <c:v>6.7240000000000002</c:v>
                </c:pt>
                <c:pt idx="6">
                  <c:v>6.4492000000000003</c:v>
                </c:pt>
                <c:pt idx="7">
                  <c:v>6.4047000000000001</c:v>
                </c:pt>
                <c:pt idx="8">
                  <c:v>6.2876000000000003</c:v>
                </c:pt>
                <c:pt idx="9">
                  <c:v>6.1492000000000004</c:v>
                </c:pt>
                <c:pt idx="10">
                  <c:v>6.0979999999999999</c:v>
                </c:pt>
                <c:pt idx="11">
                  <c:v>6.0979999999999999</c:v>
                </c:pt>
                <c:pt idx="12">
                  <c:v>6.1689999999999996</c:v>
                </c:pt>
                <c:pt idx="13">
                  <c:v>6.1475999999999997</c:v>
                </c:pt>
                <c:pt idx="14">
                  <c:v>6.1622000000000003</c:v>
                </c:pt>
                <c:pt idx="15">
                  <c:v>6.1551999999999998</c:v>
                </c:pt>
                <c:pt idx="16">
                  <c:v>6.2244999999999999</c:v>
                </c:pt>
                <c:pt idx="17">
                  <c:v>6.2295999999999996</c:v>
                </c:pt>
                <c:pt idx="18">
                  <c:v>6.2680999999999996</c:v>
                </c:pt>
                <c:pt idx="19">
                  <c:v>6.2766000000000002</c:v>
                </c:pt>
                <c:pt idx="20">
                  <c:v>6.2794999999999996</c:v>
                </c:pt>
                <c:pt idx="21">
                  <c:v>6.2557</c:v>
                </c:pt>
                <c:pt idx="22">
                  <c:v>6.2257999999999996</c:v>
                </c:pt>
                <c:pt idx="23">
                  <c:v>6.2268999999999997</c:v>
                </c:pt>
                <c:pt idx="24">
                  <c:v>6.2257999999999996</c:v>
                </c:pt>
                <c:pt idx="25">
                  <c:v>6.2496999999999998</c:v>
                </c:pt>
                <c:pt idx="26">
                  <c:v>6.1811999999999996</c:v>
                </c:pt>
                <c:pt idx="27">
                  <c:v>6.1741999999999999</c:v>
                </c:pt>
                <c:pt idx="28">
                  <c:v>6.0544000000000002</c:v>
                </c:pt>
                <c:pt idx="29">
                  <c:v>6.0544000000000002</c:v>
                </c:pt>
                <c:pt idx="30">
                  <c:v>6.1539999999999999</c:v>
                </c:pt>
                <c:pt idx="31">
                  <c:v>5.9701000000000004</c:v>
                </c:pt>
                <c:pt idx="32">
                  <c:v>5.9745999999999997</c:v>
                </c:pt>
                <c:pt idx="33">
                  <c:v>5.8437999999999999</c:v>
                </c:pt>
                <c:pt idx="34">
                  <c:v>5.7622</c:v>
                </c:pt>
                <c:pt idx="35">
                  <c:v>5.7070999999999996</c:v>
                </c:pt>
                <c:pt idx="36" formatCode="0.0">
                  <c:v>5.6117749999999997</c:v>
                </c:pt>
                <c:pt idx="37" formatCode="0.0">
                  <c:v>5.5589009999999996</c:v>
                </c:pt>
                <c:pt idx="38" formatCode="0.0">
                  <c:v>5.5941828200000003</c:v>
                </c:pt>
                <c:pt idx="39" formatCode="0.0">
                  <c:v>5.7322329999999999</c:v>
                </c:pt>
                <c:pt idx="40" formatCode="0.0">
                  <c:v>5.7526204545454549</c:v>
                </c:pt>
                <c:pt idx="41" formatCode="0.0">
                  <c:v>5.7470333333333334</c:v>
                </c:pt>
                <c:pt idx="42" formatCode="0.0">
                  <c:v>5.6</c:v>
                </c:pt>
                <c:pt idx="43" formatCode="0.0">
                  <c:v>5.6621024092801902</c:v>
                </c:pt>
                <c:pt idx="44" formatCode="0.0">
                  <c:v>5.6617125000000001</c:v>
                </c:pt>
                <c:pt idx="45" formatCode="0.0">
                  <c:v>5.7126151515151511</c:v>
                </c:pt>
                <c:pt idx="46" formatCode="0.0">
                  <c:v>5.9</c:v>
                </c:pt>
                <c:pt idx="47" formatCode="0.0">
                  <c:v>6.1296879687499999</c:v>
                </c:pt>
                <c:pt idx="48" formatCode="0.0">
                  <c:v>6.8925232558139538</c:v>
                </c:pt>
                <c:pt idx="49" formatCode="0.0">
                  <c:v>6.8010142857142855</c:v>
                </c:pt>
                <c:pt idx="50" formatCode="0.0">
                  <c:v>6.8712428571428568</c:v>
                </c:pt>
                <c:pt idx="51" formatCode="0.0">
                  <c:v>6.8708857142857145</c:v>
                </c:pt>
                <c:pt idx="52" formatCode="0.0">
                  <c:v>7.0861142857142854</c:v>
                </c:pt>
                <c:pt idx="53">
                  <c:v>7.4</c:v>
                </c:pt>
                <c:pt idx="54" formatCode="0.0">
                  <c:v>7.9</c:v>
                </c:pt>
              </c:numCache>
            </c:numRef>
          </c:val>
          <c:smooth val="0"/>
          <c:extLst>
            <c:ext xmlns:c16="http://schemas.microsoft.com/office/drawing/2014/chart" uri="{C3380CC4-5D6E-409C-BE32-E72D297353CC}">
              <c16:uniqueId val="{00000002-3591-45CE-810A-394B5D4DFF6F}"/>
            </c:ext>
          </c:extLst>
        </c:ser>
        <c:dLbls>
          <c:showLegendKey val="0"/>
          <c:showVal val="0"/>
          <c:showCatName val="0"/>
          <c:showSerName val="0"/>
          <c:showPercent val="0"/>
          <c:showBubbleSize val="0"/>
        </c:dLbls>
        <c:smooth val="0"/>
        <c:axId val="331182080"/>
        <c:axId val="331183616"/>
      </c:lineChart>
      <c:catAx>
        <c:axId val="33118208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331183616"/>
        <c:crosses val="autoZero"/>
        <c:auto val="1"/>
        <c:lblAlgn val="ctr"/>
        <c:lblOffset val="100"/>
        <c:noMultiLvlLbl val="0"/>
      </c:catAx>
      <c:valAx>
        <c:axId val="331183616"/>
        <c:scaling>
          <c:orientation val="minMax"/>
          <c:min val="3"/>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33118208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5422546819328741E-2"/>
          <c:y val="0.77057094314875862"/>
          <c:w val="0.95318035426731051"/>
          <c:h val="0.2058509331557099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hy-AM"/>
              <a:t>ԿԲ գործառնություններ, մլն դրամ</a:t>
            </a:r>
            <a:endParaRPr lang="en-US"/>
          </a:p>
        </c:rich>
      </c:tx>
      <c:layout/>
      <c:overlay val="0"/>
      <c:spPr>
        <a:noFill/>
        <a:ln>
          <a:noFill/>
        </a:ln>
        <a:effectLst/>
      </c:spPr>
    </c:title>
    <c:autoTitleDeleted val="0"/>
    <c:plotArea>
      <c:layout>
        <c:manualLayout>
          <c:layoutTarget val="inner"/>
          <c:xMode val="edge"/>
          <c:yMode val="edge"/>
          <c:x val="0.19427659505524772"/>
          <c:y val="0.14718253968253969"/>
          <c:w val="0.76045591523281864"/>
          <c:h val="0.49661948506436815"/>
        </c:manualLayout>
      </c:layout>
      <c:areaChart>
        <c:grouping val="standard"/>
        <c:varyColors val="0"/>
        <c:ser>
          <c:idx val="0"/>
          <c:order val="0"/>
          <c:tx>
            <c:strRef>
              <c:f>Sheet1!$B$1</c:f>
              <c:strCache>
                <c:ptCount val="1"/>
                <c:pt idx="0">
                  <c:v>Ռեպո համաձայնագրեր</c:v>
                </c:pt>
              </c:strCache>
            </c:strRef>
          </c:tx>
          <c:spPr>
            <a:solidFill>
              <a:schemeClr val="accent1"/>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Sheet1!$B$2:$B$59</c:f>
              <c:numCache>
                <c:formatCode>#,##0</c:formatCode>
                <c:ptCount val="56"/>
                <c:pt idx="0">
                  <c:v>10010.340092</c:v>
                </c:pt>
                <c:pt idx="1">
                  <c:v>10010.026423000001</c:v>
                </c:pt>
                <c:pt idx="2">
                  <c:v>30010.117534000001</c:v>
                </c:pt>
                <c:pt idx="3">
                  <c:v>4963.1806969999998</c:v>
                </c:pt>
                <c:pt idx="4">
                  <c:v>0</c:v>
                </c:pt>
                <c:pt idx="5">
                  <c:v>28708.224384000001</c:v>
                </c:pt>
                <c:pt idx="6">
                  <c:v>0</c:v>
                </c:pt>
                <c:pt idx="7">
                  <c:v>0</c:v>
                </c:pt>
                <c:pt idx="8">
                  <c:v>8003.984657</c:v>
                </c:pt>
                <c:pt idx="9">
                  <c:v>10009.918903999998</c:v>
                </c:pt>
                <c:pt idx="10">
                  <c:v>15002.515936</c:v>
                </c:pt>
                <c:pt idx="11">
                  <c:v>36918.863013999995</c:v>
                </c:pt>
                <c:pt idx="12">
                  <c:v>3100</c:v>
                </c:pt>
                <c:pt idx="13">
                  <c:v>0</c:v>
                </c:pt>
                <c:pt idx="14">
                  <c:v>23007.619178000001</c:v>
                </c:pt>
                <c:pt idx="15">
                  <c:v>31752.306124999999</c:v>
                </c:pt>
                <c:pt idx="16">
                  <c:v>9601.6037530000012</c:v>
                </c:pt>
                <c:pt idx="17">
                  <c:v>55427.193009000002</c:v>
                </c:pt>
                <c:pt idx="18">
                  <c:v>67770.798931999991</c:v>
                </c:pt>
                <c:pt idx="19">
                  <c:v>66187.783616999994</c:v>
                </c:pt>
                <c:pt idx="20">
                  <c:v>120590.769421</c:v>
                </c:pt>
                <c:pt idx="21">
                  <c:v>90000</c:v>
                </c:pt>
                <c:pt idx="22">
                  <c:v>120040.73906399999</c:v>
                </c:pt>
                <c:pt idx="23">
                  <c:v>163433.11258099999</c:v>
                </c:pt>
                <c:pt idx="24">
                  <c:v>180879.100263</c:v>
                </c:pt>
                <c:pt idx="25">
                  <c:v>180073.80962700001</c:v>
                </c:pt>
                <c:pt idx="26">
                  <c:v>220323.28971799999</c:v>
                </c:pt>
                <c:pt idx="27">
                  <c:v>260627.031609</c:v>
                </c:pt>
                <c:pt idx="28">
                  <c:v>190557.54955299999</c:v>
                </c:pt>
                <c:pt idx="29">
                  <c:v>190642.649512</c:v>
                </c:pt>
                <c:pt idx="30">
                  <c:v>170338.63131</c:v>
                </c:pt>
                <c:pt idx="31">
                  <c:v>150411.26994500001</c:v>
                </c:pt>
                <c:pt idx="32">
                  <c:v>150458.40972699999</c:v>
                </c:pt>
                <c:pt idx="33">
                  <c:v>108677.600792</c:v>
                </c:pt>
                <c:pt idx="34">
                  <c:v>65252.792568999997</c:v>
                </c:pt>
                <c:pt idx="35">
                  <c:v>126669.77420100001</c:v>
                </c:pt>
                <c:pt idx="36">
                  <c:v>130040.291826</c:v>
                </c:pt>
                <c:pt idx="37">
                  <c:v>70032.156334999992</c:v>
                </c:pt>
                <c:pt idx="38">
                  <c:v>150133.33468200002</c:v>
                </c:pt>
                <c:pt idx="39">
                  <c:v>195027.59827900003</c:v>
                </c:pt>
                <c:pt idx="40">
                  <c:v>196812.30303499999</c:v>
                </c:pt>
                <c:pt idx="41">
                  <c:v>211932.343544</c:v>
                </c:pt>
                <c:pt idx="42">
                  <c:v>188727.39449000001</c:v>
                </c:pt>
                <c:pt idx="43" formatCode="_(* #,##0_);_(* \(#,##0\);_(* &quot;-&quot;??_);_(@_)">
                  <c:v>180135.432875</c:v>
                </c:pt>
                <c:pt idx="44">
                  <c:v>227400</c:v>
                </c:pt>
                <c:pt idx="45">
                  <c:v>307708.74209200003</c:v>
                </c:pt>
                <c:pt idx="46">
                  <c:v>342952.311024</c:v>
                </c:pt>
                <c:pt idx="47">
                  <c:v>345952.76940399996</c:v>
                </c:pt>
                <c:pt idx="48">
                  <c:v>331195.47828699998</c:v>
                </c:pt>
                <c:pt idx="49">
                  <c:v>280172.25124100002</c:v>
                </c:pt>
                <c:pt idx="50">
                  <c:v>348800</c:v>
                </c:pt>
                <c:pt idx="51">
                  <c:v>325640.89985300007</c:v>
                </c:pt>
                <c:pt idx="52">
                  <c:v>511413.94006599998</c:v>
                </c:pt>
                <c:pt idx="53" formatCode="_(* #,##0_);_(* \(#,##0\);_(* &quot;-&quot;??_);_(@_)">
                  <c:v>467900</c:v>
                </c:pt>
                <c:pt idx="54">
                  <c:v>512281.65530299995</c:v>
                </c:pt>
                <c:pt idx="55" formatCode="_(* #,##0_);_(* \(#,##0\);_(* &quot;-&quot;??_);_(@_)">
                  <c:v>450506.50596700003</c:v>
                </c:pt>
              </c:numCache>
              <c:extLst/>
            </c:numRef>
          </c:val>
          <c:extLst>
            <c:ext xmlns:c16="http://schemas.microsoft.com/office/drawing/2014/chart" uri="{C3380CC4-5D6E-409C-BE32-E72D297353CC}">
              <c16:uniqueId val="{00000000-F900-4AE5-8E49-F8A49708BD1D}"/>
            </c:ext>
          </c:extLst>
        </c:ser>
        <c:ser>
          <c:idx val="1"/>
          <c:order val="1"/>
          <c:tx>
            <c:strRef>
              <c:f>Sheet1!$C$1</c:f>
              <c:strCache>
                <c:ptCount val="1"/>
                <c:pt idx="0">
                  <c:v>Արտարժույթի ներգրավման սվոփ</c:v>
                </c:pt>
              </c:strCache>
            </c:strRef>
          </c:tx>
          <c:spPr>
            <a:solidFill>
              <a:schemeClr val="accent2"/>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Sheet1!$C$2:$C$59</c:f>
              <c:numCache>
                <c:formatCode>#,##0</c:formatCode>
                <c:ptCount val="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10007.649315000001</c:v>
                </c:pt>
                <c:pt idx="15">
                  <c:v>25025.623835999999</c:v>
                </c:pt>
                <c:pt idx="16">
                  <c:v>9601.6037530000012</c:v>
                </c:pt>
                <c:pt idx="17">
                  <c:v>0</c:v>
                </c:pt>
                <c:pt idx="18">
                  <c:v>0</c:v>
                </c:pt>
                <c:pt idx="19">
                  <c:v>0</c:v>
                </c:pt>
                <c:pt idx="20">
                  <c:v>0</c:v>
                </c:pt>
                <c:pt idx="21">
                  <c:v>0</c:v>
                </c:pt>
                <c:pt idx="22">
                  <c:v>0</c:v>
                </c:pt>
                <c:pt idx="23">
                  <c:v>5351.1608176999998</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numCache>
              <c:extLst/>
            </c:numRef>
          </c:val>
          <c:extLst>
            <c:ext xmlns:c16="http://schemas.microsoft.com/office/drawing/2014/chart" uri="{C3380CC4-5D6E-409C-BE32-E72D297353CC}">
              <c16:uniqueId val="{00000001-F900-4AE5-8E49-F8A49708BD1D}"/>
            </c:ext>
          </c:extLst>
        </c:ser>
        <c:ser>
          <c:idx val="2"/>
          <c:order val="2"/>
          <c:tx>
            <c:strRef>
              <c:f>Sheet1!$D$1</c:f>
              <c:strCache>
                <c:ptCount val="1"/>
                <c:pt idx="0">
                  <c:v>Ավանդներ </c:v>
                </c:pt>
              </c:strCache>
            </c:strRef>
          </c:tx>
          <c:spPr>
            <a:solidFill>
              <a:schemeClr val="accent3"/>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Sheet1!$D$2:$D$59</c:f>
              <c:numCache>
                <c:formatCode>#,##0</c:formatCode>
                <c:ptCount val="56"/>
                <c:pt idx="0">
                  <c:v>0</c:v>
                </c:pt>
                <c:pt idx="1">
                  <c:v>0</c:v>
                </c:pt>
                <c:pt idx="2">
                  <c:v>-5300.6534247</c:v>
                </c:pt>
                <c:pt idx="3">
                  <c:v>-1500.5547945000001</c:v>
                </c:pt>
                <c:pt idx="4">
                  <c:v>-14001.7260274</c:v>
                </c:pt>
                <c:pt idx="5">
                  <c:v>-1200.1479451999999</c:v>
                </c:pt>
                <c:pt idx="6">
                  <c:v>-38004.6849315</c:v>
                </c:pt>
                <c:pt idx="7">
                  <c:v>-36504.500000100001</c:v>
                </c:pt>
                <c:pt idx="8">
                  <c:v>-3000.7397259999998</c:v>
                </c:pt>
                <c:pt idx="9">
                  <c:v>0</c:v>
                </c:pt>
                <c:pt idx="10">
                  <c:v>0</c:v>
                </c:pt>
                <c:pt idx="11">
                  <c:v>-66024.410958799999</c:v>
                </c:pt>
                <c:pt idx="12">
                  <c:v>0</c:v>
                </c:pt>
                <c:pt idx="13">
                  <c:v>-4000.4931507000001</c:v>
                </c:pt>
                <c:pt idx="14">
                  <c:v>0</c:v>
                </c:pt>
                <c:pt idx="15">
                  <c:v>0</c:v>
                </c:pt>
                <c:pt idx="16">
                  <c:v>0</c:v>
                </c:pt>
                <c:pt idx="17">
                  <c:v>0</c:v>
                </c:pt>
                <c:pt idx="18">
                  <c:v>0</c:v>
                </c:pt>
                <c:pt idx="19">
                  <c:v>0</c:v>
                </c:pt>
                <c:pt idx="20">
                  <c:v>0</c:v>
                </c:pt>
                <c:pt idx="21">
                  <c:v>0</c:v>
                </c:pt>
                <c:pt idx="22">
                  <c:v>0</c:v>
                </c:pt>
                <c:pt idx="23">
                  <c:v>-12306.0657534</c:v>
                </c:pt>
                <c:pt idx="24">
                  <c:v>0</c:v>
                </c:pt>
                <c:pt idx="25">
                  <c:v>0</c:v>
                </c:pt>
                <c:pt idx="26">
                  <c:v>0</c:v>
                </c:pt>
                <c:pt idx="27">
                  <c:v>0</c:v>
                </c:pt>
                <c:pt idx="28">
                  <c:v>-6000.6986300999997</c:v>
                </c:pt>
                <c:pt idx="29">
                  <c:v>-5001.7465752999997</c:v>
                </c:pt>
                <c:pt idx="30">
                  <c:v>-4400.5123288000004</c:v>
                </c:pt>
                <c:pt idx="31">
                  <c:v>0</c:v>
                </c:pt>
                <c:pt idx="32">
                  <c:v>-4000.4383561999998</c:v>
                </c:pt>
                <c:pt idx="33">
                  <c:v>-4000.4383561999998</c:v>
                </c:pt>
                <c:pt idx="34">
                  <c:v>-5501.2054795000004</c:v>
                </c:pt>
                <c:pt idx="35">
                  <c:v>-38508.4383561</c:v>
                </c:pt>
                <c:pt idx="36">
                  <c:v>0</c:v>
                </c:pt>
                <c:pt idx="37">
                  <c:v>-2200.4808742999999</c:v>
                </c:pt>
                <c:pt idx="38">
                  <c:v>0</c:v>
                </c:pt>
                <c:pt idx="39">
                  <c:v>0</c:v>
                </c:pt>
                <c:pt idx="40">
                  <c:v>0</c:v>
                </c:pt>
                <c:pt idx="41">
                  <c:v>-3000.2459015999998</c:v>
                </c:pt>
                <c:pt idx="42">
                  <c:v>-1000.0819672</c:v>
                </c:pt>
                <c:pt idx="43">
                  <c:v>0</c:v>
                </c:pt>
                <c:pt idx="44">
                  <c:v>0</c:v>
                </c:pt>
                <c:pt idx="45">
                  <c:v>0</c:v>
                </c:pt>
                <c:pt idx="46">
                  <c:v>0</c:v>
                </c:pt>
                <c:pt idx="47">
                  <c:v>-23404.795081999997</c:v>
                </c:pt>
                <c:pt idx="48">
                  <c:v>0</c:v>
                </c:pt>
                <c:pt idx="49">
                  <c:v>0</c:v>
                </c:pt>
                <c:pt idx="50">
                  <c:v>0</c:v>
                </c:pt>
                <c:pt idx="51">
                  <c:v>-6000.6575341999996</c:v>
                </c:pt>
                <c:pt idx="52">
                  <c:v>0</c:v>
                </c:pt>
                <c:pt idx="53">
                  <c:v>0</c:v>
                </c:pt>
                <c:pt idx="54">
                  <c:v>0</c:v>
                </c:pt>
                <c:pt idx="55">
                  <c:v>0</c:v>
                </c:pt>
              </c:numCache>
              <c:extLst/>
            </c:numRef>
          </c:val>
          <c:extLst>
            <c:ext xmlns:c16="http://schemas.microsoft.com/office/drawing/2014/chart" uri="{C3380CC4-5D6E-409C-BE32-E72D297353CC}">
              <c16:uniqueId val="{00000002-F900-4AE5-8E49-F8A49708BD1D}"/>
            </c:ext>
          </c:extLst>
        </c:ser>
        <c:ser>
          <c:idx val="3"/>
          <c:order val="3"/>
          <c:tx>
            <c:strRef>
              <c:f>Sheet1!$E$1</c:f>
              <c:strCache>
                <c:ptCount val="1"/>
                <c:pt idx="0">
                  <c:v>Հակադարձ ռեպո</c:v>
                </c:pt>
              </c:strCache>
            </c:strRef>
          </c:tx>
          <c:spPr>
            <a:solidFill>
              <a:schemeClr val="accent4"/>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Sheet1!$E$2:$E$59</c:f>
              <c:numCache>
                <c:formatCode>#,##0</c:formatCode>
                <c:ptCount val="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numCache>
              <c:extLst/>
            </c:numRef>
          </c:val>
          <c:extLst>
            <c:ext xmlns:c16="http://schemas.microsoft.com/office/drawing/2014/chart" uri="{C3380CC4-5D6E-409C-BE32-E72D297353CC}">
              <c16:uniqueId val="{00000003-F900-4AE5-8E49-F8A49708BD1D}"/>
            </c:ext>
          </c:extLst>
        </c:ser>
        <c:ser>
          <c:idx val="4"/>
          <c:order val="4"/>
          <c:tx>
            <c:strRef>
              <c:f>Sheet1!$F$1</c:f>
              <c:strCache>
                <c:ptCount val="1"/>
                <c:pt idx="0">
                  <c:v>Արտարժույթի տրամադրման սվոփ</c:v>
                </c:pt>
              </c:strCache>
            </c:strRef>
          </c:tx>
          <c:spPr>
            <a:solidFill>
              <a:schemeClr val="accent5"/>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Sheet1!$F$2:$F$59</c:f>
              <c:numCache>
                <c:formatCode>#,##0</c:formatCode>
                <c:ptCount val="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-17699.178399999997</c:v>
                </c:pt>
                <c:pt idx="17">
                  <c:v>-12087.536472600001</c:v>
                </c:pt>
                <c:pt idx="18">
                  <c:v>-8697.4428230000012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-25957.6985981</c:v>
                </c:pt>
                <c:pt idx="39">
                  <c:v>-15287.9520557</c:v>
                </c:pt>
                <c:pt idx="40">
                  <c:v>-3415.8190572000003</c:v>
                </c:pt>
                <c:pt idx="41">
                  <c:v>0</c:v>
                </c:pt>
                <c:pt idx="42">
                  <c:v>0</c:v>
                </c:pt>
                <c:pt idx="43">
                  <c:v>0</c:v>
                </c:pt>
                <c:pt idx="44">
                  <c:v>0</c:v>
                </c:pt>
                <c:pt idx="45">
                  <c:v>-59722.940125399997</c:v>
                </c:pt>
                <c:pt idx="46">
                  <c:v>-57154.534907699999</c:v>
                </c:pt>
                <c:pt idx="47">
                  <c:v>-13919.4597567</c:v>
                </c:pt>
                <c:pt idx="48">
                  <c:v>-11299.9003046</c:v>
                </c:pt>
                <c:pt idx="49">
                  <c:v>-8625.1443165000001</c:v>
                </c:pt>
                <c:pt idx="50">
                  <c:v>-8707.7795429999987</c:v>
                </c:pt>
                <c:pt idx="51">
                  <c:v>-6234</c:v>
                </c:pt>
                <c:pt idx="52">
                  <c:v>-3133.0291233000003</c:v>
                </c:pt>
                <c:pt idx="53">
                  <c:v>0</c:v>
                </c:pt>
                <c:pt idx="54">
                  <c:v>0</c:v>
                </c:pt>
                <c:pt idx="55">
                  <c:v>0</c:v>
                </c:pt>
              </c:numCache>
              <c:extLst/>
            </c:numRef>
          </c:val>
          <c:extLst>
            <c:ext xmlns:c16="http://schemas.microsoft.com/office/drawing/2014/chart" uri="{C3380CC4-5D6E-409C-BE32-E72D297353CC}">
              <c16:uniqueId val="{00000004-F900-4AE5-8E49-F8A49708BD1D}"/>
            </c:ext>
          </c:extLst>
        </c:ser>
        <c:dLbls>
          <c:showLegendKey val="0"/>
          <c:showVal val="0"/>
          <c:showCatName val="0"/>
          <c:showSerName val="0"/>
          <c:showPercent val="0"/>
          <c:showBubbleSize val="0"/>
        </c:dLbls>
        <c:axId val="427144704"/>
        <c:axId val="427146240"/>
      </c:areaChart>
      <c:lineChart>
        <c:grouping val="standard"/>
        <c:varyColors val="0"/>
        <c:ser>
          <c:idx val="5"/>
          <c:order val="5"/>
          <c:tx>
            <c:strRef>
              <c:f>Sheet1!$G$1</c:f>
              <c:strCache>
                <c:ptCount val="1"/>
                <c:pt idx="0">
                  <c:v>Զուտ իրացվելիության տրամադրում</c:v>
                </c:pt>
              </c:strCache>
            </c:strRef>
          </c:tx>
          <c:spPr>
            <a:ln w="28575" cap="rnd">
              <a:solidFill>
                <a:srgbClr val="C00000"/>
              </a:solidFill>
              <a:round/>
            </a:ln>
            <a:effectLst/>
          </c:spPr>
          <c:marker>
            <c:symbol val="none"/>
          </c:marker>
          <c:cat>
            <c:strRef>
              <c:f>Sheet1!$A$2:$A$59</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Sheet1!$G$2:$G$59</c:f>
              <c:numCache>
                <c:formatCode>#,##0</c:formatCode>
                <c:ptCount val="56"/>
                <c:pt idx="0">
                  <c:v>10010.340092</c:v>
                </c:pt>
                <c:pt idx="1">
                  <c:v>10010.026423000001</c:v>
                </c:pt>
                <c:pt idx="2">
                  <c:v>24709.464109300003</c:v>
                </c:pt>
                <c:pt idx="3">
                  <c:v>3462.6259024999999</c:v>
                </c:pt>
                <c:pt idx="4">
                  <c:v>-14001.7260274</c:v>
                </c:pt>
                <c:pt idx="5">
                  <c:v>27508.076438800003</c:v>
                </c:pt>
                <c:pt idx="6">
                  <c:v>-38004.6849315</c:v>
                </c:pt>
                <c:pt idx="7">
                  <c:v>-36504.500000100001</c:v>
                </c:pt>
                <c:pt idx="8">
                  <c:v>5003.2449310000002</c:v>
                </c:pt>
                <c:pt idx="9">
                  <c:v>10009.918903999998</c:v>
                </c:pt>
                <c:pt idx="10">
                  <c:v>15002.515936</c:v>
                </c:pt>
                <c:pt idx="11">
                  <c:v>-29105.547944800004</c:v>
                </c:pt>
                <c:pt idx="12">
                  <c:v>3100</c:v>
                </c:pt>
                <c:pt idx="13">
                  <c:v>-4000.4931507000001</c:v>
                </c:pt>
                <c:pt idx="14">
                  <c:v>33015.268493000003</c:v>
                </c:pt>
                <c:pt idx="15">
                  <c:v>56777.929961000002</c:v>
                </c:pt>
                <c:pt idx="16">
                  <c:v>1504.0291060000054</c:v>
                </c:pt>
                <c:pt idx="17">
                  <c:v>43339.656536399998</c:v>
                </c:pt>
                <c:pt idx="18">
                  <c:v>59073.356108999986</c:v>
                </c:pt>
                <c:pt idx="19">
                  <c:v>66187.783616999994</c:v>
                </c:pt>
                <c:pt idx="20">
                  <c:v>120590.769421</c:v>
                </c:pt>
                <c:pt idx="21">
                  <c:v>90000</c:v>
                </c:pt>
                <c:pt idx="22">
                  <c:v>120040.73906399999</c:v>
                </c:pt>
                <c:pt idx="23">
                  <c:v>156478.20764529999</c:v>
                </c:pt>
                <c:pt idx="24">
                  <c:v>180879.100263</c:v>
                </c:pt>
                <c:pt idx="25">
                  <c:v>180073.80962700001</c:v>
                </c:pt>
                <c:pt idx="26">
                  <c:v>220323.28971799999</c:v>
                </c:pt>
                <c:pt idx="27">
                  <c:v>260627.031609</c:v>
                </c:pt>
                <c:pt idx="28">
                  <c:v>184556.85092289999</c:v>
                </c:pt>
                <c:pt idx="29">
                  <c:v>185640.9029367</c:v>
                </c:pt>
                <c:pt idx="30">
                  <c:v>165938.11898120001</c:v>
                </c:pt>
                <c:pt idx="31">
                  <c:v>150411.26994500001</c:v>
                </c:pt>
                <c:pt idx="32">
                  <c:v>146457.97137079999</c:v>
                </c:pt>
                <c:pt idx="33">
                  <c:v>104677.1624358</c:v>
                </c:pt>
                <c:pt idx="34">
                  <c:v>59751.587089499997</c:v>
                </c:pt>
                <c:pt idx="35">
                  <c:v>88161.335844899993</c:v>
                </c:pt>
                <c:pt idx="36">
                  <c:v>130040.291826</c:v>
                </c:pt>
                <c:pt idx="37">
                  <c:v>67831.675460699989</c:v>
                </c:pt>
                <c:pt idx="38">
                  <c:v>124175.63608390001</c:v>
                </c:pt>
                <c:pt idx="39">
                  <c:v>179739.64622330002</c:v>
                </c:pt>
                <c:pt idx="40">
                  <c:v>193396.4839778</c:v>
                </c:pt>
                <c:pt idx="41">
                  <c:v>208932.09764240001</c:v>
                </c:pt>
                <c:pt idx="42">
                  <c:v>187727.3125228</c:v>
                </c:pt>
                <c:pt idx="43">
                  <c:v>180135.432875</c:v>
                </c:pt>
                <c:pt idx="44">
                  <c:v>227400</c:v>
                </c:pt>
                <c:pt idx="45">
                  <c:v>247985.80196660003</c:v>
                </c:pt>
                <c:pt idx="46">
                  <c:v>285797.77611630003</c:v>
                </c:pt>
                <c:pt idx="47">
                  <c:v>308628.51456529996</c:v>
                </c:pt>
                <c:pt idx="48">
                  <c:v>319895.57798239996</c:v>
                </c:pt>
                <c:pt idx="49">
                  <c:v>271547.10692450003</c:v>
                </c:pt>
                <c:pt idx="50">
                  <c:v>340092.22045700002</c:v>
                </c:pt>
                <c:pt idx="51">
                  <c:v>313406.24231880007</c:v>
                </c:pt>
                <c:pt idx="52">
                  <c:v>508280.91094269999</c:v>
                </c:pt>
                <c:pt idx="53">
                  <c:v>467900</c:v>
                </c:pt>
                <c:pt idx="54">
                  <c:v>512281.65530299995</c:v>
                </c:pt>
                <c:pt idx="55">
                  <c:v>450506.50596700003</c:v>
                </c:pt>
              </c:numCache>
              <c:extLst/>
            </c:numRef>
          </c:val>
          <c:smooth val="0"/>
          <c:extLst>
            <c:ext xmlns:c16="http://schemas.microsoft.com/office/drawing/2014/chart" uri="{C3380CC4-5D6E-409C-BE32-E72D297353CC}">
              <c16:uniqueId val="{00000005-F900-4AE5-8E49-F8A49708BD1D}"/>
            </c:ext>
          </c:extLst>
        </c:ser>
        <c:dLbls>
          <c:showLegendKey val="0"/>
          <c:showVal val="0"/>
          <c:showCatName val="0"/>
          <c:showSerName val="0"/>
          <c:showPercent val="0"/>
          <c:showBubbleSize val="0"/>
        </c:dLbls>
        <c:marker val="1"/>
        <c:smooth val="0"/>
        <c:axId val="427144704"/>
        <c:axId val="427146240"/>
      </c:lineChart>
      <c:catAx>
        <c:axId val="4271447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en-US"/>
          </a:p>
        </c:txPr>
        <c:crossAx val="427146240"/>
        <c:crosses val="autoZero"/>
        <c:auto val="1"/>
        <c:lblAlgn val="ctr"/>
        <c:lblOffset val="100"/>
        <c:tickMarkSkip val="3"/>
        <c:noMultiLvlLbl val="0"/>
      </c:catAx>
      <c:valAx>
        <c:axId val="42714624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427144704"/>
        <c:crossesAt val="1"/>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3405268785846284E-2"/>
          <c:y val="0.66091578995217015"/>
          <c:w val="0.95318946242830915"/>
          <c:h val="0.31527478244180346"/>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700">
          <a:solidFill>
            <a:schemeClr val="tx1"/>
          </a:solidFill>
          <a:latin typeface="GHEA Grapalat" panose="02000506050000020003" pitchFamily="50"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169235610393543E-2"/>
          <c:y val="3.0334753237812487E-2"/>
          <c:w val="0.90957384583435741"/>
          <c:h val="0.87375672303257179"/>
        </c:manualLayout>
      </c:layout>
      <c:areaChart>
        <c:grouping val="stacked"/>
        <c:varyColors val="0"/>
        <c:ser>
          <c:idx val="0"/>
          <c:order val="0"/>
          <c:tx>
            <c:strRef>
              <c:f>[GDP_GR_Fanchard.xlsx]Fanchart.24.09!$B$3</c:f>
              <c:strCache>
                <c:ptCount val="1"/>
              </c:strCache>
            </c:strRef>
          </c:tx>
          <c:spPr>
            <a:no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[GDP_GR_Fanchard.xlsx]Fanchart.24.09!$B$4:$B$55</c:f>
              <c:numCache>
                <c:formatCode>0.0</c:formatCode>
                <c:ptCount val="12"/>
                <c:pt idx="0">
                  <c:v>7.5594540907032695</c:v>
                </c:pt>
                <c:pt idx="1">
                  <c:v>5.1738939407217828</c:v>
                </c:pt>
                <c:pt idx="2">
                  <c:v>7.6277404285831381</c:v>
                </c:pt>
                <c:pt idx="3">
                  <c:v>-7.4254086121228227</c:v>
                </c:pt>
                <c:pt idx="4">
                  <c:v>-3.3266129032257936</c:v>
                </c:pt>
                <c:pt idx="5">
                  <c:v>4.9823855057876472</c:v>
                </c:pt>
                <c:pt idx="6">
                  <c:v>3.4210932777548591</c:v>
                </c:pt>
                <c:pt idx="7">
                  <c:v>3.2712262308756119</c:v>
                </c:pt>
                <c:pt idx="8">
                  <c:v>0.98329203763415673</c:v>
                </c:pt>
                <c:pt idx="9">
                  <c:v>0.48261357754368461</c:v>
                </c:pt>
                <c:pt idx="10">
                  <c:v>0.22936326964434883</c:v>
                </c:pt>
                <c:pt idx="11">
                  <c:v>-0.18856331756717459</c:v>
                </c:pt>
              </c:numCache>
            </c:numRef>
          </c:val>
          <c:extLst>
            <c:ext xmlns:c16="http://schemas.microsoft.com/office/drawing/2014/chart" uri="{C3380CC4-5D6E-409C-BE32-E72D297353CC}">
              <c16:uniqueId val="{00000000-0708-41C2-AE3E-0E095F3B4FC9}"/>
            </c:ext>
          </c:extLst>
        </c:ser>
        <c:ser>
          <c:idx val="1"/>
          <c:order val="1"/>
          <c:tx>
            <c:strRef>
              <c:f>[GDP_GR_Fanchard.xlsx]Fanchart.24.09!$C$3</c:f>
              <c:strCache>
                <c:ptCount val="1"/>
              </c:strCache>
            </c:strRef>
          </c:tx>
          <c:spPr>
            <a:solidFill>
              <a:srgbClr val="FF0000">
                <a:alpha val="2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[GDP_GR_Fanchard.xlsx]Fanchart.24.09!$C$4:$C$55</c:f>
              <c:numCache>
                <c:formatCode>General</c:formatCode>
                <c:ptCount val="12"/>
                <c:pt idx="6" formatCode="0.0">
                  <c:v>0.57443099634003625</c:v>
                </c:pt>
                <c:pt idx="7" formatCode="0.0">
                  <c:v>0.71093690427188116</c:v>
                </c:pt>
                <c:pt idx="8" formatCode="0.0">
                  <c:v>1.3289221422467277</c:v>
                </c:pt>
                <c:pt idx="9" formatCode="0.0">
                  <c:v>1.4395079802036355</c:v>
                </c:pt>
                <c:pt idx="10" formatCode="0.0">
                  <c:v>1.495443874683362</c:v>
                </c:pt>
                <c:pt idx="11" formatCode="0.0">
                  <c:v>1.5877521434331419</c:v>
                </c:pt>
              </c:numCache>
            </c:numRef>
          </c:val>
          <c:extLst>
            <c:ext xmlns:c16="http://schemas.microsoft.com/office/drawing/2014/chart" uri="{C3380CC4-5D6E-409C-BE32-E72D297353CC}">
              <c16:uniqueId val="{00000001-0708-41C2-AE3E-0E095F3B4FC9}"/>
            </c:ext>
          </c:extLst>
        </c:ser>
        <c:ser>
          <c:idx val="2"/>
          <c:order val="2"/>
          <c:tx>
            <c:strRef>
              <c:f>[GDP_GR_Fanchard.xlsx]Fanchart.24.09!$D$3</c:f>
              <c:strCache>
                <c:ptCount val="1"/>
              </c:strCache>
            </c:strRef>
          </c:tx>
          <c:spPr>
            <a:solidFill>
              <a:srgbClr val="FF0000">
                <a:alpha val="3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[GDP_GR_Fanchard.xlsx]Fanchart.24.09!$D$4:$D$55</c:f>
              <c:numCache>
                <c:formatCode>General</c:formatCode>
                <c:ptCount val="12"/>
                <c:pt idx="6" formatCode="0.0">
                  <c:v>0.38756586611335075</c:v>
                </c:pt>
                <c:pt idx="7" formatCode="0.0">
                  <c:v>0.47966575413171419</c:v>
                </c:pt>
                <c:pt idx="8" formatCode="0.0">
                  <c:v>0.89661746030184597</c:v>
                </c:pt>
                <c:pt idx="9" formatCode="0.0">
                  <c:v>0.97122920016392822</c:v>
                </c:pt>
                <c:pt idx="10" formatCode="0.0">
                  <c:v>1.0089688826131455</c:v>
                </c:pt>
                <c:pt idx="11" formatCode="0.0">
                  <c:v>1.0712488333041321</c:v>
                </c:pt>
              </c:numCache>
            </c:numRef>
          </c:val>
          <c:extLst>
            <c:ext xmlns:c16="http://schemas.microsoft.com/office/drawing/2014/chart" uri="{C3380CC4-5D6E-409C-BE32-E72D297353CC}">
              <c16:uniqueId val="{00000002-0708-41C2-AE3E-0E095F3B4FC9}"/>
            </c:ext>
          </c:extLst>
        </c:ser>
        <c:ser>
          <c:idx val="3"/>
          <c:order val="3"/>
          <c:tx>
            <c:strRef>
              <c:f>[GDP_GR_Fanchard.xlsx]Fanchart.24.09!$E$3</c:f>
              <c:strCache>
                <c:ptCount val="1"/>
              </c:strCache>
            </c:strRef>
          </c:tx>
          <c:spPr>
            <a:solidFill>
              <a:srgbClr val="FF0000">
                <a:alpha val="4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[GDP_GR_Fanchard.xlsx]Fanchart.24.09!$E$4:$E$55</c:f>
              <c:numCache>
                <c:formatCode>General</c:formatCode>
                <c:ptCount val="12"/>
                <c:pt idx="6" formatCode="0.0">
                  <c:v>0.30802506429891174</c:v>
                </c:pt>
                <c:pt idx="7" formatCode="0.0">
                  <c:v>0.38122313567004262</c:v>
                </c:pt>
                <c:pt idx="8" formatCode="0.0">
                  <c:v>0.71260313409599663</c:v>
                </c:pt>
                <c:pt idx="9" formatCode="0.0">
                  <c:v>0.77190217969809272</c:v>
                </c:pt>
                <c:pt idx="10" formatCode="0.0">
                  <c:v>0.80189648293645011</c:v>
                </c:pt>
                <c:pt idx="11" formatCode="0.0">
                  <c:v>0.85139461343103218</c:v>
                </c:pt>
              </c:numCache>
            </c:numRef>
          </c:val>
          <c:extLst>
            <c:ext xmlns:c16="http://schemas.microsoft.com/office/drawing/2014/chart" uri="{C3380CC4-5D6E-409C-BE32-E72D297353CC}">
              <c16:uniqueId val="{00000003-0708-41C2-AE3E-0E095F3B4FC9}"/>
            </c:ext>
          </c:extLst>
        </c:ser>
        <c:ser>
          <c:idx val="4"/>
          <c:order val="4"/>
          <c:tx>
            <c:strRef>
              <c:f>[GDP_GR_Fanchard.xlsx]Fanchart.24.09!$F$3</c:f>
              <c:strCache>
                <c:ptCount val="1"/>
              </c:strCache>
            </c:strRef>
          </c:tx>
          <c:spPr>
            <a:solidFill>
              <a:srgbClr val="FF0000">
                <a:alpha val="5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[GDP_GR_Fanchard.xlsx]Fanchart.24.09!$F$4:$F$55</c:f>
              <c:numCache>
                <c:formatCode>General</c:formatCode>
                <c:ptCount val="12"/>
                <c:pt idx="6" formatCode="0.0">
                  <c:v>0.26425807809667923</c:v>
                </c:pt>
                <c:pt idx="7" formatCode="0.0">
                  <c:v>0.32705550565325048</c:v>
                </c:pt>
                <c:pt idx="8" formatCode="0.0">
                  <c:v>0.6113500376681662</c:v>
                </c:pt>
                <c:pt idx="9" formatCode="0.0">
                  <c:v>0.66222333870762551</c:v>
                </c:pt>
                <c:pt idx="10" formatCode="0.0">
                  <c:v>0.68795578014273495</c:v>
                </c:pt>
                <c:pt idx="11" formatCode="0.0">
                  <c:v>0.73042076870997619</c:v>
                </c:pt>
              </c:numCache>
            </c:numRef>
          </c:val>
          <c:extLst>
            <c:ext xmlns:c16="http://schemas.microsoft.com/office/drawing/2014/chart" uri="{C3380CC4-5D6E-409C-BE32-E72D297353CC}">
              <c16:uniqueId val="{00000004-0708-41C2-AE3E-0E095F3B4FC9}"/>
            </c:ext>
          </c:extLst>
        </c:ser>
        <c:ser>
          <c:idx val="5"/>
          <c:order val="5"/>
          <c:tx>
            <c:strRef>
              <c:f>[GDP_GR_Fanchard.xlsx]Fanchart.24.09!$G$3</c:f>
              <c:strCache>
                <c:ptCount val="1"/>
              </c:strCache>
            </c:strRef>
          </c:tx>
          <c:spPr>
            <a:solidFill>
              <a:srgbClr val="FF0000">
                <a:alpha val="6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[GDP_GR_Fanchard.xlsx]Fanchart.24.09!$G$4:$G$55</c:f>
              <c:numCache>
                <c:formatCode>General</c:formatCode>
                <c:ptCount val="12"/>
                <c:pt idx="6" formatCode="0.0">
                  <c:v>0.23731192137006918</c:v>
                </c:pt>
                <c:pt idx="7" formatCode="0.0">
                  <c:v>0.29370595215195916</c:v>
                </c:pt>
                <c:pt idx="8" formatCode="0.0">
                  <c:v>0.54901122839324579</c:v>
                </c:pt>
                <c:pt idx="9" formatCode="0.0">
                  <c:v>0.59469702503214705</c:v>
                </c:pt>
                <c:pt idx="10" formatCode="0.0">
                  <c:v>0.61780555273541182</c:v>
                </c:pt>
                <c:pt idx="11" formatCode="0.0">
                  <c:v>0.65594042490443982</c:v>
                </c:pt>
              </c:numCache>
            </c:numRef>
          </c:val>
          <c:extLst>
            <c:ext xmlns:c16="http://schemas.microsoft.com/office/drawing/2014/chart" uri="{C3380CC4-5D6E-409C-BE32-E72D297353CC}">
              <c16:uniqueId val="{00000005-0708-41C2-AE3E-0E095F3B4FC9}"/>
            </c:ext>
          </c:extLst>
        </c:ser>
        <c:ser>
          <c:idx val="6"/>
          <c:order val="6"/>
          <c:tx>
            <c:strRef>
              <c:f>[GDP_GR_Fanchard.xlsx]Fanchart.24.09!$H$3</c:f>
              <c:strCache>
                <c:ptCount val="1"/>
              </c:strCache>
            </c:strRef>
          </c:tx>
          <c:spPr>
            <a:solidFill>
              <a:srgbClr val="FF0000">
                <a:alpha val="7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[GDP_GR_Fanchard.xlsx]Fanchart.24.09!$H$4:$H$55</c:f>
              <c:numCache>
                <c:formatCode>General</c:formatCode>
                <c:ptCount val="12"/>
                <c:pt idx="6" formatCode="0.0">
                  <c:v>0.21990486169558476</c:v>
                </c:pt>
                <c:pt idx="7" formatCode="0.0">
                  <c:v>0.27216233560566838</c:v>
                </c:pt>
                <c:pt idx="8" formatCode="0.0">
                  <c:v>0.50874072213536436</c:v>
                </c:pt>
                <c:pt idx="9" formatCode="0.0">
                  <c:v>0.55107542126606646</c:v>
                </c:pt>
                <c:pt idx="10" formatCode="0.0">
                  <c:v>0.57248891604221086</c:v>
                </c:pt>
                <c:pt idx="11" formatCode="0.0">
                  <c:v>0.60782655833887134</c:v>
                </c:pt>
              </c:numCache>
            </c:numRef>
          </c:val>
          <c:extLst>
            <c:ext xmlns:c16="http://schemas.microsoft.com/office/drawing/2014/chart" uri="{C3380CC4-5D6E-409C-BE32-E72D297353CC}">
              <c16:uniqueId val="{00000006-0708-41C2-AE3E-0E095F3B4FC9}"/>
            </c:ext>
          </c:extLst>
        </c:ser>
        <c:ser>
          <c:idx val="7"/>
          <c:order val="7"/>
          <c:tx>
            <c:strRef>
              <c:f>[GDP_GR_Fanchard.xlsx]Fanchart.24.09!$I$3</c:f>
              <c:strCache>
                <c:ptCount val="1"/>
              </c:strCache>
            </c:strRef>
          </c:tx>
          <c:spPr>
            <a:solidFill>
              <a:srgbClr val="FF0000">
                <a:alpha val="8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[GDP_GR_Fanchard.xlsx]Fanchart.24.09!$I$4:$I$55</c:f>
              <c:numCache>
                <c:formatCode>General</c:formatCode>
                <c:ptCount val="12"/>
                <c:pt idx="6" formatCode="0.0">
                  <c:v>0.20866820920579965</c:v>
                </c:pt>
                <c:pt idx="7" formatCode="0.0">
                  <c:v>0.25825544167695291</c:v>
                </c:pt>
                <c:pt idx="8" formatCode="0.0">
                  <c:v>0.48274519544277616</c:v>
                </c:pt>
                <c:pt idx="9" formatCode="0.0">
                  <c:v>0.52291668499855604</c:v>
                </c:pt>
                <c:pt idx="10" formatCode="0.0">
                  <c:v>0.54323599751089802</c:v>
                </c:pt>
                <c:pt idx="11" formatCode="0.0">
                  <c:v>0.57676796437485578</c:v>
                </c:pt>
              </c:numCache>
            </c:numRef>
          </c:val>
          <c:extLst>
            <c:ext xmlns:c16="http://schemas.microsoft.com/office/drawing/2014/chart" uri="{C3380CC4-5D6E-409C-BE32-E72D297353CC}">
              <c16:uniqueId val="{00000007-0708-41C2-AE3E-0E095F3B4FC9}"/>
            </c:ext>
          </c:extLst>
        </c:ser>
        <c:ser>
          <c:idx val="8"/>
          <c:order val="8"/>
          <c:tx>
            <c:strRef>
              <c:f>[GDP_GR_Fanchard.xlsx]Fanchart.24.09!$J$3</c:f>
              <c:strCache>
                <c:ptCount val="1"/>
              </c:strCache>
            </c:strRef>
          </c:tx>
          <c:spPr>
            <a:solidFill>
              <a:srgbClr val="FF0000">
                <a:alpha val="9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[GDP_GR_Fanchard.xlsx]Fanchart.24.09!$J$4:$J$55</c:f>
              <c:numCache>
                <c:formatCode>General</c:formatCode>
                <c:ptCount val="12"/>
                <c:pt idx="6" formatCode="0.0">
                  <c:v>0.20188890730412101</c:v>
                </c:pt>
                <c:pt idx="7" formatCode="0.0">
                  <c:v>0.24986512858832821</c:v>
                </c:pt>
                <c:pt idx="8" formatCode="0.0">
                  <c:v>0.4670615633555153</c:v>
                </c:pt>
                <c:pt idx="9" formatCode="0.0">
                  <c:v>0.50592794440159405</c:v>
                </c:pt>
                <c:pt idx="10" formatCode="0.0">
                  <c:v>0.5255871144107731</c:v>
                </c:pt>
                <c:pt idx="11" formatCode="0.0">
                  <c:v>0.5580296804139433</c:v>
                </c:pt>
              </c:numCache>
            </c:numRef>
          </c:val>
          <c:extLst>
            <c:ext xmlns:c16="http://schemas.microsoft.com/office/drawing/2014/chart" uri="{C3380CC4-5D6E-409C-BE32-E72D297353CC}">
              <c16:uniqueId val="{00000008-0708-41C2-AE3E-0E095F3B4FC9}"/>
            </c:ext>
          </c:extLst>
        </c:ser>
        <c:ser>
          <c:idx val="9"/>
          <c:order val="9"/>
          <c:tx>
            <c:strRef>
              <c:f>[GDP_GR_Fanchard.xlsx]Fanchart.24.09!$K$3</c:f>
              <c:strCache>
                <c:ptCount val="1"/>
              </c:strCache>
            </c:strRef>
          </c:tx>
          <c:spPr>
            <a:solidFill>
              <a:srgbClr val="FF0000"/>
            </a:solidFill>
            <a:ln>
              <a:solidFill>
                <a:srgbClr val="FF0000"/>
              </a:solidFill>
              <a:prstDash val="solid"/>
            </a:ln>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[GDP_GR_Fanchard.xlsx]Fanchart.24.09!$K$4:$K$55</c:f>
              <c:numCache>
                <c:formatCode>General</c:formatCode>
                <c:ptCount val="12"/>
                <c:pt idx="6" formatCode="0.0">
                  <c:v>0.39737606990647123</c:v>
                </c:pt>
                <c:pt idx="7" formatCode="0.0">
                  <c:v>0.49180722274917166</c:v>
                </c:pt>
                <c:pt idx="8" formatCode="0.0">
                  <c:v>0.66732392940829577</c:v>
                </c:pt>
                <c:pt idx="9" formatCode="0.0">
                  <c:v>0.71232563941971172</c:v>
                </c:pt>
                <c:pt idx="10" formatCode="0.0">
                  <c:v>0.73527128775894379</c:v>
                </c:pt>
                <c:pt idx="11" formatCode="0.0">
                  <c:v>0.76762906200566494</c:v>
                </c:pt>
              </c:numCache>
            </c:numRef>
          </c:val>
          <c:extLst>
            <c:ext xmlns:c16="http://schemas.microsoft.com/office/drawing/2014/chart" uri="{C3380CC4-5D6E-409C-BE32-E72D297353CC}">
              <c16:uniqueId val="{00000009-0708-41C2-AE3E-0E095F3B4FC9}"/>
            </c:ext>
          </c:extLst>
        </c:ser>
        <c:ser>
          <c:idx val="10"/>
          <c:order val="10"/>
          <c:tx>
            <c:strRef>
              <c:f>[GDP_GR_Fanchard.xlsx]Fanchart.24.09!$L$3</c:f>
              <c:strCache>
                <c:ptCount val="1"/>
              </c:strCache>
            </c:strRef>
          </c:tx>
          <c:spPr>
            <a:solidFill>
              <a:srgbClr val="FF0000">
                <a:alpha val="9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[GDP_GR_Fanchard.xlsx]Fanchart.24.09!$L$4:$L$55</c:f>
              <c:numCache>
                <c:formatCode>General</c:formatCode>
                <c:ptCount val="12"/>
                <c:pt idx="6" formatCode="0.0">
                  <c:v>0.2018889073041219</c:v>
                </c:pt>
                <c:pt idx="7" formatCode="0.0">
                  <c:v>0.24986512858832999</c:v>
                </c:pt>
                <c:pt idx="8" formatCode="0.0">
                  <c:v>0.21101298178678984</c:v>
                </c:pt>
                <c:pt idx="9" formatCode="0.0">
                  <c:v>0.21787329013677681</c:v>
                </c:pt>
                <c:pt idx="10" formatCode="0.0">
                  <c:v>0.22152942379791085</c:v>
                </c:pt>
                <c:pt idx="11" formatCode="0.0">
                  <c:v>0.22196591710498925</c:v>
                </c:pt>
              </c:numCache>
            </c:numRef>
          </c:val>
          <c:extLst>
            <c:ext xmlns:c16="http://schemas.microsoft.com/office/drawing/2014/chart" uri="{C3380CC4-5D6E-409C-BE32-E72D297353CC}">
              <c16:uniqueId val="{0000000A-0708-41C2-AE3E-0E095F3B4FC9}"/>
            </c:ext>
          </c:extLst>
        </c:ser>
        <c:ser>
          <c:idx val="11"/>
          <c:order val="11"/>
          <c:tx>
            <c:strRef>
              <c:f>[GDP_GR_Fanchard.xlsx]Fanchart.24.09!$M$3</c:f>
              <c:strCache>
                <c:ptCount val="1"/>
              </c:strCache>
            </c:strRef>
          </c:tx>
          <c:spPr>
            <a:solidFill>
              <a:srgbClr val="FF0000">
                <a:alpha val="8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[GDP_GR_Fanchard.xlsx]Fanchart.24.09!$M$4:$M$55</c:f>
              <c:numCache>
                <c:formatCode>General</c:formatCode>
                <c:ptCount val="12"/>
                <c:pt idx="6" formatCode="0.0">
                  <c:v>0.20866820920579787</c:v>
                </c:pt>
                <c:pt idx="7" formatCode="0.0">
                  <c:v>0.25825544167695114</c:v>
                </c:pt>
                <c:pt idx="8" formatCode="0.0">
                  <c:v>0.21809866434264435</c:v>
                </c:pt>
                <c:pt idx="9" formatCode="0.0">
                  <c:v>0.2251893375109093</c:v>
                </c:pt>
                <c:pt idx="10" formatCode="0.0">
                  <c:v>0.22896824182949249</c:v>
                </c:pt>
                <c:pt idx="11" formatCode="0.0">
                  <c:v>0.22941939230593356</c:v>
                </c:pt>
              </c:numCache>
            </c:numRef>
          </c:val>
          <c:extLst>
            <c:ext xmlns:c16="http://schemas.microsoft.com/office/drawing/2014/chart" uri="{C3380CC4-5D6E-409C-BE32-E72D297353CC}">
              <c16:uniqueId val="{0000000B-0708-41C2-AE3E-0E095F3B4FC9}"/>
            </c:ext>
          </c:extLst>
        </c:ser>
        <c:ser>
          <c:idx val="12"/>
          <c:order val="12"/>
          <c:tx>
            <c:strRef>
              <c:f>[GDP_GR_Fanchard.xlsx]Fanchart.24.09!$N$3</c:f>
              <c:strCache>
                <c:ptCount val="1"/>
              </c:strCache>
            </c:strRef>
          </c:tx>
          <c:spPr>
            <a:solidFill>
              <a:srgbClr val="FF0000">
                <a:alpha val="7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[GDP_GR_Fanchard.xlsx]Fanchart.24.09!$N$4:$N$55</c:f>
              <c:numCache>
                <c:formatCode>General</c:formatCode>
                <c:ptCount val="12"/>
                <c:pt idx="6" formatCode="0.0">
                  <c:v>0.21990486169558565</c:v>
                </c:pt>
                <c:pt idx="7" formatCode="0.0">
                  <c:v>0.27216233560566927</c:v>
                </c:pt>
                <c:pt idx="8" formatCode="0.0">
                  <c:v>0.2298431409403614</c:v>
                </c:pt>
                <c:pt idx="9" formatCode="0.0">
                  <c:v>0.23731564242168712</c:v>
                </c:pt>
                <c:pt idx="10" formatCode="0.0">
                  <c:v>0.24129803837314423</c:v>
                </c:pt>
                <c:pt idx="11" formatCode="0.0">
                  <c:v>0.241773483020431</c:v>
                </c:pt>
              </c:numCache>
            </c:numRef>
          </c:val>
          <c:extLst>
            <c:ext xmlns:c16="http://schemas.microsoft.com/office/drawing/2014/chart" uri="{C3380CC4-5D6E-409C-BE32-E72D297353CC}">
              <c16:uniqueId val="{0000000C-0708-41C2-AE3E-0E095F3B4FC9}"/>
            </c:ext>
          </c:extLst>
        </c:ser>
        <c:ser>
          <c:idx val="13"/>
          <c:order val="13"/>
          <c:tx>
            <c:strRef>
              <c:f>[GDP_GR_Fanchard.xlsx]Fanchart.24.09!$O$3</c:f>
              <c:strCache>
                <c:ptCount val="1"/>
              </c:strCache>
            </c:strRef>
          </c:tx>
          <c:spPr>
            <a:solidFill>
              <a:srgbClr val="FF0000">
                <a:alpha val="6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[GDP_GR_Fanchard.xlsx]Fanchart.24.09!$O$4:$O$55</c:f>
              <c:numCache>
                <c:formatCode>General</c:formatCode>
                <c:ptCount val="12"/>
                <c:pt idx="6" formatCode="0.0">
                  <c:v>0.23731192137006918</c:v>
                </c:pt>
                <c:pt idx="7" formatCode="0.0">
                  <c:v>0.29370595215195827</c:v>
                </c:pt>
                <c:pt idx="8" formatCode="0.0">
                  <c:v>0.24803688726898176</c:v>
                </c:pt>
                <c:pt idx="9" formatCode="0.0">
                  <c:v>0.2561008912673497</c:v>
                </c:pt>
                <c:pt idx="10" formatCode="0.0">
                  <c:v>0.26039852265034824</c:v>
                </c:pt>
                <c:pt idx="11" formatCode="0.0">
                  <c:v>0.26091160217884202</c:v>
                </c:pt>
              </c:numCache>
            </c:numRef>
          </c:val>
          <c:extLst>
            <c:ext xmlns:c16="http://schemas.microsoft.com/office/drawing/2014/chart" uri="{C3380CC4-5D6E-409C-BE32-E72D297353CC}">
              <c16:uniqueId val="{0000000D-0708-41C2-AE3E-0E095F3B4FC9}"/>
            </c:ext>
          </c:extLst>
        </c:ser>
        <c:ser>
          <c:idx val="14"/>
          <c:order val="14"/>
          <c:tx>
            <c:strRef>
              <c:f>[GDP_GR_Fanchard.xlsx]Fanchart.24.09!$P$3</c:f>
              <c:strCache>
                <c:ptCount val="1"/>
              </c:strCache>
            </c:strRef>
          </c:tx>
          <c:spPr>
            <a:solidFill>
              <a:srgbClr val="FF0000">
                <a:alpha val="5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[GDP_GR_Fanchard.xlsx]Fanchart.24.09!$P$4:$P$55</c:f>
              <c:numCache>
                <c:formatCode>General</c:formatCode>
                <c:ptCount val="12"/>
                <c:pt idx="6" formatCode="0.0">
                  <c:v>0.264258078096681</c:v>
                </c:pt>
                <c:pt idx="7" formatCode="0.0">
                  <c:v>0.32705550565325048</c:v>
                </c:pt>
                <c:pt idx="8" formatCode="0.0">
                  <c:v>0.2762008362174555</c:v>
                </c:pt>
                <c:pt idx="9" formatCode="0.0">
                  <c:v>0.28518048707557675</c:v>
                </c:pt>
                <c:pt idx="10" formatCode="0.0">
                  <c:v>0.28996610342001539</c:v>
                </c:pt>
                <c:pt idx="11" formatCode="0.0">
                  <c:v>0.29053744180591856</c:v>
                </c:pt>
              </c:numCache>
            </c:numRef>
          </c:val>
          <c:extLst>
            <c:ext xmlns:c16="http://schemas.microsoft.com/office/drawing/2014/chart" uri="{C3380CC4-5D6E-409C-BE32-E72D297353CC}">
              <c16:uniqueId val="{0000000E-0708-41C2-AE3E-0E095F3B4FC9}"/>
            </c:ext>
          </c:extLst>
        </c:ser>
        <c:ser>
          <c:idx val="15"/>
          <c:order val="15"/>
          <c:tx>
            <c:strRef>
              <c:f>[GDP_GR_Fanchard.xlsx]Fanchart.24.09!$Q$3</c:f>
              <c:strCache>
                <c:ptCount val="1"/>
              </c:strCache>
            </c:strRef>
          </c:tx>
          <c:spPr>
            <a:solidFill>
              <a:srgbClr val="FF0000">
                <a:alpha val="4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[GDP_GR_Fanchard.xlsx]Fanchart.24.09!$Q$4:$Q$55</c:f>
              <c:numCache>
                <c:formatCode>General</c:formatCode>
                <c:ptCount val="12"/>
                <c:pt idx="6" formatCode="0.0">
                  <c:v>0.30802506429891086</c:v>
                </c:pt>
                <c:pt idx="7" formatCode="0.0">
                  <c:v>0.38122313567004262</c:v>
                </c:pt>
                <c:pt idx="8" formatCode="0.0">
                  <c:v>0.32194580747752433</c:v>
                </c:pt>
                <c:pt idx="9" formatCode="0.0">
                  <c:v>0.33241268725231166</c:v>
                </c:pt>
                <c:pt idx="10" formatCode="0.0">
                  <c:v>0.33799090757701578</c:v>
                </c:pt>
                <c:pt idx="11" formatCode="0.0">
                  <c:v>0.33865687224428775</c:v>
                </c:pt>
              </c:numCache>
            </c:numRef>
          </c:val>
          <c:extLst>
            <c:ext xmlns:c16="http://schemas.microsoft.com/office/drawing/2014/chart" uri="{C3380CC4-5D6E-409C-BE32-E72D297353CC}">
              <c16:uniqueId val="{0000000F-0708-41C2-AE3E-0E095F3B4FC9}"/>
            </c:ext>
          </c:extLst>
        </c:ser>
        <c:ser>
          <c:idx val="16"/>
          <c:order val="16"/>
          <c:tx>
            <c:strRef>
              <c:f>[GDP_GR_Fanchard.xlsx]Fanchart.24.09!$R$3</c:f>
              <c:strCache>
                <c:ptCount val="1"/>
              </c:strCache>
            </c:strRef>
          </c:tx>
          <c:spPr>
            <a:solidFill>
              <a:srgbClr val="FF0000">
                <a:alpha val="3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[GDP_GR_Fanchard.xlsx]Fanchart.24.09!$R$4:$R$55</c:f>
              <c:numCache>
                <c:formatCode>General</c:formatCode>
                <c:ptCount val="12"/>
                <c:pt idx="6" formatCode="0.0">
                  <c:v>0.3875658661133512</c:v>
                </c:pt>
                <c:pt idx="7" formatCode="0.0">
                  <c:v>0.47966575413171597</c:v>
                </c:pt>
                <c:pt idx="8" formatCode="0.0">
                  <c:v>0.40508133972989135</c:v>
                </c:pt>
                <c:pt idx="9" formatCode="0.0">
                  <c:v>0.41825106452047933</c:v>
                </c:pt>
                <c:pt idx="10" formatCode="0.0">
                  <c:v>0.42526973943394886</c:v>
                </c:pt>
                <c:pt idx="11" formatCode="0.0">
                  <c:v>0.42610767505344249</c:v>
                </c:pt>
              </c:numCache>
            </c:numRef>
          </c:val>
          <c:extLst>
            <c:ext xmlns:c16="http://schemas.microsoft.com/office/drawing/2014/chart" uri="{C3380CC4-5D6E-409C-BE32-E72D297353CC}">
              <c16:uniqueId val="{00000010-0708-41C2-AE3E-0E095F3B4FC9}"/>
            </c:ext>
          </c:extLst>
        </c:ser>
        <c:ser>
          <c:idx val="17"/>
          <c:order val="17"/>
          <c:tx>
            <c:strRef>
              <c:f>[GDP_GR_Fanchard.xlsx]Fanchart.24.09!$S$3</c:f>
              <c:strCache>
                <c:ptCount val="1"/>
              </c:strCache>
            </c:strRef>
          </c:tx>
          <c:spPr>
            <a:solidFill>
              <a:srgbClr val="FF0000">
                <a:alpha val="2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[GDP_GR_Fanchard.xlsx]Fanchart.24.09!$S$4:$S$55</c:f>
              <c:numCache>
                <c:formatCode>General</c:formatCode>
                <c:ptCount val="12"/>
                <c:pt idx="6" formatCode="0.0">
                  <c:v>0.5744309963400358</c:v>
                </c:pt>
                <c:pt idx="7" formatCode="0.0">
                  <c:v>0.71093690427188072</c:v>
                </c:pt>
                <c:pt idx="8" formatCode="0.0">
                  <c:v>0.60039156676337413</c:v>
                </c:pt>
                <c:pt idx="9" formatCode="0.0">
                  <c:v>0.61991108278486173</c:v>
                </c:pt>
                <c:pt idx="10" formatCode="0.0">
                  <c:v>0.63031381629687999</c:v>
                </c:pt>
                <c:pt idx="11" formatCode="0.0">
                  <c:v>0.63155576311123873</c:v>
                </c:pt>
              </c:numCache>
            </c:numRef>
          </c:val>
          <c:extLst>
            <c:ext xmlns:c16="http://schemas.microsoft.com/office/drawing/2014/chart" uri="{C3380CC4-5D6E-409C-BE32-E72D297353CC}">
              <c16:uniqueId val="{00000011-0708-41C2-AE3E-0E095F3B4FC9}"/>
            </c:ext>
          </c:extLst>
        </c:ser>
        <c:dLbls>
          <c:showLegendKey val="0"/>
          <c:showVal val="0"/>
          <c:showCatName val="0"/>
          <c:showSerName val="0"/>
          <c:showPercent val="0"/>
          <c:showBubbleSize val="0"/>
        </c:dLbls>
        <c:axId val="433249280"/>
        <c:axId val="433873664"/>
      </c:areaChart>
      <c:lineChart>
        <c:grouping val="standard"/>
        <c:varyColors val="0"/>
        <c:ser>
          <c:idx val="18"/>
          <c:order val="18"/>
          <c:tx>
            <c:strRef>
              <c:f>[GDP_GR_Fanchard.xlsx]Fanchart.24.09!$T$3</c:f>
              <c:strCache>
                <c:ptCount val="1"/>
                <c:pt idx="0">
                  <c:v>7%</c:v>
                </c:pt>
              </c:strCache>
            </c:strRef>
          </c:tx>
          <c:marker>
            <c:symbol val="none"/>
          </c:marker>
          <c:dLbls>
            <c:dLbl>
              <c:idx val="11"/>
              <c:layout>
                <c:manualLayout>
                  <c:x val="-3.6196112454610734E-2"/>
                  <c:y val="-8.1967213114754345E-3"/>
                </c:manualLayout>
              </c:layout>
              <c:spPr>
                <a:noFill/>
                <a:ln>
                  <a:noFill/>
                </a:ln>
                <a:effectLst/>
              </c:spPr>
              <c:txPr>
                <a:bodyPr wrap="square" lIns="38100" tIns="19050" rIns="38100" bIns="19050" anchor="ctr">
                  <a:spAutoFit/>
                </a:bodyPr>
                <a:lstStyle/>
                <a:p>
                  <a:pPr>
                    <a:defRPr sz="1400"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0708-41C2-AE3E-0E095F3B4FC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[GDP_GR_Fanchard.xlsx]Fanchart.24.09!$T$4:$T$55</c:f>
              <c:numCache>
                <c:formatCode>0</c:formatCode>
                <c:ptCount val="12"/>
                <c:pt idx="0">
                  <c:v>7</c:v>
                </c:pt>
                <c:pt idx="1">
                  <c:v>7</c:v>
                </c:pt>
                <c:pt idx="2">
                  <c:v>7</c:v>
                </c:pt>
                <c:pt idx="3">
                  <c:v>7</c:v>
                </c:pt>
                <c:pt idx="4">
                  <c:v>7</c:v>
                </c:pt>
                <c:pt idx="5">
                  <c:v>7</c:v>
                </c:pt>
                <c:pt idx="6">
                  <c:v>7</c:v>
                </c:pt>
                <c:pt idx="7">
                  <c:v>7</c:v>
                </c:pt>
                <c:pt idx="8">
                  <c:v>7</c:v>
                </c:pt>
                <c:pt idx="9">
                  <c:v>7</c:v>
                </c:pt>
                <c:pt idx="10">
                  <c:v>7</c:v>
                </c:pt>
                <c:pt idx="11">
                  <c:v>7</c:v>
                </c:pt>
              </c:numCache>
            </c:numRef>
          </c:val>
          <c:smooth val="0"/>
          <c:extLst>
            <c:ext xmlns:c16="http://schemas.microsoft.com/office/drawing/2014/chart" uri="{C3380CC4-5D6E-409C-BE32-E72D297353CC}">
              <c16:uniqueId val="{00000013-0708-41C2-AE3E-0E095F3B4FC9}"/>
            </c:ext>
          </c:extLst>
        </c:ser>
        <c:dLbls>
          <c:showLegendKey val="0"/>
          <c:showVal val="0"/>
          <c:showCatName val="0"/>
          <c:showSerName val="0"/>
          <c:showPercent val="0"/>
          <c:showBubbleSize val="0"/>
        </c:dLbls>
        <c:marker val="1"/>
        <c:smooth val="0"/>
        <c:axId val="433249280"/>
        <c:axId val="433873664"/>
      </c:lineChart>
      <c:catAx>
        <c:axId val="433249280"/>
        <c:scaling>
          <c:orientation val="minMax"/>
        </c:scaling>
        <c:delete val="0"/>
        <c:axPos val="b"/>
        <c:numFmt formatCode="General" sourceLinked="0"/>
        <c:majorTickMark val="out"/>
        <c:minorTickMark val="none"/>
        <c:tickLblPos val="nextTo"/>
        <c:txPr>
          <a:bodyPr/>
          <a:lstStyle/>
          <a:p>
            <a:pPr>
              <a:defRPr sz="1200"/>
            </a:pPr>
            <a:endParaRPr lang="en-US"/>
          </a:p>
        </c:txPr>
        <c:crossAx val="433873664"/>
        <c:crosses val="autoZero"/>
        <c:auto val="1"/>
        <c:lblAlgn val="ctr"/>
        <c:lblOffset val="100"/>
        <c:noMultiLvlLbl val="0"/>
      </c:catAx>
      <c:valAx>
        <c:axId val="433873664"/>
        <c:scaling>
          <c:orientation val="minMax"/>
          <c:max val="10"/>
          <c:min val="-8"/>
        </c:scaling>
        <c:delete val="0"/>
        <c:axPos val="l"/>
        <c:numFmt formatCode="0.0" sourceLinked="1"/>
        <c:majorTickMark val="out"/>
        <c:minorTickMark val="none"/>
        <c:tickLblPos val="nextTo"/>
        <c:crossAx val="433249280"/>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ayout>
        <c:manualLayout>
          <c:xMode val="edge"/>
          <c:yMode val="edge"/>
          <c:x val="9.6100549017555367E-2"/>
          <c:y val="3.9262510219009436E-2"/>
          <c:w val="0.27704859438214052"/>
          <c:h val="8.1708833526956653E-2"/>
        </c:manualLayout>
      </c:layout>
      <c:overlay val="0"/>
    </c:legend>
    <c:plotVisOnly val="1"/>
    <c:dispBlanksAs val="gap"/>
    <c:showDLblsOverMax val="0"/>
  </c:chart>
  <c:spPr>
    <a:solidFill>
      <a:sysClr val="window" lastClr="FFFFFF"/>
    </a:solidFill>
    <a:ln>
      <a:solidFill>
        <a:sysClr val="window" lastClr="FFFFFF"/>
      </a:solid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1"/>
          <c:order val="1"/>
          <c:tx>
            <c:strRef>
              <c:f>Sheet1!$A$3</c:f>
              <c:strCache>
                <c:ptCount val="1"/>
                <c:pt idx="0">
                  <c:v>2021  12 ամսյա աճը,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ADD-457F-9244-ADA73FCF510B}"/>
                </c:ext>
              </c:extLst>
            </c:dLbl>
            <c:dLbl>
              <c:idx val="1"/>
              <c:layout>
                <c:manualLayout>
                  <c:x val="-3.0651340996168581E-2"/>
                  <c:y val="4.74503320536891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ADD-457F-9244-ADA73FCF510B}"/>
                </c:ext>
              </c:extLst>
            </c:dLbl>
            <c:dLbl>
              <c:idx val="2"/>
              <c:layout>
                <c:manualLayout>
                  <c:x val="-1.8613710660126275E-2"/>
                  <c:y val="1.4602049805380985E-2"/>
                </c:manualLayout>
              </c:layout>
              <c:spPr>
                <a:noFill/>
                <a:ln>
                  <a:noFill/>
                </a:ln>
                <a:effectLst/>
              </c:spPr>
              <c:txPr>
                <a:bodyPr wrap="square" lIns="38100" tIns="19050" rIns="38100" bIns="19050" anchor="ctr">
                  <a:noAutofit/>
                </a:bodyPr>
                <a:lstStyle/>
                <a:p>
                  <a:pPr>
                    <a:defRPr b="1">
                      <a:solidFill>
                        <a:schemeClr val="accent2"/>
                      </a:solidFill>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5551957802731917E-2"/>
                      <c:h val="9.6962158931710674E-2"/>
                    </c:manualLayout>
                  </c15:layout>
                </c:ext>
                <c:ext xmlns:c16="http://schemas.microsoft.com/office/drawing/2014/chart" uri="{C3380CC4-5D6E-409C-BE32-E72D297353CC}">
                  <c16:uniqueId val="{00000002-DADD-457F-9244-ADA73FCF510B}"/>
                </c:ext>
              </c:extLst>
            </c:dLbl>
            <c:dLbl>
              <c:idx val="7"/>
              <c:layout>
                <c:manualLayout>
                  <c:x val="0"/>
                  <c:y val="-4.796163069544408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ADD-457F-9244-ADA73FCF510B}"/>
                </c:ext>
              </c:extLst>
            </c:dLbl>
            <c:spPr>
              <a:noFill/>
              <a:ln>
                <a:noFill/>
              </a:ln>
              <a:effectLst/>
            </c:spPr>
            <c:txPr>
              <a:bodyPr wrap="square" lIns="38100" tIns="19050" rIns="38100" bIns="19050" anchor="ctr">
                <a:spAutoFit/>
              </a:bodyPr>
              <a:lstStyle/>
              <a:p>
                <a:pPr>
                  <a:defRPr b="1">
                    <a:solidFill>
                      <a:schemeClr val="accent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pt idx="6">
                  <c:v>11.7</c:v>
                </c:pt>
                <c:pt idx="7">
                  <c:v>14</c:v>
                </c:pt>
              </c:numCache>
            </c:numRef>
          </c:val>
          <c:extLst>
            <c:ext xmlns:c16="http://schemas.microsoft.com/office/drawing/2014/chart" uri="{C3380CC4-5D6E-409C-BE32-E72D297353CC}">
              <c16:uniqueId val="{00000004-DADD-457F-9244-ADA73FCF510B}"/>
            </c:ext>
          </c:extLst>
        </c:ser>
        <c:ser>
          <c:idx val="3"/>
          <c:order val="3"/>
          <c:tx>
            <c:strRef>
              <c:f>Sheet1!$A$5</c:f>
              <c:strCache>
                <c:ptCount val="1"/>
                <c:pt idx="0">
                  <c:v>2020  12 ամսյա աճը, %</c:v>
                </c:pt>
              </c:strCache>
            </c:strRef>
          </c:tx>
          <c:spPr>
            <a:solidFill>
              <a:sysClr val="window" lastClr="FFFFFF">
                <a:lumMod val="85000"/>
              </a:sysClr>
            </a:solidFill>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44.018994368612169</c:v>
                </c:pt>
                <c:pt idx="1">
                  <c:v>-1.4802798734894509</c:v>
                </c:pt>
                <c:pt idx="2">
                  <c:v>5.2382658431352525</c:v>
                </c:pt>
                <c:pt idx="3">
                  <c:v>-9.0692104282614707</c:v>
                </c:pt>
                <c:pt idx="4">
                  <c:v>-20.783357724161974</c:v>
                </c:pt>
                <c:pt idx="5">
                  <c:v>-32.053003568569224</c:v>
                </c:pt>
                <c:pt idx="6">
                  <c:v>-7.6825296241360093</c:v>
                </c:pt>
                <c:pt idx="7">
                  <c:v>-7.2811572363455639</c:v>
                </c:pt>
                <c:pt idx="8">
                  <c:v>-8.8208404508819029</c:v>
                </c:pt>
                <c:pt idx="9">
                  <c:v>0.39256394338154621</c:v>
                </c:pt>
                <c:pt idx="10">
                  <c:v>-6.9468050393900995</c:v>
                </c:pt>
                <c:pt idx="11">
                  <c:v>-6.0152510171531191</c:v>
                </c:pt>
              </c:numCache>
            </c:numRef>
          </c:val>
          <c:extLst>
            <c:ext xmlns:c16="http://schemas.microsoft.com/office/drawing/2014/chart" uri="{C3380CC4-5D6E-409C-BE32-E72D297353CC}">
              <c16:uniqueId val="{00000005-DADD-457F-9244-ADA73FCF510B}"/>
            </c:ext>
          </c:extLst>
        </c:ser>
        <c:dLbls>
          <c:showLegendKey val="0"/>
          <c:showVal val="0"/>
          <c:showCatName val="0"/>
          <c:showSerName val="0"/>
          <c:showPercent val="0"/>
          <c:showBubbleSize val="0"/>
        </c:dLbls>
        <c:gapWidth val="150"/>
        <c:axId val="433957120"/>
        <c:axId val="434974720"/>
      </c:barChart>
      <c:lineChart>
        <c:grouping val="standard"/>
        <c:varyColors val="0"/>
        <c:ser>
          <c:idx val="0"/>
          <c:order val="0"/>
          <c:tx>
            <c:strRef>
              <c:f>Sheet1!$A$2</c:f>
              <c:strCache>
                <c:ptCount val="1"/>
                <c:pt idx="0">
                  <c:v>2021 աճը, %</c:v>
                </c:pt>
              </c:strCache>
            </c:strRef>
          </c:tx>
          <c:spPr>
            <a:ln>
              <a:prstDash val="dash"/>
            </a:ln>
          </c:spPr>
          <c:marker>
            <c:spPr>
              <a:ln>
                <a:prstDash val="dash"/>
              </a:ln>
            </c:spPr>
          </c:marker>
          <c:dLbls>
            <c:dLbl>
              <c:idx val="0"/>
              <c:layout>
                <c:manualLayout>
                  <c:x val="-3.8839627805145049E-2"/>
                  <c:y val="6.46857399052876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ADD-457F-9244-ADA73FCF510B}"/>
                </c:ext>
              </c:extLst>
            </c:dLbl>
            <c:dLbl>
              <c:idx val="1"/>
              <c:layout>
                <c:manualLayout>
                  <c:x val="-3.6371143262264649E-2"/>
                  <c:y val="4.09609474972212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ADD-457F-9244-ADA73FCF510B}"/>
                </c:ext>
              </c:extLst>
            </c:dLbl>
            <c:dLbl>
              <c:idx val="2"/>
              <c:layout>
                <c:manualLayout>
                  <c:x val="-1.6803589206521599E-2"/>
                  <c:y val="2.19811135707680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ADD-457F-9244-ADA73FCF510B}"/>
                </c:ext>
              </c:extLst>
            </c:dLbl>
            <c:dLbl>
              <c:idx val="3"/>
              <c:layout>
                <c:manualLayout>
                  <c:x val="-2.8545637187723263E-2"/>
                  <c:y val="2.28315410795434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ADD-457F-9244-ADA73FCF510B}"/>
                </c:ext>
              </c:extLst>
            </c:dLbl>
            <c:dLbl>
              <c:idx val="4"/>
              <c:layout>
                <c:manualLayout>
                  <c:x val="-2.0688740902289608E-2"/>
                  <c:y val="-6.09508309448471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ADD-457F-9244-ADA73FCF510B}"/>
                </c:ext>
              </c:extLst>
            </c:dLbl>
            <c:dLbl>
              <c:idx val="5"/>
              <c:layout>
                <c:manualLayout>
                  <c:x val="-1.777140410264394E-2"/>
                  <c:y val="-5.60252329695694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ADD-457F-9244-ADA73FCF510B}"/>
                </c:ext>
              </c:extLst>
            </c:dLbl>
            <c:dLbl>
              <c:idx val="6"/>
              <c:layout>
                <c:manualLayout>
                  <c:x val="-4.4930306041841856E-3"/>
                  <c:y val="-2.06500251298375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ADD-457F-9244-ADA73FCF510B}"/>
                </c:ext>
              </c:extLst>
            </c:dLbl>
            <c:dLbl>
              <c:idx val="7"/>
              <c:layout>
                <c:manualLayout>
                  <c:x val="-4.9306462615611602E-3"/>
                  <c:y val="7.8298306236900678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ADD-457F-9244-ADA73FCF510B}"/>
                </c:ext>
              </c:extLst>
            </c:dLbl>
            <c:spPr>
              <a:noFill/>
              <a:ln>
                <a:noFill/>
              </a:ln>
              <a:effectLst/>
            </c:spPr>
            <c:txPr>
              <a:bodyPr wrap="square" lIns="38100" tIns="19050" rIns="38100" bIns="19050" anchor="ctr">
                <a:spAutoFit/>
              </a:bodyPr>
              <a:lstStyle/>
              <a:p>
                <a:pPr>
                  <a:defRPr sz="800">
                    <a:solidFill>
                      <a:schemeClr val="tx2"/>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pt idx="6">
                  <c:v>10.5</c:v>
                </c:pt>
                <c:pt idx="7">
                  <c:v>10.9</c:v>
                </c:pt>
              </c:numCache>
            </c:numRef>
          </c:val>
          <c:smooth val="0"/>
          <c:extLst>
            <c:ext xmlns:c16="http://schemas.microsoft.com/office/drawing/2014/chart" uri="{C3380CC4-5D6E-409C-BE32-E72D297353CC}">
              <c16:uniqueId val="{0000000E-DADD-457F-9244-ADA73FCF510B}"/>
            </c:ext>
          </c:extLst>
        </c:ser>
        <c:ser>
          <c:idx val="2"/>
          <c:order val="2"/>
          <c:tx>
            <c:strRef>
              <c:f>Sheet1!$A$4</c:f>
              <c:strCache>
                <c:ptCount val="1"/>
                <c:pt idx="0">
                  <c:v>2020  աճը, %</c:v>
                </c:pt>
              </c:strCache>
            </c:strRef>
          </c:tx>
          <c:spPr>
            <a:ln>
              <a:solidFill>
                <a:srgbClr val="00B050"/>
              </a:solidFill>
            </a:ln>
          </c:spPr>
          <c:marker>
            <c:spPr>
              <a:solidFill>
                <a:srgbClr val="00B050"/>
              </a:solidFill>
              <a:ln>
                <a:solidFill>
                  <a:srgbClr val="00B050"/>
                </a:solidFill>
              </a:ln>
            </c:spPr>
          </c:marker>
          <c:dLbls>
            <c:dLbl>
              <c:idx val="0"/>
              <c:layout>
                <c:manualLayout>
                  <c:x val="-4.4148964138103437E-2"/>
                  <c:y val="-3.15065243179122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ADD-457F-9244-ADA73FCF510B}"/>
                </c:ext>
              </c:extLst>
            </c:dLbl>
            <c:dLbl>
              <c:idx val="4"/>
              <c:layout>
                <c:manualLayout>
                  <c:x val="-4.2711616330729375E-2"/>
                  <c:y val="7.57023164120255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DADD-457F-9244-ADA73FCF510B}"/>
                </c:ext>
              </c:extLst>
            </c:dLbl>
            <c:dLbl>
              <c:idx val="5"/>
              <c:layout>
                <c:manualLayout>
                  <c:x val="-4.2164851958985318E-2"/>
                  <c:y val="5.9280575539568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DADD-457F-9244-ADA73FCF510B}"/>
                </c:ext>
              </c:extLst>
            </c:dLbl>
            <c:dLbl>
              <c:idx val="6"/>
              <c:layout>
                <c:manualLayout>
                  <c:x val="-4.204163868368032E-2"/>
                  <c:y val="5.44844124700239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DADD-457F-9244-ADA73FCF510B}"/>
                </c:ext>
              </c:extLst>
            </c:dLbl>
            <c:dLbl>
              <c:idx val="7"/>
              <c:layout>
                <c:manualLayout>
                  <c:x val="-4.4000535863171569E-2"/>
                  <c:y val="4.48920863309352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DADD-457F-9244-ADA73FCF510B}"/>
                </c:ext>
              </c:extLst>
            </c:dLbl>
            <c:dLbl>
              <c:idx val="8"/>
              <c:layout>
                <c:manualLayout>
                  <c:x val="-4.2601298410566459E-2"/>
                  <c:y val="5.44844124700238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DADD-457F-9244-ADA73FCF510B}"/>
                </c:ext>
              </c:extLst>
            </c:dLbl>
            <c:dLbl>
              <c:idx val="9"/>
              <c:layout>
                <c:manualLayout>
                  <c:x val="-4.1213342287888963E-2"/>
                  <c:y val="5.4484412470023891E-2"/>
                </c:manualLayout>
              </c:layout>
              <c:spPr>
                <a:noFill/>
                <a:ln>
                  <a:noFill/>
                </a:ln>
                <a:effectLst/>
              </c:spPr>
              <c:txPr>
                <a:bodyPr wrap="square" lIns="38100" tIns="19050" rIns="38100" bIns="19050" anchor="ctr">
                  <a:noAutofit/>
                </a:bodyPr>
                <a:lstStyle/>
                <a:p>
                  <a:pPr>
                    <a:defRPr b="1">
                      <a:solidFill>
                        <a:srgbClr val="00B05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15-DADD-457F-9244-ADA73FCF510B}"/>
                </c:ext>
              </c:extLst>
            </c:dLbl>
            <c:dLbl>
              <c:idx val="10"/>
              <c:layout>
                <c:manualLayout>
                  <c:x val="-4.1761896955627355E-2"/>
                  <c:y val="4.96882494004796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DADD-457F-9244-ADA73FCF510B}"/>
                </c:ext>
              </c:extLst>
            </c:dLbl>
            <c:dLbl>
              <c:idx val="11"/>
              <c:layout>
                <c:manualLayout>
                  <c:x val="-2.6156644791462853E-2"/>
                  <c:y val="4.48920863309352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DADD-457F-9244-ADA73FCF510B}"/>
                </c:ext>
              </c:extLst>
            </c:dLbl>
            <c:spPr>
              <a:noFill/>
              <a:effectLst/>
            </c:spPr>
            <c:txPr>
              <a:bodyPr wrap="square" lIns="38100" tIns="19050" rIns="38100" bIns="19050" anchor="ctr">
                <a:spAutoFit/>
              </a:bodyPr>
              <a:lstStyle/>
              <a:p>
                <a:pPr>
                  <a:defRPr b="1">
                    <a:solidFill>
                      <a:srgbClr val="00B05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44.018994368612169</c:v>
                </c:pt>
                <c:pt idx="1">
                  <c:v>23.113386458409906</c:v>
                </c:pt>
                <c:pt idx="2">
                  <c:v>16.479613321146203</c:v>
                </c:pt>
                <c:pt idx="3">
                  <c:v>7.3435490961043683</c:v>
                </c:pt>
                <c:pt idx="4">
                  <c:v>2.1873602310688085</c:v>
                </c:pt>
                <c:pt idx="5">
                  <c:v>-4.6391685364529991</c:v>
                </c:pt>
                <c:pt idx="6">
                  <c:v>-5.0729069932891377</c:v>
                </c:pt>
                <c:pt idx="7">
                  <c:v>-5.3212909971596503</c:v>
                </c:pt>
                <c:pt idx="8">
                  <c:v>-5.7809854082594967</c:v>
                </c:pt>
                <c:pt idx="9">
                  <c:v>-5.1742337150821101</c:v>
                </c:pt>
                <c:pt idx="10">
                  <c:v>-5.3325155556655659</c:v>
                </c:pt>
                <c:pt idx="11">
                  <c:v>-5.4025480229284568</c:v>
                </c:pt>
              </c:numCache>
            </c:numRef>
          </c:val>
          <c:smooth val="0"/>
          <c:extLst>
            <c:ext xmlns:c16="http://schemas.microsoft.com/office/drawing/2014/chart" uri="{C3380CC4-5D6E-409C-BE32-E72D297353CC}">
              <c16:uniqueId val="{00000018-DADD-457F-9244-ADA73FCF510B}"/>
            </c:ext>
          </c:extLst>
        </c:ser>
        <c:dLbls>
          <c:showLegendKey val="0"/>
          <c:showVal val="0"/>
          <c:showCatName val="0"/>
          <c:showSerName val="0"/>
          <c:showPercent val="0"/>
          <c:showBubbleSize val="0"/>
        </c:dLbls>
        <c:marker val="1"/>
        <c:smooth val="0"/>
        <c:axId val="433957120"/>
        <c:axId val="434974720"/>
      </c:lineChart>
      <c:catAx>
        <c:axId val="433957120"/>
        <c:scaling>
          <c:orientation val="minMax"/>
        </c:scaling>
        <c:delete val="0"/>
        <c:axPos val="b"/>
        <c:numFmt formatCode="General" sourceLinked="1"/>
        <c:majorTickMark val="out"/>
        <c:minorTickMark val="none"/>
        <c:tickLblPos val="low"/>
        <c:txPr>
          <a:bodyPr/>
          <a:lstStyle/>
          <a:p>
            <a:pPr>
              <a:defRPr sz="900"/>
            </a:pPr>
            <a:endParaRPr lang="en-US"/>
          </a:p>
        </c:txPr>
        <c:crossAx val="434974720"/>
        <c:crosses val="autoZero"/>
        <c:auto val="1"/>
        <c:lblAlgn val="ctr"/>
        <c:lblOffset val="100"/>
        <c:noMultiLvlLbl val="0"/>
      </c:catAx>
      <c:valAx>
        <c:axId val="434974720"/>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433957120"/>
        <c:crosses val="autoZero"/>
        <c:crossBetween val="between"/>
      </c:valAx>
    </c:plotArea>
    <c:legend>
      <c:legendPos val="r"/>
      <c:layout>
        <c:manualLayout>
          <c:xMode val="edge"/>
          <c:yMode val="edge"/>
          <c:x val="1.312251766444192E-2"/>
          <c:y val="0.86942442963860311"/>
          <c:w val="0.96413793103448275"/>
          <c:h val="0.1305756531323264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7139780604335"/>
          <c:y val="4.1079906678331876E-2"/>
          <c:w val="0.784643986809341"/>
          <c:h val="0.76182298046077712"/>
        </c:manualLayout>
      </c:layout>
      <c:barChart>
        <c:barDir val="col"/>
        <c:grouping val="clustered"/>
        <c:varyColors val="0"/>
        <c:ser>
          <c:idx val="0"/>
          <c:order val="0"/>
          <c:tx>
            <c:strRef>
              <c:f>Sheet1!$B$1</c:f>
              <c:strCache>
                <c:ptCount val="1"/>
                <c:pt idx="0">
                  <c:v>Եկամուտներ</c:v>
                </c:pt>
              </c:strCache>
            </c:strRef>
          </c:tx>
          <c:spPr>
            <a:solidFill>
              <a:srgbClr val="FF0000"/>
            </a:solidFill>
            <a:ln>
              <a:no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Sheet1!$B$2:$B$7</c:f>
              <c:numCache>
                <c:formatCode>0.0</c:formatCode>
                <c:ptCount val="6"/>
                <c:pt idx="0">
                  <c:v>1237.7807658799998</c:v>
                </c:pt>
                <c:pt idx="1">
                  <c:v>1341.690590901</c:v>
                </c:pt>
                <c:pt idx="2">
                  <c:v>1565.4731594</c:v>
                </c:pt>
                <c:pt idx="3">
                  <c:v>1560.6553879319999</c:v>
                </c:pt>
                <c:pt idx="4">
                  <c:v>1656.9001472</c:v>
                </c:pt>
                <c:pt idx="5">
                  <c:v>1947.7840000000001</c:v>
                </c:pt>
              </c:numCache>
            </c:numRef>
          </c:val>
          <c:extLst>
            <c:ext xmlns:c16="http://schemas.microsoft.com/office/drawing/2014/chart" uri="{C3380CC4-5D6E-409C-BE32-E72D297353CC}">
              <c16:uniqueId val="{00000000-102F-4559-9DB3-F56AA555FD5B}"/>
            </c:ext>
          </c:extLst>
        </c:ser>
        <c:ser>
          <c:idx val="1"/>
          <c:order val="1"/>
          <c:tx>
            <c:strRef>
              <c:f>Sheet1!$C$1</c:f>
              <c:strCache>
                <c:ptCount val="1"/>
                <c:pt idx="0">
                  <c:v>Ծախսեր</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Sheet1!$C$2:$C$7</c:f>
              <c:numCache>
                <c:formatCode>0.0</c:formatCode>
                <c:ptCount val="6"/>
                <c:pt idx="0">
                  <c:v>1504.8022297</c:v>
                </c:pt>
                <c:pt idx="1">
                  <c:v>1447.0830114800001</c:v>
                </c:pt>
                <c:pt idx="2">
                  <c:v>1629.43686245</c:v>
                </c:pt>
                <c:pt idx="3">
                  <c:v>1894.6471421200001</c:v>
                </c:pt>
                <c:pt idx="4">
                  <c:v>1985.9873871100999</c:v>
                </c:pt>
                <c:pt idx="5">
                  <c:v>2184.04</c:v>
                </c:pt>
              </c:numCache>
            </c:numRef>
          </c:val>
          <c:extLst>
            <c:ext xmlns:c16="http://schemas.microsoft.com/office/drawing/2014/chart" uri="{C3380CC4-5D6E-409C-BE32-E72D297353CC}">
              <c16:uniqueId val="{00000001-102F-4559-9DB3-F56AA555FD5B}"/>
            </c:ext>
          </c:extLst>
        </c:ser>
        <c:ser>
          <c:idx val="2"/>
          <c:order val="2"/>
          <c:tx>
            <c:strRef>
              <c:f>Sheet1!$D$1</c:f>
              <c:strCache>
                <c:ptCount val="1"/>
                <c:pt idx="0">
                  <c:v>Պակասուրդ</c:v>
                </c:pt>
              </c:strCache>
            </c:strRef>
          </c:tx>
          <c:spPr>
            <a:solidFill>
              <a:srgbClr val="ED7D31"/>
            </a:solidFill>
            <a:ln w="31765" cap="rnd">
              <a:solidFill>
                <a:srgbClr val="ED7D31"/>
              </a:solidFill>
              <a:round/>
            </a:ln>
            <a:effectLst>
              <a:outerShdw blurRad="40000" dist="23000" dir="5400000" rotWithShape="0">
                <a:srgbClr val="000000">
                  <a:alpha val="35000"/>
                </a:srgbClr>
              </a:outerShdw>
            </a:effectLst>
          </c:spPr>
          <c:invertIfNegative val="0"/>
          <c:dLbls>
            <c:dLbl>
              <c:idx val="0"/>
              <c:layout>
                <c:manualLayout>
                  <c:x val="1.9586668320030991E-17"/>
                  <c:y val="3.24865945154915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02F-4559-9DB3-F56AA555FD5B}"/>
                </c:ext>
              </c:extLst>
            </c:dLbl>
            <c:dLbl>
              <c:idx val="1"/>
              <c:layout>
                <c:manualLayout>
                  <c:x val="-3.9173336640061982E-17"/>
                  <c:y val="2.377093639994027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02F-4559-9DB3-F56AA555FD5B}"/>
                </c:ext>
              </c:extLst>
            </c:dLbl>
            <c:dLbl>
              <c:idx val="3"/>
              <c:layout>
                <c:manualLayout>
                  <c:x val="0"/>
                  <c:y val="5.380359008522011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02F-4559-9DB3-F56AA555FD5B}"/>
                </c:ext>
              </c:extLst>
            </c:dLbl>
            <c:dLbl>
              <c:idx val="4"/>
              <c:layout>
                <c:manualLayout>
                  <c:x val="0"/>
                  <c:y val="2.58208015260228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02F-4559-9DB3-F56AA555FD5B}"/>
                </c:ext>
              </c:extLst>
            </c:dLbl>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Sheet1!$D$2:$D$7</c:f>
              <c:numCache>
                <c:formatCode>0.0</c:formatCode>
                <c:ptCount val="6"/>
                <c:pt idx="0">
                  <c:v>-267.02146382000024</c:v>
                </c:pt>
                <c:pt idx="1">
                  <c:v>-105.39242057900015</c:v>
                </c:pt>
                <c:pt idx="2">
                  <c:v>-63.963703050000049</c:v>
                </c:pt>
                <c:pt idx="3">
                  <c:v>-333.99175418800019</c:v>
                </c:pt>
                <c:pt idx="4">
                  <c:v>-329.08723991009992</c:v>
                </c:pt>
                <c:pt idx="5">
                  <c:v>-236.25599999999986</c:v>
                </c:pt>
              </c:numCache>
            </c:numRef>
          </c:val>
          <c:extLst>
            <c:ext xmlns:c16="http://schemas.microsoft.com/office/drawing/2014/chart" uri="{C3380CC4-5D6E-409C-BE32-E72D297353CC}">
              <c16:uniqueId val="{00000006-102F-4559-9DB3-F56AA555FD5B}"/>
            </c:ext>
          </c:extLst>
        </c:ser>
        <c:dLbls>
          <c:showLegendKey val="0"/>
          <c:showVal val="0"/>
          <c:showCatName val="0"/>
          <c:showSerName val="0"/>
          <c:showPercent val="0"/>
          <c:showBubbleSize val="0"/>
        </c:dLbls>
        <c:gapWidth val="150"/>
        <c:axId val="438916224"/>
        <c:axId val="438917760"/>
      </c:barChart>
      <c:catAx>
        <c:axId val="438916224"/>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438917760"/>
        <c:crosses val="autoZero"/>
        <c:auto val="1"/>
        <c:lblAlgn val="ctr"/>
        <c:lblOffset val="100"/>
        <c:noMultiLvlLbl val="0"/>
      </c:catAx>
      <c:valAx>
        <c:axId val="438917760"/>
        <c:scaling>
          <c:orientation val="minMax"/>
          <c:max val="2500"/>
          <c:min val="-500"/>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38916224"/>
        <c:crosses val="autoZero"/>
        <c:crossBetween val="between"/>
      </c:valAx>
      <c:spPr>
        <a:noFill/>
        <a:ln w="25412">
          <a:noFill/>
        </a:ln>
      </c:spPr>
    </c:plotArea>
    <c:legend>
      <c:legendPos val="b"/>
      <c:layout>
        <c:manualLayout>
          <c:xMode val="edge"/>
          <c:yMode val="edge"/>
          <c:x val="0.05"/>
          <c:y val="0.91428556430446195"/>
          <c:w val="0.9"/>
          <c:h val="8.5714435695538063E-2"/>
        </c:manualLayout>
      </c:layout>
      <c:overlay val="0"/>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46295207245282"/>
          <c:y val="5.203364604466193E-2"/>
          <c:w val="0.82012848918713577"/>
          <c:h val="0.72564276710820164"/>
        </c:manualLayout>
      </c:layout>
      <c:lineChart>
        <c:grouping val="standard"/>
        <c:varyColors val="0"/>
        <c:ser>
          <c:idx val="0"/>
          <c:order val="0"/>
          <c:tx>
            <c:strRef>
              <c:f>Sheet1!$B$1</c:f>
              <c:strCache>
                <c:ptCount val="1"/>
                <c:pt idx="0">
                  <c:v>Պակասուրդ, % ՀՆԱ-ում</c:v>
                </c:pt>
              </c:strCache>
            </c:strRef>
          </c:tx>
          <c:spPr>
            <a:ln>
              <a:solidFill>
                <a:srgbClr val="4472C4"/>
              </a:solidFill>
            </a:ln>
          </c:spPr>
          <c:marker>
            <c:spPr>
              <a:solidFill>
                <a:srgbClr val="4472C4"/>
              </a:solidFill>
              <a:ln>
                <a:solidFill>
                  <a:srgbClr val="4472C4"/>
                </a:solidFill>
              </a:ln>
            </c:spPr>
          </c:marker>
          <c:dLbls>
            <c:dLbl>
              <c:idx val="3"/>
              <c:layout>
                <c:manualLayout>
                  <c:x val="-6.0240963855421686E-2"/>
                  <c:y val="3.1111111111111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C89-45AC-9798-78E245E8B9B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Sheet1!$B$2:$B$7</c:f>
              <c:numCache>
                <c:formatCode>0.0</c:formatCode>
                <c:ptCount val="6"/>
                <c:pt idx="0">
                  <c:v>-4.7986662832355291</c:v>
                </c:pt>
                <c:pt idx="1">
                  <c:v>-1.7515672931246957</c:v>
                </c:pt>
                <c:pt idx="2">
                  <c:v>-0.97347611233608666</c:v>
                </c:pt>
                <c:pt idx="3">
                  <c:v>-5.4029424566760298</c:v>
                </c:pt>
                <c:pt idx="4">
                  <c:v>-4.6803993733598501</c:v>
                </c:pt>
                <c:pt idx="5">
                  <c:v>-3</c:v>
                </c:pt>
              </c:numCache>
            </c:numRef>
          </c:val>
          <c:smooth val="0"/>
          <c:extLst>
            <c:ext xmlns:c16="http://schemas.microsoft.com/office/drawing/2014/chart" uri="{C3380CC4-5D6E-409C-BE32-E72D297353CC}">
              <c16:uniqueId val="{00000001-4C89-45AC-9798-78E245E8B9B8}"/>
            </c:ext>
          </c:extLst>
        </c:ser>
        <c:ser>
          <c:idx val="1"/>
          <c:order val="1"/>
          <c:tx>
            <c:strRef>
              <c:f>Sheet1!$C$1</c:f>
              <c:strCache>
                <c:ptCount val="1"/>
                <c:pt idx="0">
                  <c:v>Առաջնային պակասուրդ, % ՀՆԱ-ում</c:v>
                </c:pt>
              </c:strCache>
            </c:strRef>
          </c:tx>
          <c:spPr>
            <a:ln w="12700" cap="rnd">
              <a:solidFill>
                <a:srgbClr val="FF0000"/>
              </a:solidFill>
              <a:prstDash val="dash"/>
              <a:round/>
            </a:ln>
            <a:effectLst>
              <a:outerShdw blurRad="40000" dist="23000" dir="5400000" rotWithShape="0">
                <a:srgbClr val="000000">
                  <a:alpha val="35000"/>
                </a:srgbClr>
              </a:outerShdw>
            </a:effectLst>
          </c:spPr>
          <c:marker>
            <c:symbol val="circle"/>
            <c:size val="5"/>
            <c:spPr>
              <a:solidFill>
                <a:srgbClr val="FF0000"/>
              </a:solidFill>
              <a:ln w="12700">
                <a:solidFill>
                  <a:srgbClr val="FF0000"/>
                </a:solidFill>
                <a:prstDash val="dash"/>
              </a:ln>
            </c:spPr>
          </c:marker>
          <c:dLbls>
            <c:dLbl>
              <c:idx val="3"/>
              <c:layout>
                <c:manualLayout>
                  <c:x val="-5.163511187607573E-2"/>
                  <c:y val="0.0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C89-45AC-9798-78E245E8B9B8}"/>
                </c:ext>
              </c:extLst>
            </c:dLbl>
            <c:spPr>
              <a:noFill/>
              <a:ln w="2541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Sheet1!$C$2:$C$7</c:f>
              <c:numCache>
                <c:formatCode>0.0</c:formatCode>
                <c:ptCount val="6"/>
                <c:pt idx="0">
                  <c:v>-2.6042112858685642</c:v>
                </c:pt>
                <c:pt idx="1">
                  <c:v>0.558788129758653</c:v>
                </c:pt>
                <c:pt idx="2">
                  <c:v>1.4247069774699335</c:v>
                </c:pt>
                <c:pt idx="3">
                  <c:v>-2.7375216629450994</c:v>
                </c:pt>
                <c:pt idx="4">
                  <c:v>-2.013554840569487</c:v>
                </c:pt>
                <c:pt idx="5">
                  <c:v>-0.3</c:v>
                </c:pt>
              </c:numCache>
            </c:numRef>
          </c:val>
          <c:smooth val="0"/>
          <c:extLst>
            <c:ext xmlns:c16="http://schemas.microsoft.com/office/drawing/2014/chart" uri="{C3380CC4-5D6E-409C-BE32-E72D297353CC}">
              <c16:uniqueId val="{00000003-4C89-45AC-9798-78E245E8B9B8}"/>
            </c:ext>
          </c:extLst>
        </c:ser>
        <c:dLbls>
          <c:showLegendKey val="0"/>
          <c:showVal val="0"/>
          <c:showCatName val="0"/>
          <c:showSerName val="0"/>
          <c:showPercent val="0"/>
          <c:showBubbleSize val="0"/>
        </c:dLbls>
        <c:marker val="1"/>
        <c:smooth val="0"/>
        <c:axId val="439182464"/>
        <c:axId val="439184000"/>
      </c:lineChart>
      <c:catAx>
        <c:axId val="439182464"/>
        <c:scaling>
          <c:orientation val="minMax"/>
        </c:scaling>
        <c:delete val="0"/>
        <c:axPos val="b"/>
        <c:numFmt formatCode="0" sourceLinked="1"/>
        <c:majorTickMark val="none"/>
        <c:minorTickMark val="none"/>
        <c:tickLblPos val="low"/>
        <c:spPr>
          <a:noFill/>
          <a:ln w="19050" cap="flat" cmpd="sng" algn="ctr">
            <a:solidFill>
              <a:srgbClr val="44546A">
                <a:lumMod val="15000"/>
                <a:lumOff val="85000"/>
              </a:srgbClr>
            </a:solidFill>
            <a:round/>
          </a:ln>
          <a:effectLst/>
        </c:spPr>
        <c:txPr>
          <a:bodyPr rot="-60000000" vert="horz"/>
          <a:lstStyle/>
          <a:p>
            <a:pPr>
              <a:defRPr/>
            </a:pPr>
            <a:endParaRPr lang="en-US"/>
          </a:p>
        </c:txPr>
        <c:crossAx val="439184000"/>
        <c:crosses val="autoZero"/>
        <c:auto val="1"/>
        <c:lblAlgn val="ctr"/>
        <c:lblOffset val="100"/>
        <c:noMultiLvlLbl val="0"/>
      </c:catAx>
      <c:valAx>
        <c:axId val="439184000"/>
        <c:scaling>
          <c:orientation val="minMax"/>
        </c:scaling>
        <c:delete val="0"/>
        <c:axPos val="l"/>
        <c:majorGridlines>
          <c:spPr>
            <a:ln w="12700" cap="flat" cmpd="sng" algn="ctr">
              <a:solidFill>
                <a:srgbClr val="44546A">
                  <a:lumMod val="15000"/>
                  <a:lumOff val="85000"/>
                </a:srgb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39182464"/>
        <c:crosses val="autoZero"/>
        <c:crossBetween val="between"/>
      </c:valAx>
      <c:spPr>
        <a:noFill/>
        <a:ln w="25400">
          <a:noFill/>
        </a:ln>
      </c:spPr>
    </c:plotArea>
    <c:legend>
      <c:legendPos val="b"/>
      <c:layout>
        <c:manualLayout>
          <c:xMode val="edge"/>
          <c:yMode val="edge"/>
          <c:x val="7.6856052056876012E-2"/>
          <c:y val="0.87435501653803793"/>
          <c:w val="0.82882226260179048"/>
          <c:h val="9.4774327409735307E-2"/>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Եկամուտների ազդակ</c:v>
                </c:pt>
              </c:strCache>
            </c:strRef>
          </c:tx>
          <c:spPr>
            <a:solidFill>
              <a:schemeClr val="accent1"/>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c:v>-1.22878</c:v>
                </c:pt>
                <c:pt idx="1">
                  <c:v>-1.1514899999999999</c:v>
                </c:pt>
                <c:pt idx="2">
                  <c:v>0.58936383739980469</c:v>
                </c:pt>
                <c:pt idx="3">
                  <c:v>0.24697799069423113</c:v>
                </c:pt>
                <c:pt idx="4">
                  <c:v>-0.9933968283033846</c:v>
                </c:pt>
              </c:numCache>
            </c:numRef>
          </c:val>
          <c:extLst>
            <c:ext xmlns:c16="http://schemas.microsoft.com/office/drawing/2014/chart" uri="{C3380CC4-5D6E-409C-BE32-E72D297353CC}">
              <c16:uniqueId val="{00000000-BEF2-487B-9295-DB27C4C13E1B}"/>
            </c:ext>
          </c:extLst>
        </c:ser>
        <c:ser>
          <c:idx val="1"/>
          <c:order val="1"/>
          <c:tx>
            <c:strRef>
              <c:f>Sheet1!$C$1</c:f>
              <c:strCache>
                <c:ptCount val="1"/>
                <c:pt idx="0">
                  <c:v>Ծախսերի ազդակ</c:v>
                </c:pt>
              </c:strCache>
            </c:strRef>
          </c:tx>
          <c:spPr>
            <a:solidFill>
              <a:schemeClr val="accent2"/>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-0.88339000000000001</c:v>
                </c:pt>
                <c:pt idx="1">
                  <c:v>1.069604</c:v>
                </c:pt>
                <c:pt idx="2">
                  <c:v>3.8052963944037281</c:v>
                </c:pt>
                <c:pt idx="3">
                  <c:v>-2.1772771979131278</c:v>
                </c:pt>
                <c:pt idx="4">
                  <c:v>0.97451503845431087</c:v>
                </c:pt>
              </c:numCache>
            </c:numRef>
          </c:val>
          <c:extLst>
            <c:ext xmlns:c16="http://schemas.microsoft.com/office/drawing/2014/chart" uri="{C3380CC4-5D6E-409C-BE32-E72D297353CC}">
              <c16:uniqueId val="{00000001-BEF2-487B-9295-DB27C4C13E1B}"/>
            </c:ext>
          </c:extLst>
        </c:ser>
        <c:dLbls>
          <c:showLegendKey val="0"/>
          <c:showVal val="0"/>
          <c:showCatName val="0"/>
          <c:showSerName val="0"/>
          <c:showPercent val="0"/>
          <c:showBubbleSize val="0"/>
        </c:dLbls>
        <c:gapWidth val="219"/>
        <c:axId val="442293632"/>
        <c:axId val="443028608"/>
      </c:barChart>
      <c:lineChart>
        <c:grouping val="standard"/>
        <c:varyColors val="0"/>
        <c:ser>
          <c:idx val="2"/>
          <c:order val="2"/>
          <c:tx>
            <c:strRef>
              <c:f>Sheet1!$D$1</c:f>
              <c:strCache>
                <c:ptCount val="1"/>
                <c:pt idx="0">
                  <c:v>Հարկաբյուջետային ազդակ</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0586362874853801E-3"/>
                  <c:y val="5.61707839955120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EF2-487B-9295-DB27C4C13E1B}"/>
                </c:ext>
              </c:extLst>
            </c:dLbl>
            <c:dLbl>
              <c:idx val="2"/>
              <c:layout>
                <c:manualLayout>
                  <c:x val="-3.1484168202379037E-2"/>
                  <c:y val="-5.06994450121215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EF2-487B-9295-DB27C4C13E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-2.1121599999999998</c:v>
                </c:pt>
                <c:pt idx="1">
                  <c:v>-8.1890000000000004E-2</c:v>
                </c:pt>
                <c:pt idx="2">
                  <c:v>4.3946602318035328</c:v>
                </c:pt>
                <c:pt idx="3">
                  <c:v>-1.9302992072188967</c:v>
                </c:pt>
                <c:pt idx="4">
                  <c:v>-1.8881789849073738E-2</c:v>
                </c:pt>
              </c:numCache>
            </c:numRef>
          </c:val>
          <c:smooth val="0"/>
          <c:extLst>
            <c:ext xmlns:c16="http://schemas.microsoft.com/office/drawing/2014/chart" uri="{C3380CC4-5D6E-409C-BE32-E72D297353CC}">
              <c16:uniqueId val="{00000004-BEF2-487B-9295-DB27C4C13E1B}"/>
            </c:ext>
          </c:extLst>
        </c:ser>
        <c:dLbls>
          <c:showLegendKey val="0"/>
          <c:showVal val="0"/>
          <c:showCatName val="0"/>
          <c:showSerName val="0"/>
          <c:showPercent val="0"/>
          <c:showBubbleSize val="0"/>
        </c:dLbls>
        <c:marker val="1"/>
        <c:smooth val="0"/>
        <c:axId val="442293632"/>
        <c:axId val="443028608"/>
      </c:lineChart>
      <c:catAx>
        <c:axId val="442293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3028608"/>
        <c:crosses val="autoZero"/>
        <c:auto val="1"/>
        <c:lblAlgn val="ctr"/>
        <c:lblOffset val="100"/>
        <c:noMultiLvlLbl val="0"/>
      </c:catAx>
      <c:valAx>
        <c:axId val="443028608"/>
        <c:scaling>
          <c:orientation val="minMax"/>
        </c:scaling>
        <c:delete val="0"/>
        <c:axPos val="l"/>
        <c:majorGridlines>
          <c:spPr>
            <a:ln w="317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2293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2362300089968"/>
          <c:y val="6.0752269779507137E-2"/>
          <c:w val="0.80235521125059406"/>
          <c:h val="0.65690492968534575"/>
        </c:manualLayout>
      </c:layout>
      <c:barChart>
        <c:barDir val="col"/>
        <c:grouping val="clustered"/>
        <c:varyColors val="0"/>
        <c:ser>
          <c:idx val="0"/>
          <c:order val="0"/>
          <c:tx>
            <c:strRef>
              <c:f>Sheet1!$B$1</c:f>
              <c:strCache>
                <c:ptCount val="1"/>
                <c:pt idx="0">
                  <c:v>Ընթացիկ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Sheet1!$B$2:$B$7</c:f>
              <c:numCache>
                <c:formatCode>0.0</c:formatCode>
                <c:ptCount val="6"/>
                <c:pt idx="0">
                  <c:v>22.777216374759576</c:v>
                </c:pt>
                <c:pt idx="1">
                  <c:v>21.588337472248789</c:v>
                </c:pt>
                <c:pt idx="2">
                  <c:v>21.877651055716242</c:v>
                </c:pt>
                <c:pt idx="3">
                  <c:v>26.990441339412151</c:v>
                </c:pt>
                <c:pt idx="4">
                  <c:v>25.062939859518735</c:v>
                </c:pt>
                <c:pt idx="5">
                  <c:v>23.4</c:v>
                </c:pt>
              </c:numCache>
            </c:numRef>
          </c:val>
          <c:extLst>
            <c:ext xmlns:c16="http://schemas.microsoft.com/office/drawing/2014/chart" uri="{C3380CC4-5D6E-409C-BE32-E72D297353CC}">
              <c16:uniqueId val="{00000000-8801-4D4C-A76D-70DFE33E661A}"/>
            </c:ext>
          </c:extLst>
        </c:ser>
        <c:dLbls>
          <c:showLegendKey val="0"/>
          <c:showVal val="0"/>
          <c:showCatName val="0"/>
          <c:showSerName val="0"/>
          <c:showPercent val="0"/>
          <c:showBubbleSize val="0"/>
        </c:dLbls>
        <c:gapWidth val="219"/>
        <c:overlap val="-27"/>
        <c:axId val="443351040"/>
        <c:axId val="443352576"/>
      </c:barChart>
      <c:lineChart>
        <c:grouping val="standard"/>
        <c:varyColors val="0"/>
        <c:ser>
          <c:idx val="1"/>
          <c:order val="1"/>
          <c:tx>
            <c:strRef>
              <c:f>Sheet1!$C$1</c:f>
              <c:strCache>
                <c:ptCount val="1"/>
                <c:pt idx="0">
                  <c:v>Հարկային եկամուտներ/ՀՆԱ%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Sheet1!$C$2:$C$7</c:f>
              <c:numCache>
                <c:formatCode>0.0</c:formatCode>
                <c:ptCount val="6"/>
                <c:pt idx="0">
                  <c:v>20.810311842409792</c:v>
                </c:pt>
                <c:pt idx="1">
                  <c:v>20.909320563240176</c:v>
                </c:pt>
                <c:pt idx="2">
                  <c:v>22.4</c:v>
                </c:pt>
                <c:pt idx="3">
                  <c:v>22.400763757595897</c:v>
                </c:pt>
                <c:pt idx="4">
                  <c:v>22.485551555964886</c:v>
                </c:pt>
                <c:pt idx="5">
                  <c:v>23.4</c:v>
                </c:pt>
              </c:numCache>
            </c:numRef>
          </c:val>
          <c:smooth val="0"/>
          <c:extLst>
            <c:ext xmlns:c16="http://schemas.microsoft.com/office/drawing/2014/chart" uri="{C3380CC4-5D6E-409C-BE32-E72D297353CC}">
              <c16:uniqueId val="{00000001-8801-4D4C-A76D-70DFE33E661A}"/>
            </c:ext>
          </c:extLst>
        </c:ser>
        <c:dLbls>
          <c:showLegendKey val="0"/>
          <c:showVal val="0"/>
          <c:showCatName val="0"/>
          <c:showSerName val="0"/>
          <c:showPercent val="0"/>
          <c:showBubbleSize val="0"/>
        </c:dLbls>
        <c:marker val="1"/>
        <c:smooth val="0"/>
        <c:axId val="443351040"/>
        <c:axId val="443352576"/>
      </c:lineChart>
      <c:catAx>
        <c:axId val="443351040"/>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443352576"/>
        <c:crosses val="autoZero"/>
        <c:auto val="1"/>
        <c:lblAlgn val="ctr"/>
        <c:lblOffset val="100"/>
        <c:noMultiLvlLbl val="0"/>
      </c:catAx>
      <c:valAx>
        <c:axId val="443352576"/>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43351040"/>
        <c:crosses val="autoZero"/>
        <c:crossBetween val="between"/>
      </c:valAx>
      <c:spPr>
        <a:noFill/>
        <a:ln w="25412">
          <a:noFill/>
        </a:ln>
      </c:spPr>
    </c:plotArea>
    <c:legend>
      <c:legendPos val="b"/>
      <c:layout>
        <c:manualLayout>
          <c:xMode val="edge"/>
          <c:yMode val="edge"/>
          <c:x val="4.0371417036737994E-2"/>
          <c:y val="0.87673156240085393"/>
          <c:w val="0.92533322313313981"/>
          <c:h val="0.12326843759914623"/>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2080812768812"/>
          <c:y val="6.3554952510176385E-2"/>
          <c:w val="0.8257706331319018"/>
          <c:h val="0.63564952617015436"/>
        </c:manualLayout>
      </c:layout>
      <c:barChart>
        <c:barDir val="col"/>
        <c:grouping val="clustered"/>
        <c:varyColors val="0"/>
        <c:ser>
          <c:idx val="1"/>
          <c:order val="1"/>
          <c:tx>
            <c:strRef>
              <c:f>Sheet1!$C$1</c:f>
              <c:strCache>
                <c:ptCount val="1"/>
                <c:pt idx="0">
                  <c:v>Ոչ ֆին. ակիվ.գծով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Sheet1!$C$2:$C$7</c:f>
              <c:numCache>
                <c:formatCode>0.0</c:formatCode>
                <c:ptCount val="6"/>
                <c:pt idx="0">
                  <c:v>4.2657172504817265</c:v>
                </c:pt>
                <c:pt idx="1">
                  <c:v>2.4614306175240586</c:v>
                </c:pt>
                <c:pt idx="2">
                  <c:v>2.9387820204716206</c:v>
                </c:pt>
                <c:pt idx="3">
                  <c:v>3.6590263681586981</c:v>
                </c:pt>
                <c:pt idx="4">
                  <c:v>3.1824882128153225</c:v>
                </c:pt>
                <c:pt idx="5">
                  <c:v>4.5</c:v>
                </c:pt>
              </c:numCache>
            </c:numRef>
          </c:val>
          <c:extLst>
            <c:ext xmlns:c16="http://schemas.microsoft.com/office/drawing/2014/chart" uri="{C3380CC4-5D6E-409C-BE32-E72D297353CC}">
              <c16:uniqueId val="{00000000-F5D1-4F78-945E-056A56507487}"/>
            </c:ext>
          </c:extLst>
        </c:ser>
        <c:dLbls>
          <c:showLegendKey val="0"/>
          <c:showVal val="0"/>
          <c:showCatName val="0"/>
          <c:showSerName val="0"/>
          <c:showPercent val="0"/>
          <c:showBubbleSize val="0"/>
        </c:dLbls>
        <c:gapWidth val="219"/>
        <c:axId val="443396864"/>
        <c:axId val="443398400"/>
      </c:barChart>
      <c:lineChart>
        <c:grouping val="standard"/>
        <c:varyColors val="0"/>
        <c:ser>
          <c:idx val="0"/>
          <c:order val="0"/>
          <c:tx>
            <c:strRef>
              <c:f>Sheet1!$B$1</c:f>
              <c:strCache>
                <c:ptCount val="1"/>
                <c:pt idx="0">
                  <c:v>Պակասուրդ/ՀՆԱ%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dLbl>
              <c:idx val="3"/>
              <c:layout>
                <c:manualLayout>
                  <c:x val="-6.4230924505450135E-2"/>
                  <c:y val="-5.02110971537120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5D1-4F78-945E-056A56507487}"/>
                </c:ext>
              </c:extLst>
            </c:dLbl>
            <c:dLbl>
              <c:idx val="5"/>
              <c:layout>
                <c:manualLayout>
                  <c:x val="-2.1166561496886059E-3"/>
                  <c:y val="2.48882615855093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5D1-4F78-945E-056A56507487}"/>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Sheet1!$B$2:$B$7</c:f>
              <c:numCache>
                <c:formatCode>0.0</c:formatCode>
                <c:ptCount val="6"/>
                <c:pt idx="0">
                  <c:v>4.7986662832355291</c:v>
                </c:pt>
                <c:pt idx="1">
                  <c:v>1.7515672931246957</c:v>
                </c:pt>
                <c:pt idx="2">
                  <c:v>0.973720551834374</c:v>
                </c:pt>
                <c:pt idx="3">
                  <c:v>5.4</c:v>
                </c:pt>
                <c:pt idx="4">
                  <c:v>4.7</c:v>
                </c:pt>
                <c:pt idx="5">
                  <c:v>3</c:v>
                </c:pt>
              </c:numCache>
            </c:numRef>
          </c:val>
          <c:smooth val="0"/>
          <c:extLst>
            <c:ext xmlns:c16="http://schemas.microsoft.com/office/drawing/2014/chart" uri="{C3380CC4-5D6E-409C-BE32-E72D297353CC}">
              <c16:uniqueId val="{00000003-F5D1-4F78-945E-056A56507487}"/>
            </c:ext>
          </c:extLst>
        </c:ser>
        <c:dLbls>
          <c:showLegendKey val="0"/>
          <c:showVal val="0"/>
          <c:showCatName val="0"/>
          <c:showSerName val="0"/>
          <c:showPercent val="0"/>
          <c:showBubbleSize val="0"/>
        </c:dLbls>
        <c:marker val="1"/>
        <c:smooth val="0"/>
        <c:axId val="443396864"/>
        <c:axId val="443398400"/>
      </c:lineChart>
      <c:catAx>
        <c:axId val="443396864"/>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443398400"/>
        <c:crosses val="autoZero"/>
        <c:auto val="1"/>
        <c:lblAlgn val="ctr"/>
        <c:lblOffset val="100"/>
        <c:noMultiLvlLbl val="0"/>
      </c:catAx>
      <c:valAx>
        <c:axId val="443398400"/>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43396864"/>
        <c:crosses val="autoZero"/>
        <c:crossBetween val="between"/>
      </c:valAx>
      <c:spPr>
        <a:noFill/>
        <a:ln w="25412">
          <a:noFill/>
        </a:ln>
      </c:spPr>
    </c:plotArea>
    <c:legend>
      <c:legendPos val="b"/>
      <c:layout>
        <c:manualLayout>
          <c:xMode val="edge"/>
          <c:yMode val="edge"/>
          <c:x val="0"/>
          <c:y val="0.8767285925196856"/>
          <c:w val="0.99584174404521597"/>
          <c:h val="0.123271407480315"/>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000" b="1">
                <a:solidFill>
                  <a:sysClr val="windowText" lastClr="000000"/>
                </a:solidFill>
                <a:latin typeface="GHEA Grapalat" panose="02000506050000020003" pitchFamily="50" charset="0"/>
              </a:rPr>
              <a:t>Կառավարության պարտքի</a:t>
            </a:r>
            <a:r>
              <a:rPr lang="hy-AM" sz="1000" b="1" baseline="0">
                <a:solidFill>
                  <a:sysClr val="windowText" lastClr="000000"/>
                </a:solidFill>
                <a:latin typeface="GHEA Grapalat" panose="02000506050000020003" pitchFamily="50" charset="0"/>
              </a:rPr>
              <a:t> դինամիկան</a:t>
            </a:r>
            <a:endParaRPr lang="en-US" sz="1000" b="1">
              <a:solidFill>
                <a:sysClr val="windowText" lastClr="000000"/>
              </a:solidFill>
              <a:latin typeface="GHEA Grapalat" panose="02000506050000020003" pitchFamily="50" charset="0"/>
            </a:endParaRPr>
          </a:p>
        </c:rich>
      </c:tx>
      <c:layout/>
      <c:overlay val="0"/>
      <c:spPr>
        <a:noFill/>
        <a:ln>
          <a:noFill/>
        </a:ln>
        <a:effectLst/>
      </c:spPr>
    </c:title>
    <c:autoTitleDeleted val="0"/>
    <c:plotArea>
      <c:layout/>
      <c:barChart>
        <c:barDir val="col"/>
        <c:grouping val="clustered"/>
        <c:varyColors val="0"/>
        <c:ser>
          <c:idx val="1"/>
          <c:order val="1"/>
          <c:tx>
            <c:strRef>
              <c:f>Sheet1!$C$1</c:f>
              <c:strCache>
                <c:ptCount val="1"/>
                <c:pt idx="0">
                  <c:v>ՀՀ կառավարության պարտք, մլրդ դրամ</c:v>
                </c:pt>
              </c:strCache>
            </c:strRef>
          </c:tx>
          <c:spPr>
            <a:solidFill>
              <a:schemeClr val="accent2"/>
            </a:solidFill>
            <a:ln>
              <a:noFill/>
            </a:ln>
            <a:effectLst/>
          </c:spPr>
          <c:invertIfNegative val="0"/>
          <c:cat>
            <c:numRef>
              <c:f>Sheet1!$A$2:$A$8</c:f>
              <c:numCache>
                <c:formatCode>General</c:formatCode>
                <c:ptCount val="6"/>
                <c:pt idx="0">
                  <c:v>2017</c:v>
                </c:pt>
                <c:pt idx="1">
                  <c:v>2018</c:v>
                </c:pt>
                <c:pt idx="2">
                  <c:v>2019</c:v>
                </c:pt>
                <c:pt idx="3">
                  <c:v>2020</c:v>
                </c:pt>
                <c:pt idx="4">
                  <c:v>2021</c:v>
                </c:pt>
                <c:pt idx="5">
                  <c:v>2022</c:v>
                </c:pt>
              </c:numCache>
            </c:numRef>
          </c:cat>
          <c:val>
            <c:numRef>
              <c:f>Sheet1!$C$2:$C$8</c:f>
              <c:numCache>
                <c:formatCode>0.0</c:formatCode>
                <c:ptCount val="6"/>
                <c:pt idx="0">
                  <c:v>2988.3796278717332</c:v>
                </c:pt>
                <c:pt idx="1">
                  <c:v>3082.8664640448101</c:v>
                </c:pt>
                <c:pt idx="2">
                  <c:v>3277.2813769668846</c:v>
                </c:pt>
                <c:pt idx="3">
                  <c:v>3923.8890671175195</c:v>
                </c:pt>
                <c:pt idx="4">
                  <c:v>4273.6889305744953</c:v>
                </c:pt>
                <c:pt idx="5">
                  <c:v>4740.1930014105183</c:v>
                </c:pt>
              </c:numCache>
            </c:numRef>
          </c:val>
          <c:extLst>
            <c:ext xmlns:c16="http://schemas.microsoft.com/office/drawing/2014/chart" uri="{C3380CC4-5D6E-409C-BE32-E72D297353CC}">
              <c16:uniqueId val="{00000000-B54A-4D68-BA50-EDF500D2831E}"/>
            </c:ext>
          </c:extLst>
        </c:ser>
        <c:dLbls>
          <c:showLegendKey val="0"/>
          <c:showVal val="0"/>
          <c:showCatName val="0"/>
          <c:showSerName val="0"/>
          <c:showPercent val="0"/>
          <c:showBubbleSize val="0"/>
        </c:dLbls>
        <c:gapWidth val="219"/>
        <c:axId val="444647296"/>
        <c:axId val="444648832"/>
      </c:barChart>
      <c:lineChart>
        <c:grouping val="standard"/>
        <c:varyColors val="0"/>
        <c:ser>
          <c:idx val="0"/>
          <c:order val="0"/>
          <c:tx>
            <c:strRef>
              <c:f>Sheet1!$B$1</c:f>
              <c:strCache>
                <c:ptCount val="1"/>
                <c:pt idx="0">
                  <c:v>Կառավարության պարտք/ՀՆԱ, %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6"/>
                <c:pt idx="0">
                  <c:v>2017</c:v>
                </c:pt>
                <c:pt idx="1">
                  <c:v>2018</c:v>
                </c:pt>
                <c:pt idx="2">
                  <c:v>2019</c:v>
                </c:pt>
                <c:pt idx="3">
                  <c:v>2020</c:v>
                </c:pt>
                <c:pt idx="4">
                  <c:v>2021</c:v>
                </c:pt>
                <c:pt idx="5">
                  <c:v>2022</c:v>
                </c:pt>
              </c:numCache>
            </c:numRef>
          </c:cat>
          <c:val>
            <c:numRef>
              <c:f>Sheet1!$B$2:$B$8</c:f>
              <c:numCache>
                <c:formatCode>0.0</c:formatCode>
                <c:ptCount val="6"/>
                <c:pt idx="0">
                  <c:v>53.704433930610207</c:v>
                </c:pt>
                <c:pt idx="1">
                  <c:v>51.235639506393603</c:v>
                </c:pt>
                <c:pt idx="2">
                  <c:v>49.890110777392067</c:v>
                </c:pt>
                <c:pt idx="3">
                  <c:v>63.476258231461003</c:v>
                </c:pt>
                <c:pt idx="4">
                  <c:v>60.781943569000163</c:v>
                </c:pt>
                <c:pt idx="5">
                  <c:v>60.235460876979104</c:v>
                </c:pt>
              </c:numCache>
            </c:numRef>
          </c:val>
          <c:smooth val="0"/>
          <c:extLst>
            <c:ext xmlns:c16="http://schemas.microsoft.com/office/drawing/2014/chart" uri="{C3380CC4-5D6E-409C-BE32-E72D297353CC}">
              <c16:uniqueId val="{00000001-B54A-4D68-BA50-EDF500D2831E}"/>
            </c:ext>
          </c:extLst>
        </c:ser>
        <c:dLbls>
          <c:showLegendKey val="0"/>
          <c:showVal val="0"/>
          <c:showCatName val="0"/>
          <c:showSerName val="0"/>
          <c:showPercent val="0"/>
          <c:showBubbleSize val="0"/>
        </c:dLbls>
        <c:marker val="1"/>
        <c:smooth val="0"/>
        <c:axId val="444652160"/>
        <c:axId val="444650624"/>
      </c:lineChart>
      <c:catAx>
        <c:axId val="4446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48832"/>
        <c:crosses val="autoZero"/>
        <c:auto val="1"/>
        <c:lblAlgn val="ctr"/>
        <c:lblOffset val="100"/>
        <c:noMultiLvlLbl val="0"/>
      </c:catAx>
      <c:valAx>
        <c:axId val="444648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47296"/>
        <c:crosses val="autoZero"/>
        <c:crossBetween val="between"/>
      </c:valAx>
      <c:valAx>
        <c:axId val="44465062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52160"/>
        <c:crosses val="max"/>
        <c:crossBetween val="between"/>
      </c:valAx>
      <c:catAx>
        <c:axId val="444652160"/>
        <c:scaling>
          <c:orientation val="minMax"/>
        </c:scaling>
        <c:delete val="1"/>
        <c:axPos val="b"/>
        <c:numFmt formatCode="General" sourceLinked="1"/>
        <c:majorTickMark val="out"/>
        <c:minorTickMark val="none"/>
        <c:tickLblPos val="none"/>
        <c:crossAx val="444650624"/>
        <c:crosses val="autoZero"/>
        <c:auto val="1"/>
        <c:lblAlgn val="ctr"/>
        <c:lblOffset val="100"/>
        <c:noMultiLvlLbl val="0"/>
      </c:catAx>
      <c:spPr>
        <a:noFill/>
        <a:ln>
          <a:noFill/>
        </a:ln>
        <a:effectLst/>
      </c:spPr>
    </c:plotArea>
    <c:legend>
      <c:legendPos val="b"/>
      <c:layout>
        <c:manualLayout>
          <c:xMode val="edge"/>
          <c:yMode val="edge"/>
          <c:x val="0"/>
          <c:y val="0.78088601993439488"/>
          <c:w val="0.99724612736660856"/>
          <c:h val="0.219113980065605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0479423532748"/>
          <c:y val="7.2968490878938891E-2"/>
          <c:w val="0.79172563256539785"/>
          <c:h val="0.56610718117510128"/>
        </c:manualLayout>
      </c:layout>
      <c:lineChart>
        <c:grouping val="standard"/>
        <c:varyColors val="0"/>
        <c:ser>
          <c:idx val="0"/>
          <c:order val="0"/>
          <c:tx>
            <c:strRef>
              <c:f>Sheet1!$B$1</c:f>
              <c:strCache>
                <c:ptCount val="1"/>
                <c:pt idx="0">
                  <c:v>S&amp;P 500 (ԱՄՆ)</c:v>
                </c:pt>
              </c:strCache>
            </c:strRef>
          </c:tx>
          <c:spPr>
            <a:ln w="28575" cap="rnd">
              <a:solidFill>
                <a:schemeClr val="accent1"/>
              </a:solidFill>
              <a:round/>
            </a:ln>
            <a:effectLst/>
          </c:spPr>
          <c:marker>
            <c:symbol val="none"/>
          </c:marker>
          <c:cat>
            <c:numRef>
              <c:f>Sheet1!$A$2:$A$672</c:f>
              <c:numCache>
                <c:formatCode>d\-mmm\-yy</c:formatCode>
                <c:ptCount val="671"/>
                <c:pt idx="0">
                  <c:v>43467</c:v>
                </c:pt>
                <c:pt idx="1">
                  <c:v>43468</c:v>
                </c:pt>
                <c:pt idx="2">
                  <c:v>43469</c:v>
                </c:pt>
                <c:pt idx="3">
                  <c:v>43472</c:v>
                </c:pt>
                <c:pt idx="4">
                  <c:v>43473</c:v>
                </c:pt>
                <c:pt idx="5">
                  <c:v>43474</c:v>
                </c:pt>
                <c:pt idx="6">
                  <c:v>43475</c:v>
                </c:pt>
                <c:pt idx="7">
                  <c:v>43476</c:v>
                </c:pt>
                <c:pt idx="8">
                  <c:v>43479</c:v>
                </c:pt>
                <c:pt idx="9">
                  <c:v>43480</c:v>
                </c:pt>
                <c:pt idx="10">
                  <c:v>43481</c:v>
                </c:pt>
                <c:pt idx="11">
                  <c:v>43482</c:v>
                </c:pt>
                <c:pt idx="12">
                  <c:v>43483</c:v>
                </c:pt>
                <c:pt idx="13">
                  <c:v>43487</c:v>
                </c:pt>
                <c:pt idx="14">
                  <c:v>43488</c:v>
                </c:pt>
                <c:pt idx="15">
                  <c:v>43489</c:v>
                </c:pt>
                <c:pt idx="16">
                  <c:v>43490</c:v>
                </c:pt>
                <c:pt idx="17">
                  <c:v>43493</c:v>
                </c:pt>
                <c:pt idx="18">
                  <c:v>43494</c:v>
                </c:pt>
                <c:pt idx="19">
                  <c:v>43495</c:v>
                </c:pt>
                <c:pt idx="20">
                  <c:v>43496</c:v>
                </c:pt>
                <c:pt idx="21">
                  <c:v>43497</c:v>
                </c:pt>
                <c:pt idx="22">
                  <c:v>43500</c:v>
                </c:pt>
                <c:pt idx="23">
                  <c:v>43501</c:v>
                </c:pt>
                <c:pt idx="24">
                  <c:v>43503</c:v>
                </c:pt>
                <c:pt idx="25">
                  <c:v>43504</c:v>
                </c:pt>
                <c:pt idx="26">
                  <c:v>43507</c:v>
                </c:pt>
                <c:pt idx="27">
                  <c:v>43508</c:v>
                </c:pt>
                <c:pt idx="28">
                  <c:v>43509</c:v>
                </c:pt>
                <c:pt idx="29">
                  <c:v>43510</c:v>
                </c:pt>
                <c:pt idx="30">
                  <c:v>43511</c:v>
                </c:pt>
                <c:pt idx="31">
                  <c:v>43515</c:v>
                </c:pt>
                <c:pt idx="32">
                  <c:v>43516</c:v>
                </c:pt>
                <c:pt idx="33">
                  <c:v>43517</c:v>
                </c:pt>
                <c:pt idx="34">
                  <c:v>43518</c:v>
                </c:pt>
                <c:pt idx="35">
                  <c:v>43521</c:v>
                </c:pt>
                <c:pt idx="36">
                  <c:v>43522</c:v>
                </c:pt>
                <c:pt idx="37">
                  <c:v>43523</c:v>
                </c:pt>
                <c:pt idx="38">
                  <c:v>43524</c:v>
                </c:pt>
                <c:pt idx="39">
                  <c:v>43525</c:v>
                </c:pt>
                <c:pt idx="40">
                  <c:v>43528</c:v>
                </c:pt>
                <c:pt idx="41">
                  <c:v>43529</c:v>
                </c:pt>
                <c:pt idx="42">
                  <c:v>43530</c:v>
                </c:pt>
                <c:pt idx="43">
                  <c:v>43531</c:v>
                </c:pt>
                <c:pt idx="44">
                  <c:v>43532</c:v>
                </c:pt>
                <c:pt idx="45">
                  <c:v>43535</c:v>
                </c:pt>
                <c:pt idx="46">
                  <c:v>43536</c:v>
                </c:pt>
                <c:pt idx="47">
                  <c:v>43537</c:v>
                </c:pt>
                <c:pt idx="48">
                  <c:v>43538</c:v>
                </c:pt>
                <c:pt idx="49">
                  <c:v>43539</c:v>
                </c:pt>
                <c:pt idx="50">
                  <c:v>43542</c:v>
                </c:pt>
                <c:pt idx="51">
                  <c:v>43543</c:v>
                </c:pt>
                <c:pt idx="52">
                  <c:v>43544</c:v>
                </c:pt>
                <c:pt idx="53">
                  <c:v>43545</c:v>
                </c:pt>
                <c:pt idx="54">
                  <c:v>43546</c:v>
                </c:pt>
                <c:pt idx="55">
                  <c:v>43549</c:v>
                </c:pt>
                <c:pt idx="56">
                  <c:v>43550</c:v>
                </c:pt>
                <c:pt idx="57">
                  <c:v>43551</c:v>
                </c:pt>
                <c:pt idx="58">
                  <c:v>43552</c:v>
                </c:pt>
                <c:pt idx="59">
                  <c:v>43553</c:v>
                </c:pt>
                <c:pt idx="60">
                  <c:v>43556</c:v>
                </c:pt>
                <c:pt idx="61">
                  <c:v>43557</c:v>
                </c:pt>
                <c:pt idx="62">
                  <c:v>43558</c:v>
                </c:pt>
                <c:pt idx="63">
                  <c:v>43559</c:v>
                </c:pt>
                <c:pt idx="64">
                  <c:v>43560</c:v>
                </c:pt>
                <c:pt idx="65">
                  <c:v>43563</c:v>
                </c:pt>
                <c:pt idx="66">
                  <c:v>43564</c:v>
                </c:pt>
                <c:pt idx="67">
                  <c:v>43565</c:v>
                </c:pt>
                <c:pt idx="68">
                  <c:v>43566</c:v>
                </c:pt>
                <c:pt idx="69">
                  <c:v>43567</c:v>
                </c:pt>
                <c:pt idx="70">
                  <c:v>43570</c:v>
                </c:pt>
                <c:pt idx="71">
                  <c:v>43571</c:v>
                </c:pt>
                <c:pt idx="72">
                  <c:v>43572</c:v>
                </c:pt>
                <c:pt idx="73">
                  <c:v>43573</c:v>
                </c:pt>
                <c:pt idx="74">
                  <c:v>43577</c:v>
                </c:pt>
                <c:pt idx="75">
                  <c:v>43578</c:v>
                </c:pt>
                <c:pt idx="76">
                  <c:v>43579</c:v>
                </c:pt>
                <c:pt idx="77">
                  <c:v>43580</c:v>
                </c:pt>
                <c:pt idx="78">
                  <c:v>43581</c:v>
                </c:pt>
                <c:pt idx="79">
                  <c:v>43584</c:v>
                </c:pt>
                <c:pt idx="80">
                  <c:v>43585</c:v>
                </c:pt>
                <c:pt idx="81">
                  <c:v>43586</c:v>
                </c:pt>
                <c:pt idx="82">
                  <c:v>43587</c:v>
                </c:pt>
                <c:pt idx="83">
                  <c:v>43588</c:v>
                </c:pt>
                <c:pt idx="84">
                  <c:v>43591</c:v>
                </c:pt>
                <c:pt idx="85">
                  <c:v>43592</c:v>
                </c:pt>
                <c:pt idx="86">
                  <c:v>43593</c:v>
                </c:pt>
                <c:pt idx="87">
                  <c:v>43594</c:v>
                </c:pt>
                <c:pt idx="88">
                  <c:v>43595</c:v>
                </c:pt>
                <c:pt idx="89">
                  <c:v>43598</c:v>
                </c:pt>
                <c:pt idx="90">
                  <c:v>43599</c:v>
                </c:pt>
                <c:pt idx="91">
                  <c:v>43600</c:v>
                </c:pt>
                <c:pt idx="92">
                  <c:v>43601</c:v>
                </c:pt>
                <c:pt idx="93">
                  <c:v>43602</c:v>
                </c:pt>
                <c:pt idx="94">
                  <c:v>43605</c:v>
                </c:pt>
                <c:pt idx="95">
                  <c:v>43606</c:v>
                </c:pt>
                <c:pt idx="96">
                  <c:v>43608</c:v>
                </c:pt>
                <c:pt idx="97">
                  <c:v>43609</c:v>
                </c:pt>
                <c:pt idx="98">
                  <c:v>43613</c:v>
                </c:pt>
                <c:pt idx="99">
                  <c:v>43614</c:v>
                </c:pt>
                <c:pt idx="100">
                  <c:v>43615</c:v>
                </c:pt>
                <c:pt idx="101">
                  <c:v>43616</c:v>
                </c:pt>
                <c:pt idx="102">
                  <c:v>43619</c:v>
                </c:pt>
                <c:pt idx="103">
                  <c:v>43620</c:v>
                </c:pt>
                <c:pt idx="104">
                  <c:v>43621</c:v>
                </c:pt>
                <c:pt idx="105">
                  <c:v>43622</c:v>
                </c:pt>
                <c:pt idx="106">
                  <c:v>43623</c:v>
                </c:pt>
                <c:pt idx="107">
                  <c:v>43626</c:v>
                </c:pt>
                <c:pt idx="108">
                  <c:v>43627</c:v>
                </c:pt>
                <c:pt idx="109">
                  <c:v>43628</c:v>
                </c:pt>
                <c:pt idx="110">
                  <c:v>43629</c:v>
                </c:pt>
                <c:pt idx="111">
                  <c:v>43630</c:v>
                </c:pt>
                <c:pt idx="112">
                  <c:v>43633</c:v>
                </c:pt>
                <c:pt idx="113">
                  <c:v>43634</c:v>
                </c:pt>
                <c:pt idx="114">
                  <c:v>43635</c:v>
                </c:pt>
                <c:pt idx="115">
                  <c:v>43636</c:v>
                </c:pt>
                <c:pt idx="116">
                  <c:v>43637</c:v>
                </c:pt>
                <c:pt idx="117">
                  <c:v>43640</c:v>
                </c:pt>
                <c:pt idx="118">
                  <c:v>43641</c:v>
                </c:pt>
                <c:pt idx="119">
                  <c:v>43642</c:v>
                </c:pt>
                <c:pt idx="120">
                  <c:v>43643</c:v>
                </c:pt>
                <c:pt idx="121">
                  <c:v>43644</c:v>
                </c:pt>
                <c:pt idx="122">
                  <c:v>43647</c:v>
                </c:pt>
                <c:pt idx="123">
                  <c:v>43648</c:v>
                </c:pt>
                <c:pt idx="124">
                  <c:v>43649</c:v>
                </c:pt>
                <c:pt idx="125">
                  <c:v>43651</c:v>
                </c:pt>
                <c:pt idx="126">
                  <c:v>43654</c:v>
                </c:pt>
                <c:pt idx="127">
                  <c:v>43655</c:v>
                </c:pt>
                <c:pt idx="128">
                  <c:v>43656</c:v>
                </c:pt>
                <c:pt idx="129">
                  <c:v>43657</c:v>
                </c:pt>
                <c:pt idx="130">
                  <c:v>43658</c:v>
                </c:pt>
                <c:pt idx="131">
                  <c:v>43661</c:v>
                </c:pt>
                <c:pt idx="132">
                  <c:v>43662</c:v>
                </c:pt>
                <c:pt idx="133">
                  <c:v>43663</c:v>
                </c:pt>
                <c:pt idx="134">
                  <c:v>43665</c:v>
                </c:pt>
                <c:pt idx="135">
                  <c:v>43668</c:v>
                </c:pt>
                <c:pt idx="136">
                  <c:v>43669</c:v>
                </c:pt>
                <c:pt idx="137">
                  <c:v>43670</c:v>
                </c:pt>
                <c:pt idx="138">
                  <c:v>43671</c:v>
                </c:pt>
                <c:pt idx="139">
                  <c:v>43672</c:v>
                </c:pt>
                <c:pt idx="140">
                  <c:v>43675</c:v>
                </c:pt>
                <c:pt idx="141">
                  <c:v>43676</c:v>
                </c:pt>
                <c:pt idx="142">
                  <c:v>43677</c:v>
                </c:pt>
                <c:pt idx="143">
                  <c:v>43678</c:v>
                </c:pt>
                <c:pt idx="144">
                  <c:v>43679</c:v>
                </c:pt>
                <c:pt idx="145">
                  <c:v>43682</c:v>
                </c:pt>
                <c:pt idx="146">
                  <c:v>43683</c:v>
                </c:pt>
                <c:pt idx="147">
                  <c:v>43684</c:v>
                </c:pt>
                <c:pt idx="148">
                  <c:v>43685</c:v>
                </c:pt>
                <c:pt idx="149">
                  <c:v>43686</c:v>
                </c:pt>
                <c:pt idx="150">
                  <c:v>43689</c:v>
                </c:pt>
                <c:pt idx="151">
                  <c:v>43690</c:v>
                </c:pt>
                <c:pt idx="152">
                  <c:v>43691</c:v>
                </c:pt>
                <c:pt idx="153">
                  <c:v>43692</c:v>
                </c:pt>
                <c:pt idx="154">
                  <c:v>43693</c:v>
                </c:pt>
                <c:pt idx="155">
                  <c:v>43696</c:v>
                </c:pt>
                <c:pt idx="156">
                  <c:v>43697</c:v>
                </c:pt>
                <c:pt idx="157">
                  <c:v>43698</c:v>
                </c:pt>
                <c:pt idx="158">
                  <c:v>43699</c:v>
                </c:pt>
                <c:pt idx="159">
                  <c:v>43700</c:v>
                </c:pt>
                <c:pt idx="160">
                  <c:v>43703</c:v>
                </c:pt>
                <c:pt idx="161">
                  <c:v>43704</c:v>
                </c:pt>
                <c:pt idx="162">
                  <c:v>43705</c:v>
                </c:pt>
                <c:pt idx="163">
                  <c:v>43706</c:v>
                </c:pt>
                <c:pt idx="164">
                  <c:v>43707</c:v>
                </c:pt>
                <c:pt idx="165">
                  <c:v>43711</c:v>
                </c:pt>
                <c:pt idx="166">
                  <c:v>43712</c:v>
                </c:pt>
                <c:pt idx="167">
                  <c:v>43713</c:v>
                </c:pt>
                <c:pt idx="168">
                  <c:v>43717</c:v>
                </c:pt>
                <c:pt idx="169">
                  <c:v>43718</c:v>
                </c:pt>
                <c:pt idx="170">
                  <c:v>43719</c:v>
                </c:pt>
                <c:pt idx="171">
                  <c:v>43720</c:v>
                </c:pt>
                <c:pt idx="172">
                  <c:v>43721</c:v>
                </c:pt>
                <c:pt idx="173">
                  <c:v>43724</c:v>
                </c:pt>
                <c:pt idx="174">
                  <c:v>43725</c:v>
                </c:pt>
                <c:pt idx="175">
                  <c:v>43726</c:v>
                </c:pt>
                <c:pt idx="176">
                  <c:v>43727</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43766</c:v>
                </c:pt>
                <c:pt idx="202">
                  <c:v>43767</c:v>
                </c:pt>
                <c:pt idx="203">
                  <c:v>43768</c:v>
                </c:pt>
                <c:pt idx="204">
                  <c:v>43770</c:v>
                </c:pt>
                <c:pt idx="205">
                  <c:v>43773</c:v>
                </c:pt>
                <c:pt idx="206">
                  <c:v>43774</c:v>
                </c:pt>
                <c:pt idx="207">
                  <c:v>43775</c:v>
                </c:pt>
                <c:pt idx="208">
                  <c:v>43776</c:v>
                </c:pt>
                <c:pt idx="209">
                  <c:v>43777</c:v>
                </c:pt>
                <c:pt idx="210">
                  <c:v>43780</c:v>
                </c:pt>
                <c:pt idx="211">
                  <c:v>43781</c:v>
                </c:pt>
                <c:pt idx="212">
                  <c:v>43782</c:v>
                </c:pt>
                <c:pt idx="213">
                  <c:v>43783</c:v>
                </c:pt>
                <c:pt idx="214">
                  <c:v>43784</c:v>
                </c:pt>
                <c:pt idx="215">
                  <c:v>43787</c:v>
                </c:pt>
                <c:pt idx="216">
                  <c:v>43788</c:v>
                </c:pt>
                <c:pt idx="217">
                  <c:v>43789</c:v>
                </c:pt>
                <c:pt idx="218">
                  <c:v>43790</c:v>
                </c:pt>
                <c:pt idx="219">
                  <c:v>43791</c:v>
                </c:pt>
                <c:pt idx="220">
                  <c:v>43794</c:v>
                </c:pt>
                <c:pt idx="221">
                  <c:v>43795</c:v>
                </c:pt>
                <c:pt idx="222">
                  <c:v>43796</c:v>
                </c:pt>
                <c:pt idx="223">
                  <c:v>43798</c:v>
                </c:pt>
                <c:pt idx="224">
                  <c:v>43801</c:v>
                </c:pt>
                <c:pt idx="225">
                  <c:v>43802</c:v>
                </c:pt>
                <c:pt idx="226">
                  <c:v>43803</c:v>
                </c:pt>
                <c:pt idx="227">
                  <c:v>43804</c:v>
                </c:pt>
                <c:pt idx="228">
                  <c:v>43805</c:v>
                </c:pt>
                <c:pt idx="229">
                  <c:v>43808</c:v>
                </c:pt>
                <c:pt idx="230">
                  <c:v>43809</c:v>
                </c:pt>
                <c:pt idx="231">
                  <c:v>43810</c:v>
                </c:pt>
                <c:pt idx="232">
                  <c:v>43811</c:v>
                </c:pt>
                <c:pt idx="233">
                  <c:v>43812</c:v>
                </c:pt>
                <c:pt idx="234">
                  <c:v>43815</c:v>
                </c:pt>
                <c:pt idx="235">
                  <c:v>43816</c:v>
                </c:pt>
                <c:pt idx="236">
                  <c:v>43817</c:v>
                </c:pt>
                <c:pt idx="237">
                  <c:v>43818</c:v>
                </c:pt>
                <c:pt idx="238">
                  <c:v>43819</c:v>
                </c:pt>
                <c:pt idx="239">
                  <c:v>43822</c:v>
                </c:pt>
                <c:pt idx="240">
                  <c:v>43825</c:v>
                </c:pt>
                <c:pt idx="241">
                  <c:v>43826</c:v>
                </c:pt>
                <c:pt idx="242">
                  <c:v>43829</c:v>
                </c:pt>
                <c:pt idx="243">
                  <c:v>43830</c:v>
                </c:pt>
                <c:pt idx="244">
                  <c:v>43832</c:v>
                </c:pt>
                <c:pt idx="245">
                  <c:v>43833</c:v>
                </c:pt>
                <c:pt idx="246">
                  <c:v>43836</c:v>
                </c:pt>
                <c:pt idx="247">
                  <c:v>43837</c:v>
                </c:pt>
                <c:pt idx="248">
                  <c:v>43838</c:v>
                </c:pt>
                <c:pt idx="249">
                  <c:v>43839</c:v>
                </c:pt>
                <c:pt idx="250">
                  <c:v>43840</c:v>
                </c:pt>
                <c:pt idx="251">
                  <c:v>43843</c:v>
                </c:pt>
                <c:pt idx="252">
                  <c:v>43844</c:v>
                </c:pt>
                <c:pt idx="253">
                  <c:v>43845</c:v>
                </c:pt>
                <c:pt idx="254">
                  <c:v>43846</c:v>
                </c:pt>
                <c:pt idx="255">
                  <c:v>43847</c:v>
                </c:pt>
                <c:pt idx="256">
                  <c:v>43851</c:v>
                </c:pt>
                <c:pt idx="257">
                  <c:v>43852</c:v>
                </c:pt>
                <c:pt idx="258">
                  <c:v>43853</c:v>
                </c:pt>
                <c:pt idx="259">
                  <c:v>43854</c:v>
                </c:pt>
                <c:pt idx="260">
                  <c:v>43857</c:v>
                </c:pt>
                <c:pt idx="261">
                  <c:v>43858</c:v>
                </c:pt>
                <c:pt idx="262">
                  <c:v>43859</c:v>
                </c:pt>
                <c:pt idx="263">
                  <c:v>43860</c:v>
                </c:pt>
                <c:pt idx="264">
                  <c:v>43861</c:v>
                </c:pt>
                <c:pt idx="265">
                  <c:v>43864</c:v>
                </c:pt>
                <c:pt idx="266">
                  <c:v>43865</c:v>
                </c:pt>
                <c:pt idx="267">
                  <c:v>43866</c:v>
                </c:pt>
                <c:pt idx="268">
                  <c:v>43867</c:v>
                </c:pt>
                <c:pt idx="269">
                  <c:v>43868</c:v>
                </c:pt>
                <c:pt idx="270">
                  <c:v>43871</c:v>
                </c:pt>
                <c:pt idx="271">
                  <c:v>43872</c:v>
                </c:pt>
                <c:pt idx="272">
                  <c:v>43873</c:v>
                </c:pt>
                <c:pt idx="273">
                  <c:v>43874</c:v>
                </c:pt>
                <c:pt idx="274">
                  <c:v>43875</c:v>
                </c:pt>
                <c:pt idx="275">
                  <c:v>43879</c:v>
                </c:pt>
                <c:pt idx="276">
                  <c:v>43880</c:v>
                </c:pt>
                <c:pt idx="277">
                  <c:v>43881</c:v>
                </c:pt>
                <c:pt idx="278">
                  <c:v>43882</c:v>
                </c:pt>
                <c:pt idx="279">
                  <c:v>43885</c:v>
                </c:pt>
                <c:pt idx="280">
                  <c:v>43886</c:v>
                </c:pt>
                <c:pt idx="281">
                  <c:v>43887</c:v>
                </c:pt>
                <c:pt idx="282">
                  <c:v>43888</c:v>
                </c:pt>
                <c:pt idx="283">
                  <c:v>43889</c:v>
                </c:pt>
                <c:pt idx="284">
                  <c:v>43892</c:v>
                </c:pt>
                <c:pt idx="285">
                  <c:v>43893</c:v>
                </c:pt>
                <c:pt idx="286">
                  <c:v>43894</c:v>
                </c:pt>
                <c:pt idx="287">
                  <c:v>43895</c:v>
                </c:pt>
                <c:pt idx="288">
                  <c:v>43896</c:v>
                </c:pt>
                <c:pt idx="289">
                  <c:v>43899</c:v>
                </c:pt>
                <c:pt idx="290">
                  <c:v>43900</c:v>
                </c:pt>
                <c:pt idx="291">
                  <c:v>43901</c:v>
                </c:pt>
                <c:pt idx="292">
                  <c:v>43902</c:v>
                </c:pt>
                <c:pt idx="293">
                  <c:v>43903</c:v>
                </c:pt>
                <c:pt idx="294">
                  <c:v>43906</c:v>
                </c:pt>
                <c:pt idx="295">
                  <c:v>43907</c:v>
                </c:pt>
                <c:pt idx="296">
                  <c:v>43908</c:v>
                </c:pt>
                <c:pt idx="297">
                  <c:v>43909</c:v>
                </c:pt>
                <c:pt idx="298">
                  <c:v>43910</c:v>
                </c:pt>
                <c:pt idx="299">
                  <c:v>43913</c:v>
                </c:pt>
                <c:pt idx="300">
                  <c:v>43914</c:v>
                </c:pt>
                <c:pt idx="301">
                  <c:v>43915</c:v>
                </c:pt>
                <c:pt idx="302">
                  <c:v>43916</c:v>
                </c:pt>
                <c:pt idx="303">
                  <c:v>43917</c:v>
                </c:pt>
                <c:pt idx="304">
                  <c:v>43920</c:v>
                </c:pt>
                <c:pt idx="305">
                  <c:v>43921</c:v>
                </c:pt>
                <c:pt idx="306">
                  <c:v>43922</c:v>
                </c:pt>
                <c:pt idx="307">
                  <c:v>43923</c:v>
                </c:pt>
                <c:pt idx="308">
                  <c:v>43924</c:v>
                </c:pt>
                <c:pt idx="309">
                  <c:v>43927</c:v>
                </c:pt>
                <c:pt idx="310">
                  <c:v>43928</c:v>
                </c:pt>
                <c:pt idx="311">
                  <c:v>43929</c:v>
                </c:pt>
                <c:pt idx="312">
                  <c:v>43930</c:v>
                </c:pt>
                <c:pt idx="313">
                  <c:v>43934</c:v>
                </c:pt>
                <c:pt idx="314">
                  <c:v>43935</c:v>
                </c:pt>
                <c:pt idx="315">
                  <c:v>43936</c:v>
                </c:pt>
                <c:pt idx="316">
                  <c:v>43937</c:v>
                </c:pt>
                <c:pt idx="317">
                  <c:v>43938</c:v>
                </c:pt>
                <c:pt idx="318">
                  <c:v>43941</c:v>
                </c:pt>
                <c:pt idx="319">
                  <c:v>43942</c:v>
                </c:pt>
                <c:pt idx="320">
                  <c:v>43943</c:v>
                </c:pt>
                <c:pt idx="321">
                  <c:v>43944</c:v>
                </c:pt>
                <c:pt idx="322">
                  <c:v>43945</c:v>
                </c:pt>
                <c:pt idx="323">
                  <c:v>43948</c:v>
                </c:pt>
                <c:pt idx="324">
                  <c:v>43949</c:v>
                </c:pt>
                <c:pt idx="325">
                  <c:v>43950</c:v>
                </c:pt>
                <c:pt idx="326">
                  <c:v>43951</c:v>
                </c:pt>
                <c:pt idx="327">
                  <c:v>43952</c:v>
                </c:pt>
                <c:pt idx="328">
                  <c:v>43955</c:v>
                </c:pt>
                <c:pt idx="329">
                  <c:v>43956</c:v>
                </c:pt>
                <c:pt idx="330">
                  <c:v>43957</c:v>
                </c:pt>
                <c:pt idx="331">
                  <c:v>43958</c:v>
                </c:pt>
                <c:pt idx="332">
                  <c:v>43959</c:v>
                </c:pt>
                <c:pt idx="333">
                  <c:v>43962</c:v>
                </c:pt>
                <c:pt idx="334">
                  <c:v>43963</c:v>
                </c:pt>
                <c:pt idx="335">
                  <c:v>43964</c:v>
                </c:pt>
                <c:pt idx="336">
                  <c:v>43965</c:v>
                </c:pt>
                <c:pt idx="337">
                  <c:v>43966</c:v>
                </c:pt>
                <c:pt idx="338">
                  <c:v>43969</c:v>
                </c:pt>
                <c:pt idx="339">
                  <c:v>43970</c:v>
                </c:pt>
                <c:pt idx="340">
                  <c:v>43971</c:v>
                </c:pt>
                <c:pt idx="341">
                  <c:v>43972</c:v>
                </c:pt>
                <c:pt idx="342">
                  <c:v>43973</c:v>
                </c:pt>
                <c:pt idx="343">
                  <c:v>43977</c:v>
                </c:pt>
                <c:pt idx="344">
                  <c:v>43978</c:v>
                </c:pt>
                <c:pt idx="345">
                  <c:v>43979</c:v>
                </c:pt>
                <c:pt idx="346">
                  <c:v>43980</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44018</c:v>
                </c:pt>
                <c:pt idx="372">
                  <c:v>44019</c:v>
                </c:pt>
                <c:pt idx="373">
                  <c:v>44020</c:v>
                </c:pt>
                <c:pt idx="374">
                  <c:v>44021</c:v>
                </c:pt>
                <c:pt idx="375">
                  <c:v>44022</c:v>
                </c:pt>
                <c:pt idx="376">
                  <c:v>44025</c:v>
                </c:pt>
                <c:pt idx="377">
                  <c:v>44026</c:v>
                </c:pt>
                <c:pt idx="378">
                  <c:v>44027</c:v>
                </c:pt>
                <c:pt idx="379">
                  <c:v>44028</c:v>
                </c:pt>
                <c:pt idx="380">
                  <c:v>44029</c:v>
                </c:pt>
                <c:pt idx="381">
                  <c:v>44032</c:v>
                </c:pt>
                <c:pt idx="382">
                  <c:v>44033</c:v>
                </c:pt>
                <c:pt idx="383">
                  <c:v>44034</c:v>
                </c:pt>
                <c:pt idx="384">
                  <c:v>44035</c:v>
                </c:pt>
                <c:pt idx="385">
                  <c:v>44036</c:v>
                </c:pt>
                <c:pt idx="386">
                  <c:v>44039</c:v>
                </c:pt>
                <c:pt idx="387">
                  <c:v>44040</c:v>
                </c:pt>
                <c:pt idx="388">
                  <c:v>44041</c:v>
                </c:pt>
                <c:pt idx="389">
                  <c:v>44042</c:v>
                </c:pt>
                <c:pt idx="390">
                  <c:v>44043</c:v>
                </c:pt>
                <c:pt idx="391">
                  <c:v>44046</c:v>
                </c:pt>
                <c:pt idx="392">
                  <c:v>44047</c:v>
                </c:pt>
                <c:pt idx="393">
                  <c:v>44048</c:v>
                </c:pt>
                <c:pt idx="394">
                  <c:v>44049</c:v>
                </c:pt>
                <c:pt idx="395">
                  <c:v>44050</c:v>
                </c:pt>
                <c:pt idx="396">
                  <c:v>44053</c:v>
                </c:pt>
                <c:pt idx="397">
                  <c:v>44054</c:v>
                </c:pt>
                <c:pt idx="398">
                  <c:v>44055</c:v>
                </c:pt>
                <c:pt idx="399">
                  <c:v>44056</c:v>
                </c:pt>
                <c:pt idx="400">
                  <c:v>44057</c:v>
                </c:pt>
                <c:pt idx="401">
                  <c:v>44060</c:v>
                </c:pt>
                <c:pt idx="402">
                  <c:v>44061</c:v>
                </c:pt>
                <c:pt idx="403">
                  <c:v>44062</c:v>
                </c:pt>
                <c:pt idx="404">
                  <c:v>44063</c:v>
                </c:pt>
                <c:pt idx="405">
                  <c:v>44064</c:v>
                </c:pt>
                <c:pt idx="406">
                  <c:v>44067</c:v>
                </c:pt>
                <c:pt idx="407">
                  <c:v>44068</c:v>
                </c:pt>
                <c:pt idx="408">
                  <c:v>44069</c:v>
                </c:pt>
                <c:pt idx="409">
                  <c:v>44070</c:v>
                </c:pt>
                <c:pt idx="410">
                  <c:v>44071</c:v>
                </c:pt>
                <c:pt idx="411">
                  <c:v>44074</c:v>
                </c:pt>
                <c:pt idx="412">
                  <c:v>44075</c:v>
                </c:pt>
                <c:pt idx="413">
                  <c:v>44076</c:v>
                </c:pt>
                <c:pt idx="414">
                  <c:v>44077</c:v>
                </c:pt>
                <c:pt idx="415">
                  <c:v>44078</c:v>
                </c:pt>
                <c:pt idx="416">
                  <c:v>44082</c:v>
                </c:pt>
                <c:pt idx="417">
                  <c:v>44083</c:v>
                </c:pt>
                <c:pt idx="418">
                  <c:v>44084</c:v>
                </c:pt>
                <c:pt idx="419">
                  <c:v>44085</c:v>
                </c:pt>
                <c:pt idx="420">
                  <c:v>44088</c:v>
                </c:pt>
                <c:pt idx="421">
                  <c:v>44089</c:v>
                </c:pt>
                <c:pt idx="422">
                  <c:v>44090</c:v>
                </c:pt>
                <c:pt idx="423">
                  <c:v>44091</c:v>
                </c:pt>
                <c:pt idx="424">
                  <c:v>44092</c:v>
                </c:pt>
                <c:pt idx="425">
                  <c:v>44095</c:v>
                </c:pt>
                <c:pt idx="426">
                  <c:v>44096</c:v>
                </c:pt>
                <c:pt idx="427">
                  <c:v>44097</c:v>
                </c:pt>
                <c:pt idx="428">
                  <c:v>44098</c:v>
                </c:pt>
                <c:pt idx="429">
                  <c:v>44099</c:v>
                </c:pt>
                <c:pt idx="430">
                  <c:v>44102</c:v>
                </c:pt>
                <c:pt idx="431">
                  <c:v>44103</c:v>
                </c:pt>
                <c:pt idx="432">
                  <c:v>44104</c:v>
                </c:pt>
                <c:pt idx="433">
                  <c:v>44105</c:v>
                </c:pt>
                <c:pt idx="434">
                  <c:v>44106</c:v>
                </c:pt>
                <c:pt idx="435">
                  <c:v>44109</c:v>
                </c:pt>
                <c:pt idx="436">
                  <c:v>44110</c:v>
                </c:pt>
                <c:pt idx="437">
                  <c:v>44111</c:v>
                </c:pt>
                <c:pt idx="438">
                  <c:v>44112</c:v>
                </c:pt>
                <c:pt idx="439">
                  <c:v>44113</c:v>
                </c:pt>
                <c:pt idx="440">
                  <c:v>44116</c:v>
                </c:pt>
                <c:pt idx="441">
                  <c:v>44117</c:v>
                </c:pt>
                <c:pt idx="442">
                  <c:v>44118</c:v>
                </c:pt>
                <c:pt idx="443">
                  <c:v>44119</c:v>
                </c:pt>
                <c:pt idx="444">
                  <c:v>44120</c:v>
                </c:pt>
                <c:pt idx="445">
                  <c:v>44123</c:v>
                </c:pt>
                <c:pt idx="446">
                  <c:v>44124</c:v>
                </c:pt>
                <c:pt idx="447">
                  <c:v>44125</c:v>
                </c:pt>
                <c:pt idx="448">
                  <c:v>44126</c:v>
                </c:pt>
                <c:pt idx="449">
                  <c:v>44127</c:v>
                </c:pt>
                <c:pt idx="450">
                  <c:v>44130</c:v>
                </c:pt>
                <c:pt idx="451">
                  <c:v>44131</c:v>
                </c:pt>
                <c:pt idx="452">
                  <c:v>44132</c:v>
                </c:pt>
                <c:pt idx="453">
                  <c:v>44133</c:v>
                </c:pt>
                <c:pt idx="454">
                  <c:v>44134</c:v>
                </c:pt>
                <c:pt idx="455">
                  <c:v>44137</c:v>
                </c:pt>
                <c:pt idx="456">
                  <c:v>44138</c:v>
                </c:pt>
                <c:pt idx="457">
                  <c:v>44139</c:v>
                </c:pt>
                <c:pt idx="458">
                  <c:v>44140</c:v>
                </c:pt>
                <c:pt idx="459">
                  <c:v>44141</c:v>
                </c:pt>
                <c:pt idx="460">
                  <c:v>44144</c:v>
                </c:pt>
                <c:pt idx="461">
                  <c:v>44145</c:v>
                </c:pt>
                <c:pt idx="462">
                  <c:v>44146</c:v>
                </c:pt>
                <c:pt idx="463">
                  <c:v>44147</c:v>
                </c:pt>
                <c:pt idx="464">
                  <c:v>44148</c:v>
                </c:pt>
                <c:pt idx="465">
                  <c:v>44151</c:v>
                </c:pt>
                <c:pt idx="466">
                  <c:v>44152</c:v>
                </c:pt>
                <c:pt idx="467">
                  <c:v>44153</c:v>
                </c:pt>
                <c:pt idx="468">
                  <c:v>44154</c:v>
                </c:pt>
                <c:pt idx="469">
                  <c:v>44155</c:v>
                </c:pt>
                <c:pt idx="470">
                  <c:v>44158</c:v>
                </c:pt>
                <c:pt idx="471">
                  <c:v>44159</c:v>
                </c:pt>
                <c:pt idx="472">
                  <c:v>44160</c:v>
                </c:pt>
                <c:pt idx="473">
                  <c:v>44162</c:v>
                </c:pt>
                <c:pt idx="474">
                  <c:v>44165</c:v>
                </c:pt>
                <c:pt idx="475">
                  <c:v>44166</c:v>
                </c:pt>
                <c:pt idx="476">
                  <c:v>44167</c:v>
                </c:pt>
                <c:pt idx="477">
                  <c:v>44168</c:v>
                </c:pt>
                <c:pt idx="478">
                  <c:v>44169</c:v>
                </c:pt>
                <c:pt idx="479">
                  <c:v>44172</c:v>
                </c:pt>
                <c:pt idx="480">
                  <c:v>44173</c:v>
                </c:pt>
                <c:pt idx="481">
                  <c:v>44174</c:v>
                </c:pt>
                <c:pt idx="482">
                  <c:v>44175</c:v>
                </c:pt>
                <c:pt idx="483">
                  <c:v>44176</c:v>
                </c:pt>
                <c:pt idx="484">
                  <c:v>44179</c:v>
                </c:pt>
                <c:pt idx="485">
                  <c:v>44180</c:v>
                </c:pt>
                <c:pt idx="486">
                  <c:v>44181</c:v>
                </c:pt>
                <c:pt idx="487">
                  <c:v>44182</c:v>
                </c:pt>
                <c:pt idx="488">
                  <c:v>44183</c:v>
                </c:pt>
                <c:pt idx="489">
                  <c:v>44186</c:v>
                </c:pt>
                <c:pt idx="490">
                  <c:v>44187</c:v>
                </c:pt>
                <c:pt idx="491">
                  <c:v>44188</c:v>
                </c:pt>
                <c:pt idx="492">
                  <c:v>44189</c:v>
                </c:pt>
                <c:pt idx="493">
                  <c:v>44193</c:v>
                </c:pt>
                <c:pt idx="494">
                  <c:v>44194</c:v>
                </c:pt>
                <c:pt idx="495">
                  <c:v>44195</c:v>
                </c:pt>
                <c:pt idx="496">
                  <c:v>44196</c:v>
                </c:pt>
                <c:pt idx="497">
                  <c:v>44200</c:v>
                </c:pt>
                <c:pt idx="498">
                  <c:v>44201</c:v>
                </c:pt>
                <c:pt idx="499">
                  <c:v>44202</c:v>
                </c:pt>
                <c:pt idx="500">
                  <c:v>44203</c:v>
                </c:pt>
                <c:pt idx="501">
                  <c:v>44204</c:v>
                </c:pt>
                <c:pt idx="502">
                  <c:v>44207</c:v>
                </c:pt>
                <c:pt idx="503">
                  <c:v>44208</c:v>
                </c:pt>
                <c:pt idx="504">
                  <c:v>44209</c:v>
                </c:pt>
                <c:pt idx="505">
                  <c:v>44210</c:v>
                </c:pt>
                <c:pt idx="506">
                  <c:v>44211</c:v>
                </c:pt>
                <c:pt idx="507">
                  <c:v>44215</c:v>
                </c:pt>
                <c:pt idx="508">
                  <c:v>44216</c:v>
                </c:pt>
                <c:pt idx="509">
                  <c:v>44217</c:v>
                </c:pt>
                <c:pt idx="510">
                  <c:v>44218</c:v>
                </c:pt>
                <c:pt idx="511">
                  <c:v>44221</c:v>
                </c:pt>
                <c:pt idx="512">
                  <c:v>44222</c:v>
                </c:pt>
                <c:pt idx="513">
                  <c:v>44223</c:v>
                </c:pt>
                <c:pt idx="514">
                  <c:v>44224</c:v>
                </c:pt>
                <c:pt idx="515">
                  <c:v>44225</c:v>
                </c:pt>
                <c:pt idx="516">
                  <c:v>44228</c:v>
                </c:pt>
                <c:pt idx="517">
                  <c:v>44229</c:v>
                </c:pt>
                <c:pt idx="518">
                  <c:v>44230</c:v>
                </c:pt>
                <c:pt idx="519">
                  <c:v>44231</c:v>
                </c:pt>
                <c:pt idx="520">
                  <c:v>44232</c:v>
                </c:pt>
                <c:pt idx="521">
                  <c:v>44235</c:v>
                </c:pt>
                <c:pt idx="522">
                  <c:v>44236</c:v>
                </c:pt>
                <c:pt idx="523">
                  <c:v>44237</c:v>
                </c:pt>
                <c:pt idx="524">
                  <c:v>44238</c:v>
                </c:pt>
                <c:pt idx="525">
                  <c:v>44239</c:v>
                </c:pt>
                <c:pt idx="526">
                  <c:v>44243</c:v>
                </c:pt>
                <c:pt idx="527">
                  <c:v>44244</c:v>
                </c:pt>
                <c:pt idx="528">
                  <c:v>44245</c:v>
                </c:pt>
                <c:pt idx="529">
                  <c:v>44246</c:v>
                </c:pt>
                <c:pt idx="530">
                  <c:v>44249</c:v>
                </c:pt>
                <c:pt idx="531">
                  <c:v>44250</c:v>
                </c:pt>
                <c:pt idx="532">
                  <c:v>44251</c:v>
                </c:pt>
                <c:pt idx="533">
                  <c:v>44252</c:v>
                </c:pt>
                <c:pt idx="534">
                  <c:v>44253</c:v>
                </c:pt>
                <c:pt idx="535">
                  <c:v>44256</c:v>
                </c:pt>
                <c:pt idx="536">
                  <c:v>44257</c:v>
                </c:pt>
                <c:pt idx="537">
                  <c:v>44258</c:v>
                </c:pt>
                <c:pt idx="538">
                  <c:v>44259</c:v>
                </c:pt>
                <c:pt idx="539">
                  <c:v>44260</c:v>
                </c:pt>
                <c:pt idx="540">
                  <c:v>44263</c:v>
                </c:pt>
                <c:pt idx="541">
                  <c:v>44264</c:v>
                </c:pt>
                <c:pt idx="542">
                  <c:v>44265</c:v>
                </c:pt>
                <c:pt idx="543">
                  <c:v>44266</c:v>
                </c:pt>
                <c:pt idx="544">
                  <c:v>44267</c:v>
                </c:pt>
                <c:pt idx="545">
                  <c:v>44270</c:v>
                </c:pt>
                <c:pt idx="546">
                  <c:v>44271</c:v>
                </c:pt>
                <c:pt idx="547">
                  <c:v>44272</c:v>
                </c:pt>
                <c:pt idx="548">
                  <c:v>44273</c:v>
                </c:pt>
                <c:pt idx="549">
                  <c:v>44274</c:v>
                </c:pt>
                <c:pt idx="550">
                  <c:v>44277</c:v>
                </c:pt>
                <c:pt idx="551">
                  <c:v>44278</c:v>
                </c:pt>
                <c:pt idx="552">
                  <c:v>44279</c:v>
                </c:pt>
                <c:pt idx="553">
                  <c:v>44280</c:v>
                </c:pt>
                <c:pt idx="554">
                  <c:v>44281</c:v>
                </c:pt>
                <c:pt idx="555">
                  <c:v>44284</c:v>
                </c:pt>
                <c:pt idx="556">
                  <c:v>44285</c:v>
                </c:pt>
                <c:pt idx="557">
                  <c:v>44286</c:v>
                </c:pt>
                <c:pt idx="558">
                  <c:v>44287</c:v>
                </c:pt>
                <c:pt idx="559">
                  <c:v>44291</c:v>
                </c:pt>
                <c:pt idx="560">
                  <c:v>44292</c:v>
                </c:pt>
                <c:pt idx="561">
                  <c:v>44293</c:v>
                </c:pt>
                <c:pt idx="562">
                  <c:v>44294</c:v>
                </c:pt>
                <c:pt idx="563">
                  <c:v>44295</c:v>
                </c:pt>
                <c:pt idx="564">
                  <c:v>44298</c:v>
                </c:pt>
                <c:pt idx="565">
                  <c:v>44299</c:v>
                </c:pt>
                <c:pt idx="566">
                  <c:v>44300</c:v>
                </c:pt>
                <c:pt idx="567">
                  <c:v>44301</c:v>
                </c:pt>
                <c:pt idx="568">
                  <c:v>44302</c:v>
                </c:pt>
                <c:pt idx="569">
                  <c:v>44305</c:v>
                </c:pt>
                <c:pt idx="570">
                  <c:v>44306</c:v>
                </c:pt>
                <c:pt idx="571">
                  <c:v>44307</c:v>
                </c:pt>
                <c:pt idx="572">
                  <c:v>44308</c:v>
                </c:pt>
                <c:pt idx="573">
                  <c:v>44309</c:v>
                </c:pt>
                <c:pt idx="574">
                  <c:v>44312</c:v>
                </c:pt>
                <c:pt idx="575">
                  <c:v>44313</c:v>
                </c:pt>
                <c:pt idx="576">
                  <c:v>44314</c:v>
                </c:pt>
                <c:pt idx="577">
                  <c:v>44315</c:v>
                </c:pt>
                <c:pt idx="578">
                  <c:v>44316</c:v>
                </c:pt>
                <c:pt idx="579">
                  <c:v>44319</c:v>
                </c:pt>
                <c:pt idx="580">
                  <c:v>44320</c:v>
                </c:pt>
                <c:pt idx="581">
                  <c:v>44321</c:v>
                </c:pt>
                <c:pt idx="582">
                  <c:v>44322</c:v>
                </c:pt>
                <c:pt idx="583">
                  <c:v>44323</c:v>
                </c:pt>
                <c:pt idx="584">
                  <c:v>44326</c:v>
                </c:pt>
                <c:pt idx="585">
                  <c:v>44327</c:v>
                </c:pt>
                <c:pt idx="586">
                  <c:v>44328</c:v>
                </c:pt>
                <c:pt idx="587">
                  <c:v>44329</c:v>
                </c:pt>
                <c:pt idx="588">
                  <c:v>44330</c:v>
                </c:pt>
                <c:pt idx="589">
                  <c:v>44333</c:v>
                </c:pt>
                <c:pt idx="590">
                  <c:v>44334</c:v>
                </c:pt>
                <c:pt idx="591">
                  <c:v>44335</c:v>
                </c:pt>
                <c:pt idx="592">
                  <c:v>44336</c:v>
                </c:pt>
                <c:pt idx="593">
                  <c:v>44337</c:v>
                </c:pt>
                <c:pt idx="594">
                  <c:v>44340</c:v>
                </c:pt>
                <c:pt idx="595">
                  <c:v>44341</c:v>
                </c:pt>
                <c:pt idx="596">
                  <c:v>44342</c:v>
                </c:pt>
                <c:pt idx="597">
                  <c:v>44343</c:v>
                </c:pt>
                <c:pt idx="598">
                  <c:v>44344</c:v>
                </c:pt>
                <c:pt idx="599">
                  <c:v>44348</c:v>
                </c:pt>
                <c:pt idx="600">
                  <c:v>44349</c:v>
                </c:pt>
                <c:pt idx="601">
                  <c:v>44350</c:v>
                </c:pt>
                <c:pt idx="602">
                  <c:v>44351</c:v>
                </c:pt>
                <c:pt idx="603">
                  <c:v>44354</c:v>
                </c:pt>
                <c:pt idx="604">
                  <c:v>44355</c:v>
                </c:pt>
                <c:pt idx="605">
                  <c:v>44356</c:v>
                </c:pt>
                <c:pt idx="606">
                  <c:v>44357</c:v>
                </c:pt>
                <c:pt idx="607">
                  <c:v>44358</c:v>
                </c:pt>
                <c:pt idx="608">
                  <c:v>44361</c:v>
                </c:pt>
                <c:pt idx="609">
                  <c:v>44362</c:v>
                </c:pt>
                <c:pt idx="610">
                  <c:v>44363</c:v>
                </c:pt>
                <c:pt idx="611">
                  <c:v>44364</c:v>
                </c:pt>
                <c:pt idx="612">
                  <c:v>44365</c:v>
                </c:pt>
                <c:pt idx="613">
                  <c:v>44368</c:v>
                </c:pt>
                <c:pt idx="614">
                  <c:v>44369</c:v>
                </c:pt>
                <c:pt idx="615">
                  <c:v>44370</c:v>
                </c:pt>
                <c:pt idx="616">
                  <c:v>44371</c:v>
                </c:pt>
                <c:pt idx="617">
                  <c:v>44372</c:v>
                </c:pt>
                <c:pt idx="618">
                  <c:v>44375</c:v>
                </c:pt>
                <c:pt idx="619">
                  <c:v>44376</c:v>
                </c:pt>
                <c:pt idx="620">
                  <c:v>44377</c:v>
                </c:pt>
                <c:pt idx="621">
                  <c:v>44378</c:v>
                </c:pt>
                <c:pt idx="622">
                  <c:v>44379</c:v>
                </c:pt>
                <c:pt idx="623">
                  <c:v>44383</c:v>
                </c:pt>
                <c:pt idx="624">
                  <c:v>44384</c:v>
                </c:pt>
                <c:pt idx="625">
                  <c:v>44385</c:v>
                </c:pt>
                <c:pt idx="626">
                  <c:v>44386</c:v>
                </c:pt>
                <c:pt idx="627">
                  <c:v>44389</c:v>
                </c:pt>
                <c:pt idx="628">
                  <c:v>44390</c:v>
                </c:pt>
                <c:pt idx="629">
                  <c:v>44391</c:v>
                </c:pt>
                <c:pt idx="630">
                  <c:v>44392</c:v>
                </c:pt>
                <c:pt idx="631">
                  <c:v>44393</c:v>
                </c:pt>
                <c:pt idx="632">
                  <c:v>44396</c:v>
                </c:pt>
                <c:pt idx="633">
                  <c:v>44397</c:v>
                </c:pt>
                <c:pt idx="634">
                  <c:v>44398</c:v>
                </c:pt>
                <c:pt idx="635">
                  <c:v>44399</c:v>
                </c:pt>
                <c:pt idx="636">
                  <c:v>44400</c:v>
                </c:pt>
                <c:pt idx="637">
                  <c:v>44403</c:v>
                </c:pt>
                <c:pt idx="638">
                  <c:v>44404</c:v>
                </c:pt>
                <c:pt idx="639">
                  <c:v>44405</c:v>
                </c:pt>
                <c:pt idx="640">
                  <c:v>44406</c:v>
                </c:pt>
                <c:pt idx="641">
                  <c:v>44407</c:v>
                </c:pt>
                <c:pt idx="642">
                  <c:v>44410</c:v>
                </c:pt>
                <c:pt idx="643">
                  <c:v>44411</c:v>
                </c:pt>
                <c:pt idx="644">
                  <c:v>44412</c:v>
                </c:pt>
                <c:pt idx="645">
                  <c:v>44413</c:v>
                </c:pt>
                <c:pt idx="646">
                  <c:v>44414</c:v>
                </c:pt>
                <c:pt idx="647">
                  <c:v>44417</c:v>
                </c:pt>
                <c:pt idx="648">
                  <c:v>44418</c:v>
                </c:pt>
                <c:pt idx="649">
                  <c:v>44419</c:v>
                </c:pt>
                <c:pt idx="650">
                  <c:v>44420</c:v>
                </c:pt>
                <c:pt idx="651">
                  <c:v>44421</c:v>
                </c:pt>
                <c:pt idx="652">
                  <c:v>44424</c:v>
                </c:pt>
                <c:pt idx="653">
                  <c:v>44425</c:v>
                </c:pt>
                <c:pt idx="654">
                  <c:v>44426</c:v>
                </c:pt>
                <c:pt idx="655">
                  <c:v>44427</c:v>
                </c:pt>
                <c:pt idx="656">
                  <c:v>44428</c:v>
                </c:pt>
                <c:pt idx="657">
                  <c:v>44431</c:v>
                </c:pt>
                <c:pt idx="658">
                  <c:v>44432</c:v>
                </c:pt>
                <c:pt idx="659">
                  <c:v>44433</c:v>
                </c:pt>
                <c:pt idx="660">
                  <c:v>44434</c:v>
                </c:pt>
                <c:pt idx="661">
                  <c:v>44435</c:v>
                </c:pt>
                <c:pt idx="662">
                  <c:v>44438</c:v>
                </c:pt>
                <c:pt idx="663">
                  <c:v>44439</c:v>
                </c:pt>
                <c:pt idx="664">
                  <c:v>44440</c:v>
                </c:pt>
                <c:pt idx="665">
                  <c:v>44441</c:v>
                </c:pt>
                <c:pt idx="666">
                  <c:v>44442</c:v>
                </c:pt>
                <c:pt idx="667">
                  <c:v>44446</c:v>
                </c:pt>
                <c:pt idx="668">
                  <c:v>44447</c:v>
                </c:pt>
                <c:pt idx="669">
                  <c:v>44448</c:v>
                </c:pt>
                <c:pt idx="670">
                  <c:v>44449</c:v>
                </c:pt>
              </c:numCache>
            </c:numRef>
          </c:cat>
          <c:val>
            <c:numRef>
              <c:f>Sheet1!$B$2:$B$672</c:f>
              <c:numCache>
                <c:formatCode>0.0</c:formatCode>
                <c:ptCount val="671"/>
                <c:pt idx="0">
                  <c:v>100</c:v>
                </c:pt>
                <c:pt idx="1">
                  <c:v>97.524332378497462</c:v>
                </c:pt>
                <c:pt idx="2">
                  <c:v>100.87289793349082</c:v>
                </c:pt>
                <c:pt idx="3">
                  <c:v>101.58006079608609</c:v>
                </c:pt>
                <c:pt idx="4">
                  <c:v>102.56490958275397</c:v>
                </c:pt>
                <c:pt idx="5">
                  <c:v>102.98522328418385</c:v>
                </c:pt>
                <c:pt idx="6">
                  <c:v>103.45055636785216</c:v>
                </c:pt>
                <c:pt idx="7">
                  <c:v>103.43541710656844</c:v>
                </c:pt>
                <c:pt idx="8">
                  <c:v>102.89159890519235</c:v>
                </c:pt>
                <c:pt idx="9">
                  <c:v>103.99477297084098</c:v>
                </c:pt>
                <c:pt idx="10">
                  <c:v>104.22584590622422</c:v>
                </c:pt>
                <c:pt idx="11">
                  <c:v>105.01707150910546</c:v>
                </c:pt>
                <c:pt idx="12">
                  <c:v>106.40151711334126</c:v>
                </c:pt>
                <c:pt idx="13">
                  <c:v>104.89516061561015</c:v>
                </c:pt>
                <c:pt idx="14">
                  <c:v>105.12623355099338</c:v>
                </c:pt>
                <c:pt idx="15">
                  <c:v>105.27085333641426</c:v>
                </c:pt>
                <c:pt idx="16">
                  <c:v>106.16446815376706</c:v>
                </c:pt>
                <c:pt idx="17">
                  <c:v>105.33141038154919</c:v>
                </c:pt>
                <c:pt idx="18">
                  <c:v>105.17802576064825</c:v>
                </c:pt>
                <c:pt idx="19">
                  <c:v>106.8134643809038</c:v>
                </c:pt>
                <c:pt idx="20">
                  <c:v>107.73178009824581</c:v>
                </c:pt>
                <c:pt idx="21">
                  <c:v>107.82859169013913</c:v>
                </c:pt>
                <c:pt idx="22">
                  <c:v>108.55926024788545</c:v>
                </c:pt>
                <c:pt idx="23">
                  <c:v>109.07040951701768</c:v>
                </c:pt>
                <c:pt idx="24">
                  <c:v>108.8277829348653</c:v>
                </c:pt>
                <c:pt idx="25">
                  <c:v>107.80946841272811</c:v>
                </c:pt>
                <c:pt idx="26">
                  <c:v>107.88237590785764</c:v>
                </c:pt>
                <c:pt idx="27">
                  <c:v>107.95886901750175</c:v>
                </c:pt>
                <c:pt idx="28">
                  <c:v>109.35048585076667</c:v>
                </c:pt>
                <c:pt idx="29">
                  <c:v>109.68115918933235</c:v>
                </c:pt>
                <c:pt idx="30">
                  <c:v>109.39032601203964</c:v>
                </c:pt>
                <c:pt idx="31">
                  <c:v>110.58035162926333</c:v>
                </c:pt>
                <c:pt idx="32">
                  <c:v>110.74608670015891</c:v>
                </c:pt>
                <c:pt idx="33">
                  <c:v>110.94289709684737</c:v>
                </c:pt>
                <c:pt idx="34">
                  <c:v>110.55166671314679</c:v>
                </c:pt>
                <c:pt idx="35">
                  <c:v>111.26042318219298</c:v>
                </c:pt>
                <c:pt idx="36">
                  <c:v>111.39747333697201</c:v>
                </c:pt>
                <c:pt idx="37">
                  <c:v>111.30942658055874</c:v>
                </c:pt>
                <c:pt idx="38">
                  <c:v>111.24886953542382</c:v>
                </c:pt>
                <c:pt idx="39">
                  <c:v>110.93453066298005</c:v>
                </c:pt>
                <c:pt idx="40">
                  <c:v>111.69946175942114</c:v>
                </c:pt>
                <c:pt idx="41">
                  <c:v>111.2660008047712</c:v>
                </c:pt>
                <c:pt idx="42">
                  <c:v>111.14010589514861</c:v>
                </c:pt>
                <c:pt idx="43">
                  <c:v>110.41501495998048</c:v>
                </c:pt>
                <c:pt idx="44">
                  <c:v>109.51781452811313</c:v>
                </c:pt>
                <c:pt idx="45">
                  <c:v>109.28435118305353</c:v>
                </c:pt>
                <c:pt idx="46">
                  <c:v>110.88712087106522</c:v>
                </c:pt>
                <c:pt idx="47">
                  <c:v>111.21460699672906</c:v>
                </c:pt>
                <c:pt idx="48">
                  <c:v>111.98750612542473</c:v>
                </c:pt>
                <c:pt idx="49">
                  <c:v>111.89029613191867</c:v>
                </c:pt>
                <c:pt idx="50">
                  <c:v>112.4480583897403</c:v>
                </c:pt>
                <c:pt idx="51">
                  <c:v>112.8647864766556</c:v>
                </c:pt>
                <c:pt idx="52">
                  <c:v>112.8500456169846</c:v>
                </c:pt>
                <c:pt idx="53">
                  <c:v>112.517778671968</c:v>
                </c:pt>
                <c:pt idx="54">
                  <c:v>113.73887961498463</c:v>
                </c:pt>
                <c:pt idx="55">
                  <c:v>111.58073807882768</c:v>
                </c:pt>
                <c:pt idx="56">
                  <c:v>111.4871136998362</c:v>
                </c:pt>
                <c:pt idx="57">
                  <c:v>112.28790094142295</c:v>
                </c:pt>
                <c:pt idx="58">
                  <c:v>111.76639323035972</c:v>
                </c:pt>
                <c:pt idx="59">
                  <c:v>112.16758365437857</c:v>
                </c:pt>
                <c:pt idx="60">
                  <c:v>112.92295311211414</c:v>
                </c:pt>
                <c:pt idx="61">
                  <c:v>114.22931200025494</c:v>
                </c:pt>
                <c:pt idx="62">
                  <c:v>114.23130400831856</c:v>
                </c:pt>
                <c:pt idx="63">
                  <c:v>114.47671940176008</c:v>
                </c:pt>
                <c:pt idx="64">
                  <c:v>114.71536196778519</c:v>
                </c:pt>
                <c:pt idx="65">
                  <c:v>115.24722812077935</c:v>
                </c:pt>
                <c:pt idx="66">
                  <c:v>115.36794380943647</c:v>
                </c:pt>
                <c:pt idx="67">
                  <c:v>114.66795217587033</c:v>
                </c:pt>
                <c:pt idx="68">
                  <c:v>115.06675219021278</c:v>
                </c:pt>
                <c:pt idx="69">
                  <c:v>115.07113460795281</c:v>
                </c:pt>
                <c:pt idx="70">
                  <c:v>115.83168328665384</c:v>
                </c:pt>
                <c:pt idx="71">
                  <c:v>115.7587757915243</c:v>
                </c:pt>
                <c:pt idx="72">
                  <c:v>115.81773923020829</c:v>
                </c:pt>
                <c:pt idx="73">
                  <c:v>115.55439576419393</c:v>
                </c:pt>
                <c:pt idx="74">
                  <c:v>115.73686370282415</c:v>
                </c:pt>
                <c:pt idx="75">
                  <c:v>115.85399377696669</c:v>
                </c:pt>
                <c:pt idx="76">
                  <c:v>116.87828432329482</c:v>
                </c:pt>
                <c:pt idx="77">
                  <c:v>116.62211208630961</c:v>
                </c:pt>
                <c:pt idx="78">
                  <c:v>116.5790847121348</c:v>
                </c:pt>
                <c:pt idx="79">
                  <c:v>117.12529332318726</c:v>
                </c:pt>
                <c:pt idx="80">
                  <c:v>117.25078983119712</c:v>
                </c:pt>
                <c:pt idx="81">
                  <c:v>117.36234228276143</c:v>
                </c:pt>
                <c:pt idx="82">
                  <c:v>116.48187471862873</c:v>
                </c:pt>
                <c:pt idx="83">
                  <c:v>116.23446731712356</c:v>
                </c:pt>
                <c:pt idx="84">
                  <c:v>117.35477265211955</c:v>
                </c:pt>
                <c:pt idx="85">
                  <c:v>116.83007772815449</c:v>
                </c:pt>
                <c:pt idx="86">
                  <c:v>114.90101711931717</c:v>
                </c:pt>
                <c:pt idx="87">
                  <c:v>114.7165571726233</c:v>
                </c:pt>
                <c:pt idx="88">
                  <c:v>114.36994776954842</c:v>
                </c:pt>
                <c:pt idx="89">
                  <c:v>114.7954406919438</c:v>
                </c:pt>
                <c:pt idx="90">
                  <c:v>112.025354278634</c:v>
                </c:pt>
                <c:pt idx="91">
                  <c:v>112.92335151372681</c:v>
                </c:pt>
                <c:pt idx="92">
                  <c:v>113.58270618279451</c:v>
                </c:pt>
                <c:pt idx="93">
                  <c:v>114.59305267267712</c:v>
                </c:pt>
                <c:pt idx="94">
                  <c:v>113.9241363649039</c:v>
                </c:pt>
                <c:pt idx="95">
                  <c:v>113.15522125233552</c:v>
                </c:pt>
                <c:pt idx="96">
                  <c:v>114.11656434385236</c:v>
                </c:pt>
                <c:pt idx="97">
                  <c:v>113.79425743915399</c:v>
                </c:pt>
                <c:pt idx="98">
                  <c:v>112.43849675103472</c:v>
                </c:pt>
                <c:pt idx="99">
                  <c:v>112.59068616709747</c:v>
                </c:pt>
                <c:pt idx="100">
                  <c:v>111.64766954976621</c:v>
                </c:pt>
                <c:pt idx="101">
                  <c:v>110.87596562590872</c:v>
                </c:pt>
                <c:pt idx="102">
                  <c:v>111.10863216774288</c:v>
                </c:pt>
                <c:pt idx="103">
                  <c:v>109.64251423289747</c:v>
                </c:pt>
                <c:pt idx="104">
                  <c:v>109.33933060561014</c:v>
                </c:pt>
                <c:pt idx="105">
                  <c:v>111.68272889168641</c:v>
                </c:pt>
                <c:pt idx="106">
                  <c:v>112.59427178161202</c:v>
                </c:pt>
                <c:pt idx="107">
                  <c:v>113.28510017808537</c:v>
                </c:pt>
                <c:pt idx="108">
                  <c:v>114.47432899208363</c:v>
                </c:pt>
                <c:pt idx="109">
                  <c:v>115.00778875152874</c:v>
                </c:pt>
                <c:pt idx="110">
                  <c:v>114.96755018864303</c:v>
                </c:pt>
                <c:pt idx="111">
                  <c:v>114.73329004035796</c:v>
                </c:pt>
                <c:pt idx="112">
                  <c:v>115.20340394337902</c:v>
                </c:pt>
                <c:pt idx="113">
                  <c:v>115.01774879184697</c:v>
                </c:pt>
                <c:pt idx="114">
                  <c:v>115.12491882567127</c:v>
                </c:pt>
                <c:pt idx="115">
                  <c:v>116.24363055421635</c:v>
                </c:pt>
                <c:pt idx="116">
                  <c:v>116.59063835890393</c:v>
                </c:pt>
                <c:pt idx="117">
                  <c:v>117.69500762939072</c:v>
                </c:pt>
                <c:pt idx="118">
                  <c:v>117.54680222945527</c:v>
                </c:pt>
                <c:pt idx="119">
                  <c:v>117.34321900535038</c:v>
                </c:pt>
                <c:pt idx="120">
                  <c:v>116.22888969454534</c:v>
                </c:pt>
                <c:pt idx="121">
                  <c:v>116.08546511396264</c:v>
                </c:pt>
                <c:pt idx="122">
                  <c:v>116.52928451054355</c:v>
                </c:pt>
                <c:pt idx="123">
                  <c:v>117.20019282638042</c:v>
                </c:pt>
                <c:pt idx="124">
                  <c:v>118.0993852663114</c:v>
                </c:pt>
                <c:pt idx="125">
                  <c:v>118.44519786616081</c:v>
                </c:pt>
                <c:pt idx="126">
                  <c:v>119.35395194479732</c:v>
                </c:pt>
                <c:pt idx="127">
                  <c:v>119.13841667231051</c:v>
                </c:pt>
                <c:pt idx="128">
                  <c:v>118.56232794030332</c:v>
                </c:pt>
                <c:pt idx="129">
                  <c:v>118.70893973378787</c:v>
                </c:pt>
                <c:pt idx="130">
                  <c:v>119.24439150129663</c:v>
                </c:pt>
                <c:pt idx="131">
                  <c:v>119.51689820440376</c:v>
                </c:pt>
                <c:pt idx="132">
                  <c:v>120.06908283964718</c:v>
                </c:pt>
                <c:pt idx="133">
                  <c:v>120.09019812512186</c:v>
                </c:pt>
                <c:pt idx="134">
                  <c:v>119.68143807046114</c:v>
                </c:pt>
                <c:pt idx="135">
                  <c:v>118.89977410628542</c:v>
                </c:pt>
                <c:pt idx="136">
                  <c:v>119.3256654302935</c:v>
                </c:pt>
                <c:pt idx="137">
                  <c:v>118.5886224467435</c:v>
                </c:pt>
                <c:pt idx="138">
                  <c:v>118.92407660466195</c:v>
                </c:pt>
                <c:pt idx="139">
                  <c:v>119.73840950108151</c:v>
                </c:pt>
                <c:pt idx="140">
                  <c:v>120.29975737341771</c:v>
                </c:pt>
                <c:pt idx="141">
                  <c:v>119.66669721079018</c:v>
                </c:pt>
                <c:pt idx="142">
                  <c:v>120.55075038943745</c:v>
                </c:pt>
                <c:pt idx="143">
                  <c:v>120.3559320008126</c:v>
                </c:pt>
                <c:pt idx="144">
                  <c:v>120.04557714449615</c:v>
                </c:pt>
                <c:pt idx="145">
                  <c:v>118.73881985474266</c:v>
                </c:pt>
                <c:pt idx="146">
                  <c:v>117.67030672940153</c:v>
                </c:pt>
                <c:pt idx="147">
                  <c:v>116.8133448604199</c:v>
                </c:pt>
                <c:pt idx="148">
                  <c:v>113.33490037967664</c:v>
                </c:pt>
                <c:pt idx="149">
                  <c:v>114.81018155161482</c:v>
                </c:pt>
                <c:pt idx="150">
                  <c:v>114.8982283080281</c:v>
                </c:pt>
                <c:pt idx="151">
                  <c:v>117.05397943450866</c:v>
                </c:pt>
                <c:pt idx="152">
                  <c:v>116.27948669936207</c:v>
                </c:pt>
                <c:pt idx="153">
                  <c:v>114.88906507093532</c:v>
                </c:pt>
                <c:pt idx="154">
                  <c:v>116.58506073632577</c:v>
                </c:pt>
                <c:pt idx="155">
                  <c:v>113.16996211200654</c:v>
                </c:pt>
                <c:pt idx="156">
                  <c:v>113.44884324091734</c:v>
                </c:pt>
                <c:pt idx="157">
                  <c:v>115.08547706601107</c:v>
                </c:pt>
                <c:pt idx="158">
                  <c:v>116.47868750572695</c:v>
                </c:pt>
                <c:pt idx="159">
                  <c:v>115.55678617387036</c:v>
                </c:pt>
                <c:pt idx="160">
                  <c:v>116.50976283151985</c:v>
                </c:pt>
                <c:pt idx="161">
                  <c:v>116.45079939283586</c:v>
                </c:pt>
                <c:pt idx="162">
                  <c:v>113.42932156189362</c:v>
                </c:pt>
                <c:pt idx="163">
                  <c:v>114.67512340489948</c:v>
                </c:pt>
                <c:pt idx="164">
                  <c:v>114.30779711796266</c:v>
                </c:pt>
                <c:pt idx="165">
                  <c:v>115.05599534666909</c:v>
                </c:pt>
                <c:pt idx="166">
                  <c:v>116.51573885571082</c:v>
                </c:pt>
                <c:pt idx="167">
                  <c:v>116.59063835890403</c:v>
                </c:pt>
                <c:pt idx="168">
                  <c:v>115.78626550280271</c:v>
                </c:pt>
                <c:pt idx="169">
                  <c:v>117.04162898451408</c:v>
                </c:pt>
                <c:pt idx="170">
                  <c:v>118.56431994836709</c:v>
                </c:pt>
                <c:pt idx="171">
                  <c:v>118.67228678541684</c:v>
                </c:pt>
                <c:pt idx="172">
                  <c:v>118.6611315402604</c:v>
                </c:pt>
                <c:pt idx="173">
                  <c:v>118.69937809508245</c:v>
                </c:pt>
                <c:pt idx="174">
                  <c:v>119.55753516890229</c:v>
                </c:pt>
                <c:pt idx="175">
                  <c:v>119.90175416230079</c:v>
                </c:pt>
                <c:pt idx="176">
                  <c:v>119.8149026107257</c:v>
                </c:pt>
                <c:pt idx="177">
                  <c:v>119.43920988992157</c:v>
                </c:pt>
                <c:pt idx="178">
                  <c:v>119.74757273817437</c:v>
                </c:pt>
                <c:pt idx="179">
                  <c:v>119.78860810428553</c:v>
                </c:pt>
                <c:pt idx="180">
                  <c:v>119.79099851396191</c:v>
                </c:pt>
                <c:pt idx="181">
                  <c:v>119.20455134002376</c:v>
                </c:pt>
                <c:pt idx="182">
                  <c:v>119.1929976932546</c:v>
                </c:pt>
                <c:pt idx="183">
                  <c:v>118.18982243240113</c:v>
                </c:pt>
                <c:pt idx="184">
                  <c:v>118.91770217885835</c:v>
                </c:pt>
                <c:pt idx="185">
                  <c:v>118.6288610096293</c:v>
                </c:pt>
                <c:pt idx="186">
                  <c:v>117.99819125667815</c:v>
                </c:pt>
                <c:pt idx="187">
                  <c:v>118.5938016677091</c:v>
                </c:pt>
                <c:pt idx="188">
                  <c:v>117.14003418285833</c:v>
                </c:pt>
                <c:pt idx="189">
                  <c:v>115.04284809344904</c:v>
                </c:pt>
                <c:pt idx="190">
                  <c:v>115.95996860595287</c:v>
                </c:pt>
                <c:pt idx="191">
                  <c:v>117.60855447942849</c:v>
                </c:pt>
                <c:pt idx="192">
                  <c:v>117.08186754739978</c:v>
                </c:pt>
                <c:pt idx="193">
                  <c:v>115.25997697238672</c:v>
                </c:pt>
                <c:pt idx="194">
                  <c:v>116.30936682031684</c:v>
                </c:pt>
                <c:pt idx="195">
                  <c:v>117.05557304095962</c:v>
                </c:pt>
                <c:pt idx="196">
                  <c:v>118.33603582427297</c:v>
                </c:pt>
                <c:pt idx="197">
                  <c:v>118.17189435982831</c:v>
                </c:pt>
                <c:pt idx="198">
                  <c:v>119.3483743222192</c:v>
                </c:pt>
                <c:pt idx="199">
                  <c:v>119.10973175619411</c:v>
                </c:pt>
                <c:pt idx="200">
                  <c:v>119.43881148830886</c:v>
                </c:pt>
                <c:pt idx="201">
                  <c:v>118.97068959335142</c:v>
                </c:pt>
                <c:pt idx="202">
                  <c:v>119.78820970267283</c:v>
                </c:pt>
                <c:pt idx="203">
                  <c:v>119.36072477221384</c:v>
                </c:pt>
                <c:pt idx="204">
                  <c:v>119.70056134787231</c:v>
                </c:pt>
                <c:pt idx="205">
                  <c:v>119.93043907841736</c:v>
                </c:pt>
                <c:pt idx="206">
                  <c:v>120.41887945562404</c:v>
                </c:pt>
                <c:pt idx="207">
                  <c:v>121.09098297629909</c:v>
                </c:pt>
                <c:pt idx="208">
                  <c:v>120.99018736827846</c:v>
                </c:pt>
                <c:pt idx="209">
                  <c:v>121.38380816165544</c:v>
                </c:pt>
                <c:pt idx="210">
                  <c:v>121.01688027633136</c:v>
                </c:pt>
                <c:pt idx="211">
                  <c:v>122.18618900969312</c:v>
                </c:pt>
                <c:pt idx="212">
                  <c:v>122.63877324175409</c:v>
                </c:pt>
                <c:pt idx="213">
                  <c:v>122.49335665310774</c:v>
                </c:pt>
                <c:pt idx="214">
                  <c:v>122.57941140145736</c:v>
                </c:pt>
                <c:pt idx="215">
                  <c:v>122.91406875615031</c:v>
                </c:pt>
                <c:pt idx="216">
                  <c:v>123.22880603020681</c:v>
                </c:pt>
                <c:pt idx="217">
                  <c:v>122.98697625127988</c:v>
                </c:pt>
                <c:pt idx="218">
                  <c:v>123.17940423022833</c:v>
                </c:pt>
                <c:pt idx="219">
                  <c:v>123.26705258502885</c:v>
                </c:pt>
                <c:pt idx="220">
                  <c:v>123.37023860272585</c:v>
                </c:pt>
                <c:pt idx="221">
                  <c:v>124.3196296458608</c:v>
                </c:pt>
                <c:pt idx="222">
                  <c:v>124.38217869905938</c:v>
                </c:pt>
                <c:pt idx="223">
                  <c:v>124.30847440070437</c:v>
                </c:pt>
                <c:pt idx="224">
                  <c:v>123.84154771058513</c:v>
                </c:pt>
                <c:pt idx="225">
                  <c:v>123.64553411712211</c:v>
                </c:pt>
                <c:pt idx="226">
                  <c:v>123.91445520571467</c:v>
                </c:pt>
                <c:pt idx="227">
                  <c:v>124.8447229714386</c:v>
                </c:pt>
                <c:pt idx="228">
                  <c:v>125.11882328099665</c:v>
                </c:pt>
                <c:pt idx="229">
                  <c:v>125.64112779528534</c:v>
                </c:pt>
                <c:pt idx="230">
                  <c:v>125.13714975518224</c:v>
                </c:pt>
                <c:pt idx="231">
                  <c:v>124.05708298307194</c:v>
                </c:pt>
                <c:pt idx="232">
                  <c:v>123.23358684955959</c:v>
                </c:pt>
                <c:pt idx="233">
                  <c:v>124.01286040405896</c:v>
                </c:pt>
                <c:pt idx="234">
                  <c:v>124.19891395720371</c:v>
                </c:pt>
                <c:pt idx="235">
                  <c:v>125.333561750258</c:v>
                </c:pt>
                <c:pt idx="236">
                  <c:v>124.93715214559192</c:v>
                </c:pt>
                <c:pt idx="237">
                  <c:v>124.80010199081289</c:v>
                </c:pt>
                <c:pt idx="238">
                  <c:v>125.16304586000969</c:v>
                </c:pt>
                <c:pt idx="239">
                  <c:v>126.23633980470359</c:v>
                </c:pt>
                <c:pt idx="240">
                  <c:v>126.24550304179638</c:v>
                </c:pt>
                <c:pt idx="241">
                  <c:v>127.14788269462919</c:v>
                </c:pt>
                <c:pt idx="242">
                  <c:v>127.19051166719127</c:v>
                </c:pt>
                <c:pt idx="243">
                  <c:v>127.13553224463458</c:v>
                </c:pt>
                <c:pt idx="244">
                  <c:v>127.70245773954898</c:v>
                </c:pt>
                <c:pt idx="245">
                  <c:v>128.33392429572558</c:v>
                </c:pt>
                <c:pt idx="246">
                  <c:v>128.44507834567719</c:v>
                </c:pt>
                <c:pt idx="247">
                  <c:v>128.41997904407521</c:v>
                </c:pt>
                <c:pt idx="248">
                  <c:v>129.07853690991743</c:v>
                </c:pt>
                <c:pt idx="249">
                  <c:v>129.08291932765746</c:v>
                </c:pt>
                <c:pt idx="250">
                  <c:v>128.33671310701467</c:v>
                </c:pt>
                <c:pt idx="251">
                  <c:v>128.71479623749519</c:v>
                </c:pt>
                <c:pt idx="252">
                  <c:v>129.79326940315457</c:v>
                </c:pt>
                <c:pt idx="253">
                  <c:v>128.87694569387619</c:v>
                </c:pt>
                <c:pt idx="254">
                  <c:v>129.33231873722627</c:v>
                </c:pt>
                <c:pt idx="255">
                  <c:v>128.96977326964219</c:v>
                </c:pt>
                <c:pt idx="256">
                  <c:v>129.60203662904431</c:v>
                </c:pt>
                <c:pt idx="257">
                  <c:v>130.46457612060416</c:v>
                </c:pt>
                <c:pt idx="258">
                  <c:v>130.09207061270186</c:v>
                </c:pt>
                <c:pt idx="259">
                  <c:v>130.9996294865002</c:v>
                </c:pt>
                <c:pt idx="260">
                  <c:v>130.80122548336081</c:v>
                </c:pt>
                <c:pt idx="261">
                  <c:v>131.04584407357686</c:v>
                </c:pt>
                <c:pt idx="262">
                  <c:v>132.14224531180906</c:v>
                </c:pt>
                <c:pt idx="263">
                  <c:v>132.65259777771584</c:v>
                </c:pt>
                <c:pt idx="264">
                  <c:v>132.30080915367549</c:v>
                </c:pt>
                <c:pt idx="265">
                  <c:v>132.33905570849754</c:v>
                </c:pt>
                <c:pt idx="266">
                  <c:v>132.49004991972211</c:v>
                </c:pt>
                <c:pt idx="267">
                  <c:v>131.29205627024382</c:v>
                </c:pt>
                <c:pt idx="268">
                  <c:v>129.22674230985291</c:v>
                </c:pt>
                <c:pt idx="269">
                  <c:v>130.52592996896456</c:v>
                </c:pt>
                <c:pt idx="270">
                  <c:v>130.41278391094932</c:v>
                </c:pt>
                <c:pt idx="271">
                  <c:v>130.82154396561</c:v>
                </c:pt>
                <c:pt idx="272">
                  <c:v>128.50523698919937</c:v>
                </c:pt>
                <c:pt idx="273">
                  <c:v>129.43749676298697</c:v>
                </c:pt>
                <c:pt idx="274">
                  <c:v>131.37651741214253</c:v>
                </c:pt>
                <c:pt idx="275">
                  <c:v>132.8545873953698</c:v>
                </c:pt>
                <c:pt idx="276">
                  <c:v>133.29641478388709</c:v>
                </c:pt>
                <c:pt idx="277">
                  <c:v>132.57650306968446</c:v>
                </c:pt>
                <c:pt idx="278">
                  <c:v>133.54780620151953</c:v>
                </c:pt>
                <c:pt idx="279">
                  <c:v>133.77330151432454</c:v>
                </c:pt>
                <c:pt idx="280">
                  <c:v>134.63783301394804</c:v>
                </c:pt>
                <c:pt idx="281">
                  <c:v>134.41831372533397</c:v>
                </c:pt>
                <c:pt idx="282">
                  <c:v>134.66611952845184</c:v>
                </c:pt>
                <c:pt idx="283">
                  <c:v>134.27289713668759</c:v>
                </c:pt>
                <c:pt idx="284">
                  <c:v>134.90476209447695</c:v>
                </c:pt>
                <c:pt idx="285">
                  <c:v>134.39002721083014</c:v>
                </c:pt>
                <c:pt idx="286">
                  <c:v>132.97649828886506</c:v>
                </c:pt>
                <c:pt idx="287">
                  <c:v>128.5199778488703</c:v>
                </c:pt>
                <c:pt idx="288">
                  <c:v>124.62839089572631</c:v>
                </c:pt>
                <c:pt idx="289">
                  <c:v>124.15748018947977</c:v>
                </c:pt>
                <c:pt idx="290">
                  <c:v>118.67427879348054</c:v>
                </c:pt>
                <c:pt idx="291">
                  <c:v>117.69660123584177</c:v>
                </c:pt>
                <c:pt idx="292">
                  <c:v>123.1152615705788</c:v>
                </c:pt>
                <c:pt idx="293">
                  <c:v>119.65474516240837</c:v>
                </c:pt>
                <c:pt idx="294">
                  <c:v>124.70448560375767</c:v>
                </c:pt>
                <c:pt idx="295">
                  <c:v>120.47425727979342</c:v>
                </c:pt>
                <c:pt idx="296">
                  <c:v>118.4197001629462</c:v>
                </c:pt>
                <c:pt idx="297">
                  <c:v>109.42339334589622</c:v>
                </c:pt>
                <c:pt idx="298">
                  <c:v>114.82850802580043</c:v>
                </c:pt>
                <c:pt idx="299">
                  <c:v>109.21702131050222</c:v>
                </c:pt>
                <c:pt idx="300">
                  <c:v>98.829097660187273</c:v>
                </c:pt>
                <c:pt idx="301">
                  <c:v>108.00747401425477</c:v>
                </c:pt>
                <c:pt idx="302">
                  <c:v>95.063804018278631</c:v>
                </c:pt>
                <c:pt idx="303">
                  <c:v>100.76333748999011</c:v>
                </c:pt>
                <c:pt idx="304">
                  <c:v>95.540690748716088</c:v>
                </c:pt>
                <c:pt idx="305">
                  <c:v>95.990486169487951</c:v>
                </c:pt>
                <c:pt idx="306">
                  <c:v>91.828384521300492</c:v>
                </c:pt>
                <c:pt idx="307">
                  <c:v>89.138376832149376</c:v>
                </c:pt>
                <c:pt idx="308">
                  <c:v>97.502021888184558</c:v>
                </c:pt>
                <c:pt idx="309">
                  <c:v>98.626709640920581</c:v>
                </c:pt>
                <c:pt idx="310">
                  <c:v>104.78241295920763</c:v>
                </c:pt>
                <c:pt idx="311">
                  <c:v>101.25257467042222</c:v>
                </c:pt>
                <c:pt idx="312">
                  <c:v>104.64615960765406</c:v>
                </c:pt>
                <c:pt idx="313">
                  <c:v>102.97048242451282</c:v>
                </c:pt>
                <c:pt idx="314">
                  <c:v>98.425118424879344</c:v>
                </c:pt>
                <c:pt idx="315">
                  <c:v>100.67210352067501</c:v>
                </c:pt>
                <c:pt idx="316">
                  <c:v>99.148217351983803</c:v>
                </c:pt>
                <c:pt idx="317">
                  <c:v>106.12144077959222</c:v>
                </c:pt>
                <c:pt idx="318">
                  <c:v>105.95132329095662</c:v>
                </c:pt>
                <c:pt idx="319">
                  <c:v>109.55964669744978</c:v>
                </c:pt>
                <c:pt idx="320">
                  <c:v>111.14687872256502</c:v>
                </c:pt>
                <c:pt idx="321">
                  <c:v>110.02378457627991</c:v>
                </c:pt>
                <c:pt idx="322">
                  <c:v>113.38748939255699</c:v>
                </c:pt>
                <c:pt idx="323">
                  <c:v>110.8895112807416</c:v>
                </c:pt>
                <c:pt idx="324">
                  <c:v>111.53452349175102</c:v>
                </c:pt>
                <c:pt idx="325">
                  <c:v>114.5229339888367</c:v>
                </c:pt>
                <c:pt idx="326">
                  <c:v>112.4751496994059</c:v>
                </c:pt>
                <c:pt idx="327">
                  <c:v>109.02499173316647</c:v>
                </c:pt>
                <c:pt idx="328">
                  <c:v>111.52496185304551</c:v>
                </c:pt>
                <c:pt idx="329">
                  <c:v>111.46480320952332</c:v>
                </c:pt>
                <c:pt idx="330">
                  <c:v>113.01617908949287</c:v>
                </c:pt>
                <c:pt idx="331">
                  <c:v>114.67910742102676</c:v>
                </c:pt>
                <c:pt idx="332">
                  <c:v>114.07791938741759</c:v>
                </c:pt>
                <c:pt idx="333">
                  <c:v>117.1105524635163</c:v>
                </c:pt>
                <c:pt idx="334">
                  <c:v>116.03168089624418</c:v>
                </c:pt>
                <c:pt idx="335">
                  <c:v>112.77594291701685</c:v>
                </c:pt>
                <c:pt idx="336">
                  <c:v>113.2552200571307</c:v>
                </c:pt>
                <c:pt idx="337">
                  <c:v>114.2791122018461</c:v>
                </c:pt>
                <c:pt idx="338">
                  <c:v>113.48151217316119</c:v>
                </c:pt>
                <c:pt idx="339">
                  <c:v>114.78707425807652</c:v>
                </c:pt>
                <c:pt idx="340">
                  <c:v>116.72370449755573</c:v>
                </c:pt>
                <c:pt idx="341">
                  <c:v>116.74442138141767</c:v>
                </c:pt>
                <c:pt idx="342">
                  <c:v>114.34604367278469</c:v>
                </c:pt>
                <c:pt idx="343">
                  <c:v>112.34925478978329</c:v>
                </c:pt>
                <c:pt idx="344">
                  <c:v>113.64406003115491</c:v>
                </c:pt>
                <c:pt idx="345">
                  <c:v>114.09026983741218</c:v>
                </c:pt>
                <c:pt idx="346">
                  <c:v>117.68425078584706</c:v>
                </c:pt>
                <c:pt idx="347">
                  <c:v>116.45040099122309</c:v>
                </c:pt>
                <c:pt idx="348">
                  <c:v>118.38942164037869</c:v>
                </c:pt>
                <c:pt idx="349">
                  <c:v>117.46911391497302</c:v>
                </c:pt>
                <c:pt idx="350">
                  <c:v>117.74560463420744</c:v>
                </c:pt>
                <c:pt idx="351">
                  <c:v>119.19259929164183</c:v>
                </c:pt>
                <c:pt idx="352">
                  <c:v>120.9599088457109</c:v>
                </c:pt>
                <c:pt idx="353">
                  <c:v>120.70493181356387</c:v>
                </c:pt>
                <c:pt idx="354">
                  <c:v>121.28580136492383</c:v>
                </c:pt>
                <c:pt idx="355">
                  <c:v>121.74077600666119</c:v>
                </c:pt>
                <c:pt idx="356">
                  <c:v>122.74036565300007</c:v>
                </c:pt>
                <c:pt idx="357">
                  <c:v>124.41564443452857</c:v>
                </c:pt>
                <c:pt idx="358">
                  <c:v>123.99652593793691</c:v>
                </c:pt>
                <c:pt idx="359">
                  <c:v>127.24668629458601</c:v>
                </c:pt>
                <c:pt idx="360">
                  <c:v>128.77893889714454</c:v>
                </c:pt>
                <c:pt idx="361">
                  <c:v>127.77456843145291</c:v>
                </c:pt>
                <c:pt idx="362">
                  <c:v>127.09569208336146</c:v>
                </c:pt>
                <c:pt idx="363">
                  <c:v>119.60414815759165</c:v>
                </c:pt>
                <c:pt idx="364">
                  <c:v>121.16628088110491</c:v>
                </c:pt>
                <c:pt idx="365">
                  <c:v>122.17344015808567</c:v>
                </c:pt>
                <c:pt idx="366">
                  <c:v>124.49014553610903</c:v>
                </c:pt>
                <c:pt idx="367">
                  <c:v>124.04194372178809</c:v>
                </c:pt>
                <c:pt idx="368">
                  <c:v>124.1156480201431</c:v>
                </c:pt>
                <c:pt idx="369">
                  <c:v>123.41446118173876</c:v>
                </c:pt>
                <c:pt idx="370">
                  <c:v>124.21604522655097</c:v>
                </c:pt>
                <c:pt idx="371">
                  <c:v>124.75109859244699</c:v>
                </c:pt>
                <c:pt idx="372">
                  <c:v>121.5256391357871</c:v>
                </c:pt>
                <c:pt idx="373">
                  <c:v>122.85749572714259</c:v>
                </c:pt>
                <c:pt idx="374">
                  <c:v>119.8810372784388</c:v>
                </c:pt>
                <c:pt idx="375">
                  <c:v>121.64157400509144</c:v>
                </c:pt>
                <c:pt idx="376">
                  <c:v>123.51605359298482</c:v>
                </c:pt>
                <c:pt idx="377">
                  <c:v>124.13636490400502</c:v>
                </c:pt>
                <c:pt idx="378">
                  <c:v>124.70010318601759</c:v>
                </c:pt>
                <c:pt idx="379">
                  <c:v>126.68055760289705</c:v>
                </c:pt>
                <c:pt idx="380">
                  <c:v>125.3100560551068</c:v>
                </c:pt>
                <c:pt idx="381">
                  <c:v>126.29092082564739</c:v>
                </c:pt>
                <c:pt idx="382">
                  <c:v>125.57818034047392</c:v>
                </c:pt>
                <c:pt idx="383">
                  <c:v>126.89250726086929</c:v>
                </c:pt>
                <c:pt idx="384">
                  <c:v>125.70447365170925</c:v>
                </c:pt>
                <c:pt idx="385">
                  <c:v>127.389712473556</c:v>
                </c:pt>
                <c:pt idx="386">
                  <c:v>128.54667075692311</c:v>
                </c:pt>
                <c:pt idx="387">
                  <c:v>128.10882738453313</c:v>
                </c:pt>
                <c:pt idx="388">
                  <c:v>128.47376326179355</c:v>
                </c:pt>
                <c:pt idx="389">
                  <c:v>129.55383003390384</c:v>
                </c:pt>
                <c:pt idx="390">
                  <c:v>129.77135731445426</c:v>
                </c:pt>
                <c:pt idx="391">
                  <c:v>130.5171651334843</c:v>
                </c:pt>
                <c:pt idx="392">
                  <c:v>128.90921622450711</c:v>
                </c:pt>
                <c:pt idx="393">
                  <c:v>128.11121779420947</c:v>
                </c:pt>
                <c:pt idx="394">
                  <c:v>129.05861682928077</c:v>
                </c:pt>
                <c:pt idx="395">
                  <c:v>128.22316864738653</c:v>
                </c:pt>
                <c:pt idx="396">
                  <c:v>129.81677509830544</c:v>
                </c:pt>
                <c:pt idx="397">
                  <c:v>129.32992832754971</c:v>
                </c:pt>
                <c:pt idx="398">
                  <c:v>130.32194834324676</c:v>
                </c:pt>
                <c:pt idx="399">
                  <c:v>131.2577937315489</c:v>
                </c:pt>
                <c:pt idx="400">
                  <c:v>131.73189165069726</c:v>
                </c:pt>
                <c:pt idx="401">
                  <c:v>132.57889347936066</c:v>
                </c:pt>
                <c:pt idx="402">
                  <c:v>133.43107452898954</c:v>
                </c:pt>
                <c:pt idx="403">
                  <c:v>133.51553567088826</c:v>
                </c:pt>
                <c:pt idx="404">
                  <c:v>133.88166675298686</c:v>
                </c:pt>
                <c:pt idx="405">
                  <c:v>132.81474723409664</c:v>
                </c:pt>
                <c:pt idx="406">
                  <c:v>134.67368915909356</c:v>
                </c:pt>
                <c:pt idx="407">
                  <c:v>134.39799524308458</c:v>
                </c:pt>
                <c:pt idx="408">
                  <c:v>134.37488794954626</c:v>
                </c:pt>
                <c:pt idx="409">
                  <c:v>134.73902702358123</c:v>
                </c:pt>
                <c:pt idx="410">
                  <c:v>135.04938187989771</c:v>
                </c:pt>
                <c:pt idx="411">
                  <c:v>134.45456827209222</c:v>
                </c:pt>
                <c:pt idx="412">
                  <c:v>134.87926439126213</c:v>
                </c:pt>
                <c:pt idx="413">
                  <c:v>135.34340227009227</c:v>
                </c:pt>
                <c:pt idx="414">
                  <c:v>136.70274857272611</c:v>
                </c:pt>
                <c:pt idx="415">
                  <c:v>137.19437616283457</c:v>
                </c:pt>
                <c:pt idx="416">
                  <c:v>138.59316422512865</c:v>
                </c:pt>
                <c:pt idx="417">
                  <c:v>138.82503396373735</c:v>
                </c:pt>
                <c:pt idx="418">
                  <c:v>139.75968414720128</c:v>
                </c:pt>
                <c:pt idx="419">
                  <c:v>139.45291490539938</c:v>
                </c:pt>
                <c:pt idx="420">
                  <c:v>140.5023047533295</c:v>
                </c:pt>
                <c:pt idx="421">
                  <c:v>142.66124309271189</c:v>
                </c:pt>
                <c:pt idx="422">
                  <c:v>137.65014760779735</c:v>
                </c:pt>
                <c:pt idx="423">
                  <c:v>136.53063907602683</c:v>
                </c:pt>
                <c:pt idx="424">
                  <c:v>132.74104293574166</c:v>
                </c:pt>
                <c:pt idx="425">
                  <c:v>135.41511456038359</c:v>
                </c:pt>
                <c:pt idx="426">
                  <c:v>133.03386812109801</c:v>
                </c:pt>
                <c:pt idx="427">
                  <c:v>133.1047836081639</c:v>
                </c:pt>
                <c:pt idx="428">
                  <c:v>134.80077927355435</c:v>
                </c:pt>
                <c:pt idx="429">
                  <c:v>135.50435652163503</c:v>
                </c:pt>
                <c:pt idx="430">
                  <c:v>134.87846758803664</c:v>
                </c:pt>
                <c:pt idx="431">
                  <c:v>133.74381979498239</c:v>
                </c:pt>
                <c:pt idx="432">
                  <c:v>132.24822014079496</c:v>
                </c:pt>
                <c:pt idx="433">
                  <c:v>130.71795954630008</c:v>
                </c:pt>
                <c:pt idx="434">
                  <c:v>132.09284351183035</c:v>
                </c:pt>
                <c:pt idx="435">
                  <c:v>128.95941482771104</c:v>
                </c:pt>
                <c:pt idx="436">
                  <c:v>129.34466918722069</c:v>
                </c:pt>
                <c:pt idx="437">
                  <c:v>131.41117835244978</c:v>
                </c:pt>
                <c:pt idx="438">
                  <c:v>133.52828452249554</c:v>
                </c:pt>
                <c:pt idx="439">
                  <c:v>132.88566272116248</c:v>
                </c:pt>
                <c:pt idx="440">
                  <c:v>133.98246236100744</c:v>
                </c:pt>
                <c:pt idx="441">
                  <c:v>134.69161723166636</c:v>
                </c:pt>
                <c:pt idx="442">
                  <c:v>133.40238961287295</c:v>
                </c:pt>
                <c:pt idx="443">
                  <c:v>135.8003689198932</c:v>
                </c:pt>
                <c:pt idx="444">
                  <c:v>133.90079003039784</c:v>
                </c:pt>
                <c:pt idx="445">
                  <c:v>136.23143946486675</c:v>
                </c:pt>
                <c:pt idx="446">
                  <c:v>137.32226308052074</c:v>
                </c:pt>
                <c:pt idx="447">
                  <c:v>138.52941996709183</c:v>
                </c:pt>
                <c:pt idx="448">
                  <c:v>140.80389477416583</c:v>
                </c:pt>
                <c:pt idx="449">
                  <c:v>139.91585757939126</c:v>
                </c:pt>
                <c:pt idx="450">
                  <c:v>138.98917542818191</c:v>
                </c:pt>
                <c:pt idx="451">
                  <c:v>138.77682736859697</c:v>
                </c:pt>
                <c:pt idx="452">
                  <c:v>138.79555224439525</c:v>
                </c:pt>
                <c:pt idx="453">
                  <c:v>136.52904546957583</c:v>
                </c:pt>
                <c:pt idx="454">
                  <c:v>137.17445608219796</c:v>
                </c:pt>
                <c:pt idx="455">
                  <c:v>136.8732644629743</c:v>
                </c:pt>
                <c:pt idx="456">
                  <c:v>137.58759855459871</c:v>
                </c:pt>
                <c:pt idx="457">
                  <c:v>138.06169647374711</c:v>
                </c:pt>
                <c:pt idx="458">
                  <c:v>135.49519328454221</c:v>
                </c:pt>
                <c:pt idx="459">
                  <c:v>135.08523802504331</c:v>
                </c:pt>
                <c:pt idx="460">
                  <c:v>130.31836272873213</c:v>
                </c:pt>
                <c:pt idx="461">
                  <c:v>131.8753162312799</c:v>
                </c:pt>
                <c:pt idx="462">
                  <c:v>130.27573375617004</c:v>
                </c:pt>
                <c:pt idx="463">
                  <c:v>131.88049545224538</c:v>
                </c:pt>
                <c:pt idx="464">
                  <c:v>134.22787775444894</c:v>
                </c:pt>
                <c:pt idx="465">
                  <c:v>137.18720493380539</c:v>
                </c:pt>
                <c:pt idx="466">
                  <c:v>139.85689414070728</c:v>
                </c:pt>
                <c:pt idx="467">
                  <c:v>139.81665557782159</c:v>
                </c:pt>
                <c:pt idx="468">
                  <c:v>141.45249259968983</c:v>
                </c:pt>
                <c:pt idx="469">
                  <c:v>141.25448699816317</c:v>
                </c:pt>
                <c:pt idx="470">
                  <c:v>142.33535057349891</c:v>
                </c:pt>
                <c:pt idx="471">
                  <c:v>140.91504882411743</c:v>
                </c:pt>
                <c:pt idx="472">
                  <c:v>142.83295418779835</c:v>
                </c:pt>
                <c:pt idx="473">
                  <c:v>144.4966793225577</c:v>
                </c:pt>
                <c:pt idx="474">
                  <c:v>143.80425731963345</c:v>
                </c:pt>
                <c:pt idx="475">
                  <c:v>142.14132898809956</c:v>
                </c:pt>
                <c:pt idx="476">
                  <c:v>142.702278458823</c:v>
                </c:pt>
                <c:pt idx="477">
                  <c:v>141.73296733505157</c:v>
                </c:pt>
                <c:pt idx="478">
                  <c:v>142.53176256857469</c:v>
                </c:pt>
                <c:pt idx="479">
                  <c:v>144.83532069337798</c:v>
                </c:pt>
                <c:pt idx="480">
                  <c:v>144.60584136444567</c:v>
                </c:pt>
                <c:pt idx="481">
                  <c:v>144.95245076752053</c:v>
                </c:pt>
                <c:pt idx="482">
                  <c:v>144.28632327103642</c:v>
                </c:pt>
                <c:pt idx="483">
                  <c:v>145.91259865419914</c:v>
                </c:pt>
                <c:pt idx="484">
                  <c:v>146.17395011214987</c:v>
                </c:pt>
                <c:pt idx="485">
                  <c:v>146.08271614283476</c:v>
                </c:pt>
                <c:pt idx="486">
                  <c:v>147.37353736807907</c:v>
                </c:pt>
                <c:pt idx="487">
                  <c:v>147.0882818133646</c:v>
                </c:pt>
                <c:pt idx="488">
                  <c:v>147.4982370728635</c:v>
                </c:pt>
                <c:pt idx="489">
                  <c:v>146.32574112659992</c:v>
                </c:pt>
                <c:pt idx="490">
                  <c:v>146.13769556539148</c:v>
                </c:pt>
                <c:pt idx="491">
                  <c:v>145.95283721708489</c:v>
                </c:pt>
                <c:pt idx="492">
                  <c:v>145.3165898415555</c:v>
                </c:pt>
                <c:pt idx="493">
                  <c:v>147.19425664235069</c:v>
                </c:pt>
                <c:pt idx="494">
                  <c:v>147.45520969868866</c:v>
                </c:pt>
                <c:pt idx="495">
                  <c:v>148.3042035354157</c:v>
                </c:pt>
                <c:pt idx="496">
                  <c:v>147.78349262757794</c:v>
                </c:pt>
                <c:pt idx="497">
                  <c:v>147.20620869073258</c:v>
                </c:pt>
                <c:pt idx="498">
                  <c:v>146.90103305538162</c:v>
                </c:pt>
                <c:pt idx="499">
                  <c:v>147.01059349888232</c:v>
                </c:pt>
                <c:pt idx="500">
                  <c:v>147.53050760349461</c:v>
                </c:pt>
                <c:pt idx="501">
                  <c:v>148.81734481261165</c:v>
                </c:pt>
                <c:pt idx="502">
                  <c:v>148.48587467082049</c:v>
                </c:pt>
                <c:pt idx="503">
                  <c:v>148.68507547718536</c:v>
                </c:pt>
                <c:pt idx="504">
                  <c:v>149.64243455257491</c:v>
                </c:pt>
                <c:pt idx="505">
                  <c:v>147.43449281482677</c:v>
                </c:pt>
                <c:pt idx="506">
                  <c:v>148.47870344179137</c:v>
                </c:pt>
                <c:pt idx="507">
                  <c:v>149.32650207368025</c:v>
                </c:pt>
                <c:pt idx="508">
                  <c:v>151.54360704852118</c:v>
                </c:pt>
                <c:pt idx="509">
                  <c:v>152.37586801751357</c:v>
                </c:pt>
                <c:pt idx="510">
                  <c:v>151.37707517440015</c:v>
                </c:pt>
                <c:pt idx="511">
                  <c:v>151.44002262921146</c:v>
                </c:pt>
                <c:pt idx="512">
                  <c:v>151.78464002422268</c:v>
                </c:pt>
                <c:pt idx="513">
                  <c:v>151.21492571801915</c:v>
                </c:pt>
                <c:pt idx="514">
                  <c:v>150.12768771687971</c:v>
                </c:pt>
                <c:pt idx="515">
                  <c:v>151.34918706150904</c:v>
                </c:pt>
                <c:pt idx="516">
                  <c:v>153.45832519930025</c:v>
                </c:pt>
                <c:pt idx="517">
                  <c:v>153.50693019605328</c:v>
                </c:pt>
                <c:pt idx="518">
                  <c:v>153.04478432528677</c:v>
                </c:pt>
                <c:pt idx="519">
                  <c:v>153.59816416536836</c:v>
                </c:pt>
                <c:pt idx="520">
                  <c:v>153.3694816396615</c:v>
                </c:pt>
                <c:pt idx="521">
                  <c:v>149.43128169782813</c:v>
                </c:pt>
                <c:pt idx="522">
                  <c:v>150.88983000203169</c:v>
                </c:pt>
                <c:pt idx="523">
                  <c:v>147.97592060652644</c:v>
                </c:pt>
                <c:pt idx="524">
                  <c:v>150.3511910216211</c:v>
                </c:pt>
                <c:pt idx="525">
                  <c:v>152.44080748038851</c:v>
                </c:pt>
                <c:pt idx="526">
                  <c:v>152.59459050290221</c:v>
                </c:pt>
                <c:pt idx="527">
                  <c:v>154.25074600701967</c:v>
                </c:pt>
                <c:pt idx="528">
                  <c:v>154.85193404062883</c:v>
                </c:pt>
                <c:pt idx="529">
                  <c:v>155.99773707883952</c:v>
                </c:pt>
                <c:pt idx="530">
                  <c:v>155.82403397568936</c:v>
                </c:pt>
                <c:pt idx="531">
                  <c:v>155.77024975797084</c:v>
                </c:pt>
                <c:pt idx="532">
                  <c:v>156.02921080624515</c:v>
                </c:pt>
                <c:pt idx="533">
                  <c:v>156.76426178173148</c:v>
                </c:pt>
                <c:pt idx="534">
                  <c:v>156.67501982048003</c:v>
                </c:pt>
                <c:pt idx="535">
                  <c:v>156.62482121727609</c:v>
                </c:pt>
                <c:pt idx="536">
                  <c:v>155.93319601757727</c:v>
                </c:pt>
                <c:pt idx="537">
                  <c:v>155.6439564467355</c:v>
                </c:pt>
                <c:pt idx="538">
                  <c:v>154.44038517467899</c:v>
                </c:pt>
                <c:pt idx="539">
                  <c:v>154.63440676007835</c:v>
                </c:pt>
                <c:pt idx="540">
                  <c:v>156.38976426576551</c:v>
                </c:pt>
                <c:pt idx="541">
                  <c:v>152.56152316904556</c:v>
                </c:pt>
                <c:pt idx="542">
                  <c:v>151.83683063549017</c:v>
                </c:pt>
                <c:pt idx="543">
                  <c:v>155.44913805811061</c:v>
                </c:pt>
                <c:pt idx="544">
                  <c:v>154.19297777317377</c:v>
                </c:pt>
                <c:pt idx="545">
                  <c:v>152.17826081759952</c:v>
                </c:pt>
                <c:pt idx="546">
                  <c:v>150.13645255235966</c:v>
                </c:pt>
                <c:pt idx="547">
                  <c:v>153.06350920108497</c:v>
                </c:pt>
                <c:pt idx="548">
                  <c:v>152.24320028047447</c:v>
                </c:pt>
                <c:pt idx="549">
                  <c:v>154.39815460372958</c:v>
                </c:pt>
                <c:pt idx="550">
                  <c:v>155.32921917267896</c:v>
                </c:pt>
                <c:pt idx="551">
                  <c:v>156.94394090907255</c:v>
                </c:pt>
                <c:pt idx="552">
                  <c:v>157.10330155416443</c:v>
                </c:pt>
                <c:pt idx="553">
                  <c:v>158.12320968275253</c:v>
                </c:pt>
                <c:pt idx="554">
                  <c:v>157.8750054780219</c:v>
                </c:pt>
                <c:pt idx="555">
                  <c:v>158.3295817181465</c:v>
                </c:pt>
                <c:pt idx="556">
                  <c:v>155.99255785787392</c:v>
                </c:pt>
                <c:pt idx="557">
                  <c:v>155.89853507726971</c:v>
                </c:pt>
                <c:pt idx="558">
                  <c:v>156.99374111066373</c:v>
                </c:pt>
                <c:pt idx="559">
                  <c:v>155.79574746118544</c:v>
                </c:pt>
                <c:pt idx="560">
                  <c:v>154.94396481316929</c:v>
                </c:pt>
                <c:pt idx="561">
                  <c:v>155.75590729991248</c:v>
                </c:pt>
                <c:pt idx="562">
                  <c:v>158.34631458588117</c:v>
                </c:pt>
                <c:pt idx="563">
                  <c:v>158.20886602948943</c:v>
                </c:pt>
                <c:pt idx="564">
                  <c:v>157.70927040712635</c:v>
                </c:pt>
                <c:pt idx="565">
                  <c:v>158.28057831978077</c:v>
                </c:pt>
                <c:pt idx="566">
                  <c:v>160.15226909638506</c:v>
                </c:pt>
                <c:pt idx="567">
                  <c:v>162.46459205666838</c:v>
                </c:pt>
                <c:pt idx="568">
                  <c:v>162.30642661641468</c:v>
                </c:pt>
                <c:pt idx="569">
                  <c:v>162.54586598566524</c:v>
                </c:pt>
                <c:pt idx="570">
                  <c:v>163.23191356278585</c:v>
                </c:pt>
                <c:pt idx="571">
                  <c:v>164.49205786384999</c:v>
                </c:pt>
                <c:pt idx="572">
                  <c:v>164.45978733321888</c:v>
                </c:pt>
                <c:pt idx="573">
                  <c:v>165.00161352653134</c:v>
                </c:pt>
                <c:pt idx="574">
                  <c:v>164.3271195961799</c:v>
                </c:pt>
                <c:pt idx="575">
                  <c:v>166.15020537603112</c:v>
                </c:pt>
                <c:pt idx="576">
                  <c:v>166.74979980318938</c:v>
                </c:pt>
                <c:pt idx="577">
                  <c:v>165.86494982131666</c:v>
                </c:pt>
                <c:pt idx="578">
                  <c:v>164.73667645406604</c:v>
                </c:pt>
                <c:pt idx="579">
                  <c:v>166.26972585985007</c:v>
                </c:pt>
                <c:pt idx="580">
                  <c:v>164.73827006051698</c:v>
                </c:pt>
                <c:pt idx="581">
                  <c:v>166.53864694844265</c:v>
                </c:pt>
                <c:pt idx="582">
                  <c:v>166.8354561499263</c:v>
                </c:pt>
                <c:pt idx="583">
                  <c:v>166.79960000478064</c:v>
                </c:pt>
                <c:pt idx="584">
                  <c:v>166.65856583387432</c:v>
                </c:pt>
                <c:pt idx="585">
                  <c:v>167.78564399628669</c:v>
                </c:pt>
                <c:pt idx="586">
                  <c:v>166.57848710971561</c:v>
                </c:pt>
                <c:pt idx="587">
                  <c:v>167.03625056274208</c:v>
                </c:pt>
                <c:pt idx="588">
                  <c:v>165.92072604709887</c:v>
                </c:pt>
                <c:pt idx="589">
                  <c:v>166.03745771962866</c:v>
                </c:pt>
                <c:pt idx="590">
                  <c:v>167.3932184077479</c:v>
                </c:pt>
                <c:pt idx="591">
                  <c:v>168.62746660398463</c:v>
                </c:pt>
                <c:pt idx="592">
                  <c:v>166.86772668055741</c:v>
                </c:pt>
                <c:pt idx="593">
                  <c:v>165.42033362151031</c:v>
                </c:pt>
                <c:pt idx="594">
                  <c:v>161.87216885853934</c:v>
                </c:pt>
                <c:pt idx="595">
                  <c:v>163.84266323510056</c:v>
                </c:pt>
                <c:pt idx="596">
                  <c:v>166.28685712919747</c:v>
                </c:pt>
                <c:pt idx="597">
                  <c:v>165.86614502615487</c:v>
                </c:pt>
                <c:pt idx="598">
                  <c:v>164.45341290741524</c:v>
                </c:pt>
                <c:pt idx="599">
                  <c:v>163.96935494794863</c:v>
                </c:pt>
                <c:pt idx="600">
                  <c:v>165.70001155364653</c:v>
                </c:pt>
                <c:pt idx="601">
                  <c:v>165.57013262789664</c:v>
                </c:pt>
                <c:pt idx="602">
                  <c:v>167.21114887073043</c:v>
                </c:pt>
                <c:pt idx="603">
                  <c:v>166.8557746321755</c:v>
                </c:pt>
                <c:pt idx="604">
                  <c:v>167.16891829978104</c:v>
                </c:pt>
                <c:pt idx="605">
                  <c:v>167.36373668840588</c:v>
                </c:pt>
                <c:pt idx="606">
                  <c:v>167.49242040931756</c:v>
                </c:pt>
                <c:pt idx="607">
                  <c:v>167.40995127548251</c:v>
                </c:pt>
                <c:pt idx="608">
                  <c:v>167.6521794560222</c:v>
                </c:pt>
                <c:pt idx="609">
                  <c:v>167.04382019338394</c:v>
                </c:pt>
                <c:pt idx="610">
                  <c:v>168.51949976693487</c:v>
                </c:pt>
                <c:pt idx="611">
                  <c:v>168.38523842344495</c:v>
                </c:pt>
                <c:pt idx="612">
                  <c:v>168.41472014278693</c:v>
                </c:pt>
                <c:pt idx="613">
                  <c:v>168.10755249937233</c:v>
                </c:pt>
                <c:pt idx="614">
                  <c:v>168.88961486516078</c:v>
                </c:pt>
                <c:pt idx="615">
                  <c:v>169.21869459727552</c:v>
                </c:pt>
                <c:pt idx="616">
                  <c:v>169.52586224069012</c:v>
                </c:pt>
                <c:pt idx="617">
                  <c:v>169.1848304601935</c:v>
                </c:pt>
                <c:pt idx="618">
                  <c:v>168.27288916865515</c:v>
                </c:pt>
                <c:pt idx="619">
                  <c:v>168.19958327191287</c:v>
                </c:pt>
                <c:pt idx="620">
                  <c:v>165.99203993577746</c:v>
                </c:pt>
                <c:pt idx="621">
                  <c:v>168.31631494444269</c:v>
                </c:pt>
                <c:pt idx="622">
                  <c:v>169.17885443600252</c:v>
                </c:pt>
                <c:pt idx="623">
                  <c:v>168.99558969414687</c:v>
                </c:pt>
                <c:pt idx="624">
                  <c:v>169.97764966952562</c:v>
                </c:pt>
                <c:pt idx="625">
                  <c:v>170.54377836121458</c:v>
                </c:pt>
                <c:pt idx="626">
                  <c:v>170.93859435942974</c:v>
                </c:pt>
                <c:pt idx="627">
                  <c:v>170.98600415134459</c:v>
                </c:pt>
                <c:pt idx="628">
                  <c:v>171.21309307060054</c:v>
                </c:pt>
                <c:pt idx="629">
                  <c:v>172.10710628956602</c:v>
                </c:pt>
                <c:pt idx="630">
                  <c:v>173.39792751481036</c:v>
                </c:pt>
                <c:pt idx="631">
                  <c:v>173.04733409560819</c:v>
                </c:pt>
                <c:pt idx="632">
                  <c:v>173.62860204858089</c:v>
                </c:pt>
                <c:pt idx="633">
                  <c:v>172.14216563148625</c:v>
                </c:pt>
                <c:pt idx="634">
                  <c:v>174.08357669031824</c:v>
                </c:pt>
                <c:pt idx="635">
                  <c:v>174.68436632231467</c:v>
                </c:pt>
                <c:pt idx="636">
                  <c:v>174.07003103548541</c:v>
                </c:pt>
                <c:pt idx="637">
                  <c:v>174.27281745636486</c:v>
                </c:pt>
                <c:pt idx="638">
                  <c:v>173.70429835499954</c:v>
                </c:pt>
                <c:pt idx="639">
                  <c:v>172.39475225395694</c:v>
                </c:pt>
                <c:pt idx="640">
                  <c:v>169.6645060019201</c:v>
                </c:pt>
                <c:pt idx="641">
                  <c:v>172.23738361692867</c:v>
                </c:pt>
                <c:pt idx="642">
                  <c:v>173.65091253889375</c:v>
                </c:pt>
                <c:pt idx="643">
                  <c:v>174.00110755648319</c:v>
                </c:pt>
                <c:pt idx="644">
                  <c:v>175.76682350410138</c:v>
                </c:pt>
                <c:pt idx="645">
                  <c:v>176.18235638617847</c:v>
                </c:pt>
                <c:pt idx="646">
                  <c:v>175.35487623653884</c:v>
                </c:pt>
                <c:pt idx="647">
                  <c:v>175.32260570590773</c:v>
                </c:pt>
                <c:pt idx="648">
                  <c:v>176.05964868945773</c:v>
                </c:pt>
                <c:pt idx="649">
                  <c:v>175.10786723664646</c:v>
                </c:pt>
                <c:pt idx="650">
                  <c:v>174.7831699222717</c:v>
                </c:pt>
                <c:pt idx="651">
                  <c:v>176.21900933454961</c:v>
                </c:pt>
                <c:pt idx="652">
                  <c:v>175.4034812332919</c:v>
                </c:pt>
                <c:pt idx="653">
                  <c:v>176.45605829412384</c:v>
                </c:pt>
                <c:pt idx="654">
                  <c:v>176.75167229076928</c:v>
                </c:pt>
                <c:pt idx="655">
                  <c:v>176.58553881826097</c:v>
                </c:pt>
                <c:pt idx="656">
                  <c:v>176.76083552786201</c:v>
                </c:pt>
                <c:pt idx="657">
                  <c:v>177.19708529380108</c:v>
                </c:pt>
                <c:pt idx="658">
                  <c:v>177.72058501292796</c:v>
                </c:pt>
                <c:pt idx="659">
                  <c:v>178.00584056764245</c:v>
                </c:pt>
                <c:pt idx="660">
                  <c:v>178.47037684808529</c:v>
                </c:pt>
                <c:pt idx="661">
                  <c:v>177.21222455508482</c:v>
                </c:pt>
                <c:pt idx="662">
                  <c:v>175.307466444624</c:v>
                </c:pt>
                <c:pt idx="663">
                  <c:v>175.52778253646352</c:v>
                </c:pt>
                <c:pt idx="664">
                  <c:v>176.95684912132504</c:v>
                </c:pt>
                <c:pt idx="665">
                  <c:v>178.46559602873251</c:v>
                </c:pt>
                <c:pt idx="666">
                  <c:v>178.73212670764866</c:v>
                </c:pt>
                <c:pt idx="667">
                  <c:v>179.12893471392746</c:v>
                </c:pt>
                <c:pt idx="668">
                  <c:v>178.08193527567377</c:v>
                </c:pt>
                <c:pt idx="669">
                  <c:v>179.65402803950528</c:v>
                </c:pt>
                <c:pt idx="670">
                  <c:v>180.42772397142642</c:v>
                </c:pt>
              </c:numCache>
            </c:numRef>
          </c:val>
          <c:smooth val="0"/>
          <c:extLst>
            <c:ext xmlns:c16="http://schemas.microsoft.com/office/drawing/2014/chart" uri="{C3380CC4-5D6E-409C-BE32-E72D297353CC}">
              <c16:uniqueId val="{00000000-749C-40F3-8E91-76B2076E7451}"/>
            </c:ext>
          </c:extLst>
        </c:ser>
        <c:ser>
          <c:idx val="2"/>
          <c:order val="1"/>
          <c:tx>
            <c:strRef>
              <c:f>Sheet1!$C$1</c:f>
              <c:strCache>
                <c:ptCount val="1"/>
                <c:pt idx="0">
                  <c:v>DAX (Գերմանիա)</c:v>
                </c:pt>
              </c:strCache>
            </c:strRef>
          </c:tx>
          <c:spPr>
            <a:ln w="28575" cap="rnd">
              <a:solidFill>
                <a:srgbClr val="C00000"/>
              </a:solidFill>
              <a:round/>
            </a:ln>
            <a:effectLst/>
          </c:spPr>
          <c:marker>
            <c:symbol val="none"/>
          </c:marker>
          <c:cat>
            <c:numRef>
              <c:f>Sheet1!$A$2:$A$672</c:f>
              <c:numCache>
                <c:formatCode>d\-mmm\-yy</c:formatCode>
                <c:ptCount val="671"/>
                <c:pt idx="0">
                  <c:v>43467</c:v>
                </c:pt>
                <c:pt idx="1">
                  <c:v>43468</c:v>
                </c:pt>
                <c:pt idx="2">
                  <c:v>43469</c:v>
                </c:pt>
                <c:pt idx="3">
                  <c:v>43472</c:v>
                </c:pt>
                <c:pt idx="4">
                  <c:v>43473</c:v>
                </c:pt>
                <c:pt idx="5">
                  <c:v>43474</c:v>
                </c:pt>
                <c:pt idx="6">
                  <c:v>43475</c:v>
                </c:pt>
                <c:pt idx="7">
                  <c:v>43476</c:v>
                </c:pt>
                <c:pt idx="8">
                  <c:v>43479</c:v>
                </c:pt>
                <c:pt idx="9">
                  <c:v>43480</c:v>
                </c:pt>
                <c:pt idx="10">
                  <c:v>43481</c:v>
                </c:pt>
                <c:pt idx="11">
                  <c:v>43482</c:v>
                </c:pt>
                <c:pt idx="12">
                  <c:v>43483</c:v>
                </c:pt>
                <c:pt idx="13">
                  <c:v>43487</c:v>
                </c:pt>
                <c:pt idx="14">
                  <c:v>43488</c:v>
                </c:pt>
                <c:pt idx="15">
                  <c:v>43489</c:v>
                </c:pt>
                <c:pt idx="16">
                  <c:v>43490</c:v>
                </c:pt>
                <c:pt idx="17">
                  <c:v>43493</c:v>
                </c:pt>
                <c:pt idx="18">
                  <c:v>43494</c:v>
                </c:pt>
                <c:pt idx="19">
                  <c:v>43495</c:v>
                </c:pt>
                <c:pt idx="20">
                  <c:v>43496</c:v>
                </c:pt>
                <c:pt idx="21">
                  <c:v>43497</c:v>
                </c:pt>
                <c:pt idx="22">
                  <c:v>43500</c:v>
                </c:pt>
                <c:pt idx="23">
                  <c:v>43501</c:v>
                </c:pt>
                <c:pt idx="24">
                  <c:v>43503</c:v>
                </c:pt>
                <c:pt idx="25">
                  <c:v>43504</c:v>
                </c:pt>
                <c:pt idx="26">
                  <c:v>43507</c:v>
                </c:pt>
                <c:pt idx="27">
                  <c:v>43508</c:v>
                </c:pt>
                <c:pt idx="28">
                  <c:v>43509</c:v>
                </c:pt>
                <c:pt idx="29">
                  <c:v>43510</c:v>
                </c:pt>
                <c:pt idx="30">
                  <c:v>43511</c:v>
                </c:pt>
                <c:pt idx="31">
                  <c:v>43515</c:v>
                </c:pt>
                <c:pt idx="32">
                  <c:v>43516</c:v>
                </c:pt>
                <c:pt idx="33">
                  <c:v>43517</c:v>
                </c:pt>
                <c:pt idx="34">
                  <c:v>43518</c:v>
                </c:pt>
                <c:pt idx="35">
                  <c:v>43521</c:v>
                </c:pt>
                <c:pt idx="36">
                  <c:v>43522</c:v>
                </c:pt>
                <c:pt idx="37">
                  <c:v>43523</c:v>
                </c:pt>
                <c:pt idx="38">
                  <c:v>43524</c:v>
                </c:pt>
                <c:pt idx="39">
                  <c:v>43525</c:v>
                </c:pt>
                <c:pt idx="40">
                  <c:v>43528</c:v>
                </c:pt>
                <c:pt idx="41">
                  <c:v>43529</c:v>
                </c:pt>
                <c:pt idx="42">
                  <c:v>43530</c:v>
                </c:pt>
                <c:pt idx="43">
                  <c:v>43531</c:v>
                </c:pt>
                <c:pt idx="44">
                  <c:v>43532</c:v>
                </c:pt>
                <c:pt idx="45">
                  <c:v>43535</c:v>
                </c:pt>
                <c:pt idx="46">
                  <c:v>43536</c:v>
                </c:pt>
                <c:pt idx="47">
                  <c:v>43537</c:v>
                </c:pt>
                <c:pt idx="48">
                  <c:v>43538</c:v>
                </c:pt>
                <c:pt idx="49">
                  <c:v>43539</c:v>
                </c:pt>
                <c:pt idx="50">
                  <c:v>43542</c:v>
                </c:pt>
                <c:pt idx="51">
                  <c:v>43543</c:v>
                </c:pt>
                <c:pt idx="52">
                  <c:v>43544</c:v>
                </c:pt>
                <c:pt idx="53">
                  <c:v>43545</c:v>
                </c:pt>
                <c:pt idx="54">
                  <c:v>43546</c:v>
                </c:pt>
                <c:pt idx="55">
                  <c:v>43549</c:v>
                </c:pt>
                <c:pt idx="56">
                  <c:v>43550</c:v>
                </c:pt>
                <c:pt idx="57">
                  <c:v>43551</c:v>
                </c:pt>
                <c:pt idx="58">
                  <c:v>43552</c:v>
                </c:pt>
                <c:pt idx="59">
                  <c:v>43553</c:v>
                </c:pt>
                <c:pt idx="60">
                  <c:v>43556</c:v>
                </c:pt>
                <c:pt idx="61">
                  <c:v>43557</c:v>
                </c:pt>
                <c:pt idx="62">
                  <c:v>43558</c:v>
                </c:pt>
                <c:pt idx="63">
                  <c:v>43559</c:v>
                </c:pt>
                <c:pt idx="64">
                  <c:v>43560</c:v>
                </c:pt>
                <c:pt idx="65">
                  <c:v>43563</c:v>
                </c:pt>
                <c:pt idx="66">
                  <c:v>43564</c:v>
                </c:pt>
                <c:pt idx="67">
                  <c:v>43565</c:v>
                </c:pt>
                <c:pt idx="68">
                  <c:v>43566</c:v>
                </c:pt>
                <c:pt idx="69">
                  <c:v>43567</c:v>
                </c:pt>
                <c:pt idx="70">
                  <c:v>43570</c:v>
                </c:pt>
                <c:pt idx="71">
                  <c:v>43571</c:v>
                </c:pt>
                <c:pt idx="72">
                  <c:v>43572</c:v>
                </c:pt>
                <c:pt idx="73">
                  <c:v>43573</c:v>
                </c:pt>
                <c:pt idx="74">
                  <c:v>43577</c:v>
                </c:pt>
                <c:pt idx="75">
                  <c:v>43578</c:v>
                </c:pt>
                <c:pt idx="76">
                  <c:v>43579</c:v>
                </c:pt>
                <c:pt idx="77">
                  <c:v>43580</c:v>
                </c:pt>
                <c:pt idx="78">
                  <c:v>43581</c:v>
                </c:pt>
                <c:pt idx="79">
                  <c:v>43584</c:v>
                </c:pt>
                <c:pt idx="80">
                  <c:v>43585</c:v>
                </c:pt>
                <c:pt idx="81">
                  <c:v>43586</c:v>
                </c:pt>
                <c:pt idx="82">
                  <c:v>43587</c:v>
                </c:pt>
                <c:pt idx="83">
                  <c:v>43588</c:v>
                </c:pt>
                <c:pt idx="84">
                  <c:v>43591</c:v>
                </c:pt>
                <c:pt idx="85">
                  <c:v>43592</c:v>
                </c:pt>
                <c:pt idx="86">
                  <c:v>43593</c:v>
                </c:pt>
                <c:pt idx="87">
                  <c:v>43594</c:v>
                </c:pt>
                <c:pt idx="88">
                  <c:v>43595</c:v>
                </c:pt>
                <c:pt idx="89">
                  <c:v>43598</c:v>
                </c:pt>
                <c:pt idx="90">
                  <c:v>43599</c:v>
                </c:pt>
                <c:pt idx="91">
                  <c:v>43600</c:v>
                </c:pt>
                <c:pt idx="92">
                  <c:v>43601</c:v>
                </c:pt>
                <c:pt idx="93">
                  <c:v>43602</c:v>
                </c:pt>
                <c:pt idx="94">
                  <c:v>43605</c:v>
                </c:pt>
                <c:pt idx="95">
                  <c:v>43606</c:v>
                </c:pt>
                <c:pt idx="96">
                  <c:v>43608</c:v>
                </c:pt>
                <c:pt idx="97">
                  <c:v>43609</c:v>
                </c:pt>
                <c:pt idx="98">
                  <c:v>43613</c:v>
                </c:pt>
                <c:pt idx="99">
                  <c:v>43614</c:v>
                </c:pt>
                <c:pt idx="100">
                  <c:v>43615</c:v>
                </c:pt>
                <c:pt idx="101">
                  <c:v>43616</c:v>
                </c:pt>
                <c:pt idx="102">
                  <c:v>43619</c:v>
                </c:pt>
                <c:pt idx="103">
                  <c:v>43620</c:v>
                </c:pt>
                <c:pt idx="104">
                  <c:v>43621</c:v>
                </c:pt>
                <c:pt idx="105">
                  <c:v>43622</c:v>
                </c:pt>
                <c:pt idx="106">
                  <c:v>43623</c:v>
                </c:pt>
                <c:pt idx="107">
                  <c:v>43626</c:v>
                </c:pt>
                <c:pt idx="108">
                  <c:v>43627</c:v>
                </c:pt>
                <c:pt idx="109">
                  <c:v>43628</c:v>
                </c:pt>
                <c:pt idx="110">
                  <c:v>43629</c:v>
                </c:pt>
                <c:pt idx="111">
                  <c:v>43630</c:v>
                </c:pt>
                <c:pt idx="112">
                  <c:v>43633</c:v>
                </c:pt>
                <c:pt idx="113">
                  <c:v>43634</c:v>
                </c:pt>
                <c:pt idx="114">
                  <c:v>43635</c:v>
                </c:pt>
                <c:pt idx="115">
                  <c:v>43636</c:v>
                </c:pt>
                <c:pt idx="116">
                  <c:v>43637</c:v>
                </c:pt>
                <c:pt idx="117">
                  <c:v>43640</c:v>
                </c:pt>
                <c:pt idx="118">
                  <c:v>43641</c:v>
                </c:pt>
                <c:pt idx="119">
                  <c:v>43642</c:v>
                </c:pt>
                <c:pt idx="120">
                  <c:v>43643</c:v>
                </c:pt>
                <c:pt idx="121">
                  <c:v>43644</c:v>
                </c:pt>
                <c:pt idx="122">
                  <c:v>43647</c:v>
                </c:pt>
                <c:pt idx="123">
                  <c:v>43648</c:v>
                </c:pt>
                <c:pt idx="124">
                  <c:v>43649</c:v>
                </c:pt>
                <c:pt idx="125">
                  <c:v>43651</c:v>
                </c:pt>
                <c:pt idx="126">
                  <c:v>43654</c:v>
                </c:pt>
                <c:pt idx="127">
                  <c:v>43655</c:v>
                </c:pt>
                <c:pt idx="128">
                  <c:v>43656</c:v>
                </c:pt>
                <c:pt idx="129">
                  <c:v>43657</c:v>
                </c:pt>
                <c:pt idx="130">
                  <c:v>43658</c:v>
                </c:pt>
                <c:pt idx="131">
                  <c:v>43661</c:v>
                </c:pt>
                <c:pt idx="132">
                  <c:v>43662</c:v>
                </c:pt>
                <c:pt idx="133">
                  <c:v>43663</c:v>
                </c:pt>
                <c:pt idx="134">
                  <c:v>43665</c:v>
                </c:pt>
                <c:pt idx="135">
                  <c:v>43668</c:v>
                </c:pt>
                <c:pt idx="136">
                  <c:v>43669</c:v>
                </c:pt>
                <c:pt idx="137">
                  <c:v>43670</c:v>
                </c:pt>
                <c:pt idx="138">
                  <c:v>43671</c:v>
                </c:pt>
                <c:pt idx="139">
                  <c:v>43672</c:v>
                </c:pt>
                <c:pt idx="140">
                  <c:v>43675</c:v>
                </c:pt>
                <c:pt idx="141">
                  <c:v>43676</c:v>
                </c:pt>
                <c:pt idx="142">
                  <c:v>43677</c:v>
                </c:pt>
                <c:pt idx="143">
                  <c:v>43678</c:v>
                </c:pt>
                <c:pt idx="144">
                  <c:v>43679</c:v>
                </c:pt>
                <c:pt idx="145">
                  <c:v>43682</c:v>
                </c:pt>
                <c:pt idx="146">
                  <c:v>43683</c:v>
                </c:pt>
                <c:pt idx="147">
                  <c:v>43684</c:v>
                </c:pt>
                <c:pt idx="148">
                  <c:v>43685</c:v>
                </c:pt>
                <c:pt idx="149">
                  <c:v>43686</c:v>
                </c:pt>
                <c:pt idx="150">
                  <c:v>43689</c:v>
                </c:pt>
                <c:pt idx="151">
                  <c:v>43690</c:v>
                </c:pt>
                <c:pt idx="152">
                  <c:v>43691</c:v>
                </c:pt>
                <c:pt idx="153">
                  <c:v>43692</c:v>
                </c:pt>
                <c:pt idx="154">
                  <c:v>43693</c:v>
                </c:pt>
                <c:pt idx="155">
                  <c:v>43696</c:v>
                </c:pt>
                <c:pt idx="156">
                  <c:v>43697</c:v>
                </c:pt>
                <c:pt idx="157">
                  <c:v>43698</c:v>
                </c:pt>
                <c:pt idx="158">
                  <c:v>43699</c:v>
                </c:pt>
                <c:pt idx="159">
                  <c:v>43700</c:v>
                </c:pt>
                <c:pt idx="160">
                  <c:v>43703</c:v>
                </c:pt>
                <c:pt idx="161">
                  <c:v>43704</c:v>
                </c:pt>
                <c:pt idx="162">
                  <c:v>43705</c:v>
                </c:pt>
                <c:pt idx="163">
                  <c:v>43706</c:v>
                </c:pt>
                <c:pt idx="164">
                  <c:v>43707</c:v>
                </c:pt>
                <c:pt idx="165">
                  <c:v>43711</c:v>
                </c:pt>
                <c:pt idx="166">
                  <c:v>43712</c:v>
                </c:pt>
                <c:pt idx="167">
                  <c:v>43713</c:v>
                </c:pt>
                <c:pt idx="168">
                  <c:v>43717</c:v>
                </c:pt>
                <c:pt idx="169">
                  <c:v>43718</c:v>
                </c:pt>
                <c:pt idx="170">
                  <c:v>43719</c:v>
                </c:pt>
                <c:pt idx="171">
                  <c:v>43720</c:v>
                </c:pt>
                <c:pt idx="172">
                  <c:v>43721</c:v>
                </c:pt>
                <c:pt idx="173">
                  <c:v>43724</c:v>
                </c:pt>
                <c:pt idx="174">
                  <c:v>43725</c:v>
                </c:pt>
                <c:pt idx="175">
                  <c:v>43726</c:v>
                </c:pt>
                <c:pt idx="176">
                  <c:v>43727</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43766</c:v>
                </c:pt>
                <c:pt idx="202">
                  <c:v>43767</c:v>
                </c:pt>
                <c:pt idx="203">
                  <c:v>43768</c:v>
                </c:pt>
                <c:pt idx="204">
                  <c:v>43770</c:v>
                </c:pt>
                <c:pt idx="205">
                  <c:v>43773</c:v>
                </c:pt>
                <c:pt idx="206">
                  <c:v>43774</c:v>
                </c:pt>
                <c:pt idx="207">
                  <c:v>43775</c:v>
                </c:pt>
                <c:pt idx="208">
                  <c:v>43776</c:v>
                </c:pt>
                <c:pt idx="209">
                  <c:v>43777</c:v>
                </c:pt>
                <c:pt idx="210">
                  <c:v>43780</c:v>
                </c:pt>
                <c:pt idx="211">
                  <c:v>43781</c:v>
                </c:pt>
                <c:pt idx="212">
                  <c:v>43782</c:v>
                </c:pt>
                <c:pt idx="213">
                  <c:v>43783</c:v>
                </c:pt>
                <c:pt idx="214">
                  <c:v>43784</c:v>
                </c:pt>
                <c:pt idx="215">
                  <c:v>43787</c:v>
                </c:pt>
                <c:pt idx="216">
                  <c:v>43788</c:v>
                </c:pt>
                <c:pt idx="217">
                  <c:v>43789</c:v>
                </c:pt>
                <c:pt idx="218">
                  <c:v>43790</c:v>
                </c:pt>
                <c:pt idx="219">
                  <c:v>43791</c:v>
                </c:pt>
                <c:pt idx="220">
                  <c:v>43794</c:v>
                </c:pt>
                <c:pt idx="221">
                  <c:v>43795</c:v>
                </c:pt>
                <c:pt idx="222">
                  <c:v>43796</c:v>
                </c:pt>
                <c:pt idx="223">
                  <c:v>43798</c:v>
                </c:pt>
                <c:pt idx="224">
                  <c:v>43801</c:v>
                </c:pt>
                <c:pt idx="225">
                  <c:v>43802</c:v>
                </c:pt>
                <c:pt idx="226">
                  <c:v>43803</c:v>
                </c:pt>
                <c:pt idx="227">
                  <c:v>43804</c:v>
                </c:pt>
                <c:pt idx="228">
                  <c:v>43805</c:v>
                </c:pt>
                <c:pt idx="229">
                  <c:v>43808</c:v>
                </c:pt>
                <c:pt idx="230">
                  <c:v>43809</c:v>
                </c:pt>
                <c:pt idx="231">
                  <c:v>43810</c:v>
                </c:pt>
                <c:pt idx="232">
                  <c:v>43811</c:v>
                </c:pt>
                <c:pt idx="233">
                  <c:v>43812</c:v>
                </c:pt>
                <c:pt idx="234">
                  <c:v>43815</c:v>
                </c:pt>
                <c:pt idx="235">
                  <c:v>43816</c:v>
                </c:pt>
                <c:pt idx="236">
                  <c:v>43817</c:v>
                </c:pt>
                <c:pt idx="237">
                  <c:v>43818</c:v>
                </c:pt>
                <c:pt idx="238">
                  <c:v>43819</c:v>
                </c:pt>
                <c:pt idx="239">
                  <c:v>43822</c:v>
                </c:pt>
                <c:pt idx="240">
                  <c:v>43825</c:v>
                </c:pt>
                <c:pt idx="241">
                  <c:v>43826</c:v>
                </c:pt>
                <c:pt idx="242">
                  <c:v>43829</c:v>
                </c:pt>
                <c:pt idx="243">
                  <c:v>43830</c:v>
                </c:pt>
                <c:pt idx="244">
                  <c:v>43832</c:v>
                </c:pt>
                <c:pt idx="245">
                  <c:v>43833</c:v>
                </c:pt>
                <c:pt idx="246">
                  <c:v>43836</c:v>
                </c:pt>
                <c:pt idx="247">
                  <c:v>43837</c:v>
                </c:pt>
                <c:pt idx="248">
                  <c:v>43838</c:v>
                </c:pt>
                <c:pt idx="249">
                  <c:v>43839</c:v>
                </c:pt>
                <c:pt idx="250">
                  <c:v>43840</c:v>
                </c:pt>
                <c:pt idx="251">
                  <c:v>43843</c:v>
                </c:pt>
                <c:pt idx="252">
                  <c:v>43844</c:v>
                </c:pt>
                <c:pt idx="253">
                  <c:v>43845</c:v>
                </c:pt>
                <c:pt idx="254">
                  <c:v>43846</c:v>
                </c:pt>
                <c:pt idx="255">
                  <c:v>43847</c:v>
                </c:pt>
                <c:pt idx="256">
                  <c:v>43851</c:v>
                </c:pt>
                <c:pt idx="257">
                  <c:v>43852</c:v>
                </c:pt>
                <c:pt idx="258">
                  <c:v>43853</c:v>
                </c:pt>
                <c:pt idx="259">
                  <c:v>43854</c:v>
                </c:pt>
                <c:pt idx="260">
                  <c:v>43857</c:v>
                </c:pt>
                <c:pt idx="261">
                  <c:v>43858</c:v>
                </c:pt>
                <c:pt idx="262">
                  <c:v>43859</c:v>
                </c:pt>
                <c:pt idx="263">
                  <c:v>43860</c:v>
                </c:pt>
                <c:pt idx="264">
                  <c:v>43861</c:v>
                </c:pt>
                <c:pt idx="265">
                  <c:v>43864</c:v>
                </c:pt>
                <c:pt idx="266">
                  <c:v>43865</c:v>
                </c:pt>
                <c:pt idx="267">
                  <c:v>43866</c:v>
                </c:pt>
                <c:pt idx="268">
                  <c:v>43867</c:v>
                </c:pt>
                <c:pt idx="269">
                  <c:v>43868</c:v>
                </c:pt>
                <c:pt idx="270">
                  <c:v>43871</c:v>
                </c:pt>
                <c:pt idx="271">
                  <c:v>43872</c:v>
                </c:pt>
                <c:pt idx="272">
                  <c:v>43873</c:v>
                </c:pt>
                <c:pt idx="273">
                  <c:v>43874</c:v>
                </c:pt>
                <c:pt idx="274">
                  <c:v>43875</c:v>
                </c:pt>
                <c:pt idx="275">
                  <c:v>43879</c:v>
                </c:pt>
                <c:pt idx="276">
                  <c:v>43880</c:v>
                </c:pt>
                <c:pt idx="277">
                  <c:v>43881</c:v>
                </c:pt>
                <c:pt idx="278">
                  <c:v>43882</c:v>
                </c:pt>
                <c:pt idx="279">
                  <c:v>43885</c:v>
                </c:pt>
                <c:pt idx="280">
                  <c:v>43886</c:v>
                </c:pt>
                <c:pt idx="281">
                  <c:v>43887</c:v>
                </c:pt>
                <c:pt idx="282">
                  <c:v>43888</c:v>
                </c:pt>
                <c:pt idx="283">
                  <c:v>43889</c:v>
                </c:pt>
                <c:pt idx="284">
                  <c:v>43892</c:v>
                </c:pt>
                <c:pt idx="285">
                  <c:v>43893</c:v>
                </c:pt>
                <c:pt idx="286">
                  <c:v>43894</c:v>
                </c:pt>
                <c:pt idx="287">
                  <c:v>43895</c:v>
                </c:pt>
                <c:pt idx="288">
                  <c:v>43896</c:v>
                </c:pt>
                <c:pt idx="289">
                  <c:v>43899</c:v>
                </c:pt>
                <c:pt idx="290">
                  <c:v>43900</c:v>
                </c:pt>
                <c:pt idx="291">
                  <c:v>43901</c:v>
                </c:pt>
                <c:pt idx="292">
                  <c:v>43902</c:v>
                </c:pt>
                <c:pt idx="293">
                  <c:v>43903</c:v>
                </c:pt>
                <c:pt idx="294">
                  <c:v>43906</c:v>
                </c:pt>
                <c:pt idx="295">
                  <c:v>43907</c:v>
                </c:pt>
                <c:pt idx="296">
                  <c:v>43908</c:v>
                </c:pt>
                <c:pt idx="297">
                  <c:v>43909</c:v>
                </c:pt>
                <c:pt idx="298">
                  <c:v>43910</c:v>
                </c:pt>
                <c:pt idx="299">
                  <c:v>43913</c:v>
                </c:pt>
                <c:pt idx="300">
                  <c:v>43914</c:v>
                </c:pt>
                <c:pt idx="301">
                  <c:v>43915</c:v>
                </c:pt>
                <c:pt idx="302">
                  <c:v>43916</c:v>
                </c:pt>
                <c:pt idx="303">
                  <c:v>43917</c:v>
                </c:pt>
                <c:pt idx="304">
                  <c:v>43920</c:v>
                </c:pt>
                <c:pt idx="305">
                  <c:v>43921</c:v>
                </c:pt>
                <c:pt idx="306">
                  <c:v>43922</c:v>
                </c:pt>
                <c:pt idx="307">
                  <c:v>43923</c:v>
                </c:pt>
                <c:pt idx="308">
                  <c:v>43924</c:v>
                </c:pt>
                <c:pt idx="309">
                  <c:v>43927</c:v>
                </c:pt>
                <c:pt idx="310">
                  <c:v>43928</c:v>
                </c:pt>
                <c:pt idx="311">
                  <c:v>43929</c:v>
                </c:pt>
                <c:pt idx="312">
                  <c:v>43930</c:v>
                </c:pt>
                <c:pt idx="313">
                  <c:v>43934</c:v>
                </c:pt>
                <c:pt idx="314">
                  <c:v>43935</c:v>
                </c:pt>
                <c:pt idx="315">
                  <c:v>43936</c:v>
                </c:pt>
                <c:pt idx="316">
                  <c:v>43937</c:v>
                </c:pt>
                <c:pt idx="317">
                  <c:v>43938</c:v>
                </c:pt>
                <c:pt idx="318">
                  <c:v>43941</c:v>
                </c:pt>
                <c:pt idx="319">
                  <c:v>43942</c:v>
                </c:pt>
                <c:pt idx="320">
                  <c:v>43943</c:v>
                </c:pt>
                <c:pt idx="321">
                  <c:v>43944</c:v>
                </c:pt>
                <c:pt idx="322">
                  <c:v>43945</c:v>
                </c:pt>
                <c:pt idx="323">
                  <c:v>43948</c:v>
                </c:pt>
                <c:pt idx="324">
                  <c:v>43949</c:v>
                </c:pt>
                <c:pt idx="325">
                  <c:v>43950</c:v>
                </c:pt>
                <c:pt idx="326">
                  <c:v>43951</c:v>
                </c:pt>
                <c:pt idx="327">
                  <c:v>43952</c:v>
                </c:pt>
                <c:pt idx="328">
                  <c:v>43955</c:v>
                </c:pt>
                <c:pt idx="329">
                  <c:v>43956</c:v>
                </c:pt>
                <c:pt idx="330">
                  <c:v>43957</c:v>
                </c:pt>
                <c:pt idx="331">
                  <c:v>43958</c:v>
                </c:pt>
                <c:pt idx="332">
                  <c:v>43959</c:v>
                </c:pt>
                <c:pt idx="333">
                  <c:v>43962</c:v>
                </c:pt>
                <c:pt idx="334">
                  <c:v>43963</c:v>
                </c:pt>
                <c:pt idx="335">
                  <c:v>43964</c:v>
                </c:pt>
                <c:pt idx="336">
                  <c:v>43965</c:v>
                </c:pt>
                <c:pt idx="337">
                  <c:v>43966</c:v>
                </c:pt>
                <c:pt idx="338">
                  <c:v>43969</c:v>
                </c:pt>
                <c:pt idx="339">
                  <c:v>43970</c:v>
                </c:pt>
                <c:pt idx="340">
                  <c:v>43971</c:v>
                </c:pt>
                <c:pt idx="341">
                  <c:v>43972</c:v>
                </c:pt>
                <c:pt idx="342">
                  <c:v>43973</c:v>
                </c:pt>
                <c:pt idx="343">
                  <c:v>43977</c:v>
                </c:pt>
                <c:pt idx="344">
                  <c:v>43978</c:v>
                </c:pt>
                <c:pt idx="345">
                  <c:v>43979</c:v>
                </c:pt>
                <c:pt idx="346">
                  <c:v>43980</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44018</c:v>
                </c:pt>
                <c:pt idx="372">
                  <c:v>44019</c:v>
                </c:pt>
                <c:pt idx="373">
                  <c:v>44020</c:v>
                </c:pt>
                <c:pt idx="374">
                  <c:v>44021</c:v>
                </c:pt>
                <c:pt idx="375">
                  <c:v>44022</c:v>
                </c:pt>
                <c:pt idx="376">
                  <c:v>44025</c:v>
                </c:pt>
                <c:pt idx="377">
                  <c:v>44026</c:v>
                </c:pt>
                <c:pt idx="378">
                  <c:v>44027</c:v>
                </c:pt>
                <c:pt idx="379">
                  <c:v>44028</c:v>
                </c:pt>
                <c:pt idx="380">
                  <c:v>44029</c:v>
                </c:pt>
                <c:pt idx="381">
                  <c:v>44032</c:v>
                </c:pt>
                <c:pt idx="382">
                  <c:v>44033</c:v>
                </c:pt>
                <c:pt idx="383">
                  <c:v>44034</c:v>
                </c:pt>
                <c:pt idx="384">
                  <c:v>44035</c:v>
                </c:pt>
                <c:pt idx="385">
                  <c:v>44036</c:v>
                </c:pt>
                <c:pt idx="386">
                  <c:v>44039</c:v>
                </c:pt>
                <c:pt idx="387">
                  <c:v>44040</c:v>
                </c:pt>
                <c:pt idx="388">
                  <c:v>44041</c:v>
                </c:pt>
                <c:pt idx="389">
                  <c:v>44042</c:v>
                </c:pt>
                <c:pt idx="390">
                  <c:v>44043</c:v>
                </c:pt>
                <c:pt idx="391">
                  <c:v>44046</c:v>
                </c:pt>
                <c:pt idx="392">
                  <c:v>44047</c:v>
                </c:pt>
                <c:pt idx="393">
                  <c:v>44048</c:v>
                </c:pt>
                <c:pt idx="394">
                  <c:v>44049</c:v>
                </c:pt>
                <c:pt idx="395">
                  <c:v>44050</c:v>
                </c:pt>
                <c:pt idx="396">
                  <c:v>44053</c:v>
                </c:pt>
                <c:pt idx="397">
                  <c:v>44054</c:v>
                </c:pt>
                <c:pt idx="398">
                  <c:v>44055</c:v>
                </c:pt>
                <c:pt idx="399">
                  <c:v>44056</c:v>
                </c:pt>
                <c:pt idx="400">
                  <c:v>44057</c:v>
                </c:pt>
                <c:pt idx="401">
                  <c:v>44060</c:v>
                </c:pt>
                <c:pt idx="402">
                  <c:v>44061</c:v>
                </c:pt>
                <c:pt idx="403">
                  <c:v>44062</c:v>
                </c:pt>
                <c:pt idx="404">
                  <c:v>44063</c:v>
                </c:pt>
                <c:pt idx="405">
                  <c:v>44064</c:v>
                </c:pt>
                <c:pt idx="406">
                  <c:v>44067</c:v>
                </c:pt>
                <c:pt idx="407">
                  <c:v>44068</c:v>
                </c:pt>
                <c:pt idx="408">
                  <c:v>44069</c:v>
                </c:pt>
                <c:pt idx="409">
                  <c:v>44070</c:v>
                </c:pt>
                <c:pt idx="410">
                  <c:v>44071</c:v>
                </c:pt>
                <c:pt idx="411">
                  <c:v>44074</c:v>
                </c:pt>
                <c:pt idx="412">
                  <c:v>44075</c:v>
                </c:pt>
                <c:pt idx="413">
                  <c:v>44076</c:v>
                </c:pt>
                <c:pt idx="414">
                  <c:v>44077</c:v>
                </c:pt>
                <c:pt idx="415">
                  <c:v>44078</c:v>
                </c:pt>
                <c:pt idx="416">
                  <c:v>44082</c:v>
                </c:pt>
                <c:pt idx="417">
                  <c:v>44083</c:v>
                </c:pt>
                <c:pt idx="418">
                  <c:v>44084</c:v>
                </c:pt>
                <c:pt idx="419">
                  <c:v>44085</c:v>
                </c:pt>
                <c:pt idx="420">
                  <c:v>44088</c:v>
                </c:pt>
                <c:pt idx="421">
                  <c:v>44089</c:v>
                </c:pt>
                <c:pt idx="422">
                  <c:v>44090</c:v>
                </c:pt>
                <c:pt idx="423">
                  <c:v>44091</c:v>
                </c:pt>
                <c:pt idx="424">
                  <c:v>44092</c:v>
                </c:pt>
                <c:pt idx="425">
                  <c:v>44095</c:v>
                </c:pt>
                <c:pt idx="426">
                  <c:v>44096</c:v>
                </c:pt>
                <c:pt idx="427">
                  <c:v>44097</c:v>
                </c:pt>
                <c:pt idx="428">
                  <c:v>44098</c:v>
                </c:pt>
                <c:pt idx="429">
                  <c:v>44099</c:v>
                </c:pt>
                <c:pt idx="430">
                  <c:v>44102</c:v>
                </c:pt>
                <c:pt idx="431">
                  <c:v>44103</c:v>
                </c:pt>
                <c:pt idx="432">
                  <c:v>44104</c:v>
                </c:pt>
                <c:pt idx="433">
                  <c:v>44105</c:v>
                </c:pt>
                <c:pt idx="434">
                  <c:v>44106</c:v>
                </c:pt>
                <c:pt idx="435">
                  <c:v>44109</c:v>
                </c:pt>
                <c:pt idx="436">
                  <c:v>44110</c:v>
                </c:pt>
                <c:pt idx="437">
                  <c:v>44111</c:v>
                </c:pt>
                <c:pt idx="438">
                  <c:v>44112</c:v>
                </c:pt>
                <c:pt idx="439">
                  <c:v>44113</c:v>
                </c:pt>
                <c:pt idx="440">
                  <c:v>44116</c:v>
                </c:pt>
                <c:pt idx="441">
                  <c:v>44117</c:v>
                </c:pt>
                <c:pt idx="442">
                  <c:v>44118</c:v>
                </c:pt>
                <c:pt idx="443">
                  <c:v>44119</c:v>
                </c:pt>
                <c:pt idx="444">
                  <c:v>44120</c:v>
                </c:pt>
                <c:pt idx="445">
                  <c:v>44123</c:v>
                </c:pt>
                <c:pt idx="446">
                  <c:v>44124</c:v>
                </c:pt>
                <c:pt idx="447">
                  <c:v>44125</c:v>
                </c:pt>
                <c:pt idx="448">
                  <c:v>44126</c:v>
                </c:pt>
                <c:pt idx="449">
                  <c:v>44127</c:v>
                </c:pt>
                <c:pt idx="450">
                  <c:v>44130</c:v>
                </c:pt>
                <c:pt idx="451">
                  <c:v>44131</c:v>
                </c:pt>
                <c:pt idx="452">
                  <c:v>44132</c:v>
                </c:pt>
                <c:pt idx="453">
                  <c:v>44133</c:v>
                </c:pt>
                <c:pt idx="454">
                  <c:v>44134</c:v>
                </c:pt>
                <c:pt idx="455">
                  <c:v>44137</c:v>
                </c:pt>
                <c:pt idx="456">
                  <c:v>44138</c:v>
                </c:pt>
                <c:pt idx="457">
                  <c:v>44139</c:v>
                </c:pt>
                <c:pt idx="458">
                  <c:v>44140</c:v>
                </c:pt>
                <c:pt idx="459">
                  <c:v>44141</c:v>
                </c:pt>
                <c:pt idx="460">
                  <c:v>44144</c:v>
                </c:pt>
                <c:pt idx="461">
                  <c:v>44145</c:v>
                </c:pt>
                <c:pt idx="462">
                  <c:v>44146</c:v>
                </c:pt>
                <c:pt idx="463">
                  <c:v>44147</c:v>
                </c:pt>
                <c:pt idx="464">
                  <c:v>44148</c:v>
                </c:pt>
                <c:pt idx="465">
                  <c:v>44151</c:v>
                </c:pt>
                <c:pt idx="466">
                  <c:v>44152</c:v>
                </c:pt>
                <c:pt idx="467">
                  <c:v>44153</c:v>
                </c:pt>
                <c:pt idx="468">
                  <c:v>44154</c:v>
                </c:pt>
                <c:pt idx="469">
                  <c:v>44155</c:v>
                </c:pt>
                <c:pt idx="470">
                  <c:v>44158</c:v>
                </c:pt>
                <c:pt idx="471">
                  <c:v>44159</c:v>
                </c:pt>
                <c:pt idx="472">
                  <c:v>44160</c:v>
                </c:pt>
                <c:pt idx="473">
                  <c:v>44162</c:v>
                </c:pt>
                <c:pt idx="474">
                  <c:v>44165</c:v>
                </c:pt>
                <c:pt idx="475">
                  <c:v>44166</c:v>
                </c:pt>
                <c:pt idx="476">
                  <c:v>44167</c:v>
                </c:pt>
                <c:pt idx="477">
                  <c:v>44168</c:v>
                </c:pt>
                <c:pt idx="478">
                  <c:v>44169</c:v>
                </c:pt>
                <c:pt idx="479">
                  <c:v>44172</c:v>
                </c:pt>
                <c:pt idx="480">
                  <c:v>44173</c:v>
                </c:pt>
                <c:pt idx="481">
                  <c:v>44174</c:v>
                </c:pt>
                <c:pt idx="482">
                  <c:v>44175</c:v>
                </c:pt>
                <c:pt idx="483">
                  <c:v>44176</c:v>
                </c:pt>
                <c:pt idx="484">
                  <c:v>44179</c:v>
                </c:pt>
                <c:pt idx="485">
                  <c:v>44180</c:v>
                </c:pt>
                <c:pt idx="486">
                  <c:v>44181</c:v>
                </c:pt>
                <c:pt idx="487">
                  <c:v>44182</c:v>
                </c:pt>
                <c:pt idx="488">
                  <c:v>44183</c:v>
                </c:pt>
                <c:pt idx="489">
                  <c:v>44186</c:v>
                </c:pt>
                <c:pt idx="490">
                  <c:v>44187</c:v>
                </c:pt>
                <c:pt idx="491">
                  <c:v>44188</c:v>
                </c:pt>
                <c:pt idx="492">
                  <c:v>44189</c:v>
                </c:pt>
                <c:pt idx="493">
                  <c:v>44193</c:v>
                </c:pt>
                <c:pt idx="494">
                  <c:v>44194</c:v>
                </c:pt>
                <c:pt idx="495">
                  <c:v>44195</c:v>
                </c:pt>
                <c:pt idx="496">
                  <c:v>44196</c:v>
                </c:pt>
                <c:pt idx="497">
                  <c:v>44200</c:v>
                </c:pt>
                <c:pt idx="498">
                  <c:v>44201</c:v>
                </c:pt>
                <c:pt idx="499">
                  <c:v>44202</c:v>
                </c:pt>
                <c:pt idx="500">
                  <c:v>44203</c:v>
                </c:pt>
                <c:pt idx="501">
                  <c:v>44204</c:v>
                </c:pt>
                <c:pt idx="502">
                  <c:v>44207</c:v>
                </c:pt>
                <c:pt idx="503">
                  <c:v>44208</c:v>
                </c:pt>
                <c:pt idx="504">
                  <c:v>44209</c:v>
                </c:pt>
                <c:pt idx="505">
                  <c:v>44210</c:v>
                </c:pt>
                <c:pt idx="506">
                  <c:v>44211</c:v>
                </c:pt>
                <c:pt idx="507">
                  <c:v>44215</c:v>
                </c:pt>
                <c:pt idx="508">
                  <c:v>44216</c:v>
                </c:pt>
                <c:pt idx="509">
                  <c:v>44217</c:v>
                </c:pt>
                <c:pt idx="510">
                  <c:v>44218</c:v>
                </c:pt>
                <c:pt idx="511">
                  <c:v>44221</c:v>
                </c:pt>
                <c:pt idx="512">
                  <c:v>44222</c:v>
                </c:pt>
                <c:pt idx="513">
                  <c:v>44223</c:v>
                </c:pt>
                <c:pt idx="514">
                  <c:v>44224</c:v>
                </c:pt>
                <c:pt idx="515">
                  <c:v>44225</c:v>
                </c:pt>
                <c:pt idx="516">
                  <c:v>44228</c:v>
                </c:pt>
                <c:pt idx="517">
                  <c:v>44229</c:v>
                </c:pt>
                <c:pt idx="518">
                  <c:v>44230</c:v>
                </c:pt>
                <c:pt idx="519">
                  <c:v>44231</c:v>
                </c:pt>
                <c:pt idx="520">
                  <c:v>44232</c:v>
                </c:pt>
                <c:pt idx="521">
                  <c:v>44235</c:v>
                </c:pt>
                <c:pt idx="522">
                  <c:v>44236</c:v>
                </c:pt>
                <c:pt idx="523">
                  <c:v>44237</c:v>
                </c:pt>
                <c:pt idx="524">
                  <c:v>44238</c:v>
                </c:pt>
                <c:pt idx="525">
                  <c:v>44239</c:v>
                </c:pt>
                <c:pt idx="526">
                  <c:v>44243</c:v>
                </c:pt>
                <c:pt idx="527">
                  <c:v>44244</c:v>
                </c:pt>
                <c:pt idx="528">
                  <c:v>44245</c:v>
                </c:pt>
                <c:pt idx="529">
                  <c:v>44246</c:v>
                </c:pt>
                <c:pt idx="530">
                  <c:v>44249</c:v>
                </c:pt>
                <c:pt idx="531">
                  <c:v>44250</c:v>
                </c:pt>
                <c:pt idx="532">
                  <c:v>44251</c:v>
                </c:pt>
                <c:pt idx="533">
                  <c:v>44252</c:v>
                </c:pt>
                <c:pt idx="534">
                  <c:v>44253</c:v>
                </c:pt>
                <c:pt idx="535">
                  <c:v>44256</c:v>
                </c:pt>
                <c:pt idx="536">
                  <c:v>44257</c:v>
                </c:pt>
                <c:pt idx="537">
                  <c:v>44258</c:v>
                </c:pt>
                <c:pt idx="538">
                  <c:v>44259</c:v>
                </c:pt>
                <c:pt idx="539">
                  <c:v>44260</c:v>
                </c:pt>
                <c:pt idx="540">
                  <c:v>44263</c:v>
                </c:pt>
                <c:pt idx="541">
                  <c:v>44264</c:v>
                </c:pt>
                <c:pt idx="542">
                  <c:v>44265</c:v>
                </c:pt>
                <c:pt idx="543">
                  <c:v>44266</c:v>
                </c:pt>
                <c:pt idx="544">
                  <c:v>44267</c:v>
                </c:pt>
                <c:pt idx="545">
                  <c:v>44270</c:v>
                </c:pt>
                <c:pt idx="546">
                  <c:v>44271</c:v>
                </c:pt>
                <c:pt idx="547">
                  <c:v>44272</c:v>
                </c:pt>
                <c:pt idx="548">
                  <c:v>44273</c:v>
                </c:pt>
                <c:pt idx="549">
                  <c:v>44274</c:v>
                </c:pt>
                <c:pt idx="550">
                  <c:v>44277</c:v>
                </c:pt>
                <c:pt idx="551">
                  <c:v>44278</c:v>
                </c:pt>
                <c:pt idx="552">
                  <c:v>44279</c:v>
                </c:pt>
                <c:pt idx="553">
                  <c:v>44280</c:v>
                </c:pt>
                <c:pt idx="554">
                  <c:v>44281</c:v>
                </c:pt>
                <c:pt idx="555">
                  <c:v>44284</c:v>
                </c:pt>
                <c:pt idx="556">
                  <c:v>44285</c:v>
                </c:pt>
                <c:pt idx="557">
                  <c:v>44286</c:v>
                </c:pt>
                <c:pt idx="558">
                  <c:v>44287</c:v>
                </c:pt>
                <c:pt idx="559">
                  <c:v>44291</c:v>
                </c:pt>
                <c:pt idx="560">
                  <c:v>44292</c:v>
                </c:pt>
                <c:pt idx="561">
                  <c:v>44293</c:v>
                </c:pt>
                <c:pt idx="562">
                  <c:v>44294</c:v>
                </c:pt>
                <c:pt idx="563">
                  <c:v>44295</c:v>
                </c:pt>
                <c:pt idx="564">
                  <c:v>44298</c:v>
                </c:pt>
                <c:pt idx="565">
                  <c:v>44299</c:v>
                </c:pt>
                <c:pt idx="566">
                  <c:v>44300</c:v>
                </c:pt>
                <c:pt idx="567">
                  <c:v>44301</c:v>
                </c:pt>
                <c:pt idx="568">
                  <c:v>44302</c:v>
                </c:pt>
                <c:pt idx="569">
                  <c:v>44305</c:v>
                </c:pt>
                <c:pt idx="570">
                  <c:v>44306</c:v>
                </c:pt>
                <c:pt idx="571">
                  <c:v>44307</c:v>
                </c:pt>
                <c:pt idx="572">
                  <c:v>44308</c:v>
                </c:pt>
                <c:pt idx="573">
                  <c:v>44309</c:v>
                </c:pt>
                <c:pt idx="574">
                  <c:v>44312</c:v>
                </c:pt>
                <c:pt idx="575">
                  <c:v>44313</c:v>
                </c:pt>
                <c:pt idx="576">
                  <c:v>44314</c:v>
                </c:pt>
                <c:pt idx="577">
                  <c:v>44315</c:v>
                </c:pt>
                <c:pt idx="578">
                  <c:v>44316</c:v>
                </c:pt>
                <c:pt idx="579">
                  <c:v>44319</c:v>
                </c:pt>
                <c:pt idx="580">
                  <c:v>44320</c:v>
                </c:pt>
                <c:pt idx="581">
                  <c:v>44321</c:v>
                </c:pt>
                <c:pt idx="582">
                  <c:v>44322</c:v>
                </c:pt>
                <c:pt idx="583">
                  <c:v>44323</c:v>
                </c:pt>
                <c:pt idx="584">
                  <c:v>44326</c:v>
                </c:pt>
                <c:pt idx="585">
                  <c:v>44327</c:v>
                </c:pt>
                <c:pt idx="586">
                  <c:v>44328</c:v>
                </c:pt>
                <c:pt idx="587">
                  <c:v>44329</c:v>
                </c:pt>
                <c:pt idx="588">
                  <c:v>44330</c:v>
                </c:pt>
                <c:pt idx="589">
                  <c:v>44333</c:v>
                </c:pt>
                <c:pt idx="590">
                  <c:v>44334</c:v>
                </c:pt>
                <c:pt idx="591">
                  <c:v>44335</c:v>
                </c:pt>
                <c:pt idx="592">
                  <c:v>44336</c:v>
                </c:pt>
                <c:pt idx="593">
                  <c:v>44337</c:v>
                </c:pt>
                <c:pt idx="594">
                  <c:v>44340</c:v>
                </c:pt>
                <c:pt idx="595">
                  <c:v>44341</c:v>
                </c:pt>
                <c:pt idx="596">
                  <c:v>44342</c:v>
                </c:pt>
                <c:pt idx="597">
                  <c:v>44343</c:v>
                </c:pt>
                <c:pt idx="598">
                  <c:v>44344</c:v>
                </c:pt>
                <c:pt idx="599">
                  <c:v>44348</c:v>
                </c:pt>
                <c:pt idx="600">
                  <c:v>44349</c:v>
                </c:pt>
                <c:pt idx="601">
                  <c:v>44350</c:v>
                </c:pt>
                <c:pt idx="602">
                  <c:v>44351</c:v>
                </c:pt>
                <c:pt idx="603">
                  <c:v>44354</c:v>
                </c:pt>
                <c:pt idx="604">
                  <c:v>44355</c:v>
                </c:pt>
                <c:pt idx="605">
                  <c:v>44356</c:v>
                </c:pt>
                <c:pt idx="606">
                  <c:v>44357</c:v>
                </c:pt>
                <c:pt idx="607">
                  <c:v>44358</c:v>
                </c:pt>
                <c:pt idx="608">
                  <c:v>44361</c:v>
                </c:pt>
                <c:pt idx="609">
                  <c:v>44362</c:v>
                </c:pt>
                <c:pt idx="610">
                  <c:v>44363</c:v>
                </c:pt>
                <c:pt idx="611">
                  <c:v>44364</c:v>
                </c:pt>
                <c:pt idx="612">
                  <c:v>44365</c:v>
                </c:pt>
                <c:pt idx="613">
                  <c:v>44368</c:v>
                </c:pt>
                <c:pt idx="614">
                  <c:v>44369</c:v>
                </c:pt>
                <c:pt idx="615">
                  <c:v>44370</c:v>
                </c:pt>
                <c:pt idx="616">
                  <c:v>44371</c:v>
                </c:pt>
                <c:pt idx="617">
                  <c:v>44372</c:v>
                </c:pt>
                <c:pt idx="618">
                  <c:v>44375</c:v>
                </c:pt>
                <c:pt idx="619">
                  <c:v>44376</c:v>
                </c:pt>
                <c:pt idx="620">
                  <c:v>44377</c:v>
                </c:pt>
                <c:pt idx="621">
                  <c:v>44378</c:v>
                </c:pt>
                <c:pt idx="622">
                  <c:v>44379</c:v>
                </c:pt>
                <c:pt idx="623">
                  <c:v>44383</c:v>
                </c:pt>
                <c:pt idx="624">
                  <c:v>44384</c:v>
                </c:pt>
                <c:pt idx="625">
                  <c:v>44385</c:v>
                </c:pt>
                <c:pt idx="626">
                  <c:v>44386</c:v>
                </c:pt>
                <c:pt idx="627">
                  <c:v>44389</c:v>
                </c:pt>
                <c:pt idx="628">
                  <c:v>44390</c:v>
                </c:pt>
                <c:pt idx="629">
                  <c:v>44391</c:v>
                </c:pt>
                <c:pt idx="630">
                  <c:v>44392</c:v>
                </c:pt>
                <c:pt idx="631">
                  <c:v>44393</c:v>
                </c:pt>
                <c:pt idx="632">
                  <c:v>44396</c:v>
                </c:pt>
                <c:pt idx="633">
                  <c:v>44397</c:v>
                </c:pt>
                <c:pt idx="634">
                  <c:v>44398</c:v>
                </c:pt>
                <c:pt idx="635">
                  <c:v>44399</c:v>
                </c:pt>
                <c:pt idx="636">
                  <c:v>44400</c:v>
                </c:pt>
                <c:pt idx="637">
                  <c:v>44403</c:v>
                </c:pt>
                <c:pt idx="638">
                  <c:v>44404</c:v>
                </c:pt>
                <c:pt idx="639">
                  <c:v>44405</c:v>
                </c:pt>
                <c:pt idx="640">
                  <c:v>44406</c:v>
                </c:pt>
                <c:pt idx="641">
                  <c:v>44407</c:v>
                </c:pt>
                <c:pt idx="642">
                  <c:v>44410</c:v>
                </c:pt>
                <c:pt idx="643">
                  <c:v>44411</c:v>
                </c:pt>
                <c:pt idx="644">
                  <c:v>44412</c:v>
                </c:pt>
                <c:pt idx="645">
                  <c:v>44413</c:v>
                </c:pt>
                <c:pt idx="646">
                  <c:v>44414</c:v>
                </c:pt>
                <c:pt idx="647">
                  <c:v>44417</c:v>
                </c:pt>
                <c:pt idx="648">
                  <c:v>44418</c:v>
                </c:pt>
                <c:pt idx="649">
                  <c:v>44419</c:v>
                </c:pt>
                <c:pt idx="650">
                  <c:v>44420</c:v>
                </c:pt>
                <c:pt idx="651">
                  <c:v>44421</c:v>
                </c:pt>
                <c:pt idx="652">
                  <c:v>44424</c:v>
                </c:pt>
                <c:pt idx="653">
                  <c:v>44425</c:v>
                </c:pt>
                <c:pt idx="654">
                  <c:v>44426</c:v>
                </c:pt>
                <c:pt idx="655">
                  <c:v>44427</c:v>
                </c:pt>
                <c:pt idx="656">
                  <c:v>44428</c:v>
                </c:pt>
                <c:pt idx="657">
                  <c:v>44431</c:v>
                </c:pt>
                <c:pt idx="658">
                  <c:v>44432</c:v>
                </c:pt>
                <c:pt idx="659">
                  <c:v>44433</c:v>
                </c:pt>
                <c:pt idx="660">
                  <c:v>44434</c:v>
                </c:pt>
                <c:pt idx="661">
                  <c:v>44435</c:v>
                </c:pt>
                <c:pt idx="662">
                  <c:v>44438</c:v>
                </c:pt>
                <c:pt idx="663">
                  <c:v>44439</c:v>
                </c:pt>
                <c:pt idx="664">
                  <c:v>44440</c:v>
                </c:pt>
                <c:pt idx="665">
                  <c:v>44441</c:v>
                </c:pt>
                <c:pt idx="666">
                  <c:v>44442</c:v>
                </c:pt>
                <c:pt idx="667">
                  <c:v>44446</c:v>
                </c:pt>
                <c:pt idx="668">
                  <c:v>44447</c:v>
                </c:pt>
                <c:pt idx="669">
                  <c:v>44448</c:v>
                </c:pt>
                <c:pt idx="670">
                  <c:v>44449</c:v>
                </c:pt>
              </c:numCache>
            </c:numRef>
          </c:cat>
          <c:val>
            <c:numRef>
              <c:f>Sheet1!$C$2:$C$672</c:f>
              <c:numCache>
                <c:formatCode>0.0</c:formatCode>
                <c:ptCount val="671"/>
                <c:pt idx="0">
                  <c:v>100</c:v>
                </c:pt>
                <c:pt idx="1">
                  <c:v>98.726114649681534</c:v>
                </c:pt>
                <c:pt idx="2">
                  <c:v>102.71762208067942</c:v>
                </c:pt>
                <c:pt idx="3">
                  <c:v>102.50530785562634</c:v>
                </c:pt>
                <c:pt idx="4">
                  <c:v>103.39702760084927</c:v>
                </c:pt>
                <c:pt idx="5">
                  <c:v>105.01061571125265</c:v>
                </c:pt>
                <c:pt idx="6">
                  <c:v>104.3312101910828</c:v>
                </c:pt>
                <c:pt idx="7">
                  <c:v>103.56687898089173</c:v>
                </c:pt>
                <c:pt idx="8">
                  <c:v>103.86411889596603</c:v>
                </c:pt>
                <c:pt idx="9">
                  <c:v>103.8216560509554</c:v>
                </c:pt>
                <c:pt idx="10">
                  <c:v>103.86411889596603</c:v>
                </c:pt>
                <c:pt idx="11">
                  <c:v>103.39702760084926</c:v>
                </c:pt>
                <c:pt idx="12">
                  <c:v>106.07218683651804</c:v>
                </c:pt>
                <c:pt idx="13">
                  <c:v>104.71337579617834</c:v>
                </c:pt>
                <c:pt idx="14">
                  <c:v>104.71337579617834</c:v>
                </c:pt>
                <c:pt idx="15">
                  <c:v>104.8407643312102</c:v>
                </c:pt>
                <c:pt idx="16">
                  <c:v>106.83651804670914</c:v>
                </c:pt>
                <c:pt idx="17">
                  <c:v>106.87898089171976</c:v>
                </c:pt>
                <c:pt idx="18">
                  <c:v>106.83651804670914</c:v>
                </c:pt>
                <c:pt idx="19">
                  <c:v>106.15711252653929</c:v>
                </c:pt>
                <c:pt idx="20">
                  <c:v>106.58174097664545</c:v>
                </c:pt>
                <c:pt idx="21">
                  <c:v>106.32696390658175</c:v>
                </c:pt>
                <c:pt idx="22">
                  <c:v>106.41188959660299</c:v>
                </c:pt>
                <c:pt idx="23">
                  <c:v>107.85562632696391</c:v>
                </c:pt>
                <c:pt idx="24">
                  <c:v>104.33121019108282</c:v>
                </c:pt>
                <c:pt idx="25">
                  <c:v>103.35456475583865</c:v>
                </c:pt>
                <c:pt idx="26">
                  <c:v>103.26963906581742</c:v>
                </c:pt>
                <c:pt idx="27">
                  <c:v>105.18046709129511</c:v>
                </c:pt>
                <c:pt idx="28">
                  <c:v>104.79830148619958</c:v>
                </c:pt>
                <c:pt idx="29">
                  <c:v>104.45859872611466</c:v>
                </c:pt>
                <c:pt idx="30">
                  <c:v>106.15711252653928</c:v>
                </c:pt>
                <c:pt idx="31">
                  <c:v>106.96390658174099</c:v>
                </c:pt>
                <c:pt idx="32">
                  <c:v>107.98301486199576</c:v>
                </c:pt>
                <c:pt idx="33">
                  <c:v>107.38853503184714</c:v>
                </c:pt>
                <c:pt idx="34">
                  <c:v>108.36518046709129</c:v>
                </c:pt>
                <c:pt idx="35">
                  <c:v>109.2144373673036</c:v>
                </c:pt>
                <c:pt idx="36">
                  <c:v>109.51167728237792</c:v>
                </c:pt>
                <c:pt idx="37">
                  <c:v>108.74734607218683</c:v>
                </c:pt>
                <c:pt idx="38">
                  <c:v>106.15711252653928</c:v>
                </c:pt>
                <c:pt idx="39">
                  <c:v>109.85138004246284</c:v>
                </c:pt>
                <c:pt idx="40">
                  <c:v>109.12951167728235</c:v>
                </c:pt>
                <c:pt idx="41">
                  <c:v>109.12951167728235</c:v>
                </c:pt>
                <c:pt idx="42">
                  <c:v>108.95966029723989</c:v>
                </c:pt>
                <c:pt idx="43">
                  <c:v>107.13375796178342</c:v>
                </c:pt>
                <c:pt idx="44">
                  <c:v>106.96390658174096</c:v>
                </c:pt>
                <c:pt idx="45">
                  <c:v>107.6008492569002</c:v>
                </c:pt>
                <c:pt idx="46">
                  <c:v>108.06794055201698</c:v>
                </c:pt>
                <c:pt idx="47">
                  <c:v>108.91719745222929</c:v>
                </c:pt>
                <c:pt idx="48">
                  <c:v>108.95966029723992</c:v>
                </c:pt>
                <c:pt idx="49">
                  <c:v>110.02123142250531</c:v>
                </c:pt>
                <c:pt idx="50">
                  <c:v>110.10615711252653</c:v>
                </c:pt>
                <c:pt idx="51">
                  <c:v>111.04033970276008</c:v>
                </c:pt>
                <c:pt idx="52">
                  <c:v>109.72399150743099</c:v>
                </c:pt>
                <c:pt idx="53">
                  <c:v>109.00212314225053</c:v>
                </c:pt>
                <c:pt idx="54">
                  <c:v>106.66666666666666</c:v>
                </c:pt>
                <c:pt idx="55">
                  <c:v>106.32696390658172</c:v>
                </c:pt>
                <c:pt idx="56">
                  <c:v>107.51592356687897</c:v>
                </c:pt>
                <c:pt idx="57">
                  <c:v>106.92144373673034</c:v>
                </c:pt>
                <c:pt idx="58">
                  <c:v>107.13375796178342</c:v>
                </c:pt>
                <c:pt idx="59">
                  <c:v>107.81316348195328</c:v>
                </c:pt>
                <c:pt idx="60">
                  <c:v>108.95966029723989</c:v>
                </c:pt>
                <c:pt idx="61">
                  <c:v>109.72399150743097</c:v>
                </c:pt>
                <c:pt idx="62">
                  <c:v>111.59235668789806</c:v>
                </c:pt>
                <c:pt idx="63">
                  <c:v>111.84713375796174</c:v>
                </c:pt>
                <c:pt idx="64">
                  <c:v>111.76220806794051</c:v>
                </c:pt>
                <c:pt idx="65">
                  <c:v>111.84713375796174</c:v>
                </c:pt>
                <c:pt idx="66">
                  <c:v>111.12526539278127</c:v>
                </c:pt>
                <c:pt idx="67">
                  <c:v>111.67728237791928</c:v>
                </c:pt>
                <c:pt idx="68">
                  <c:v>111.67728237791928</c:v>
                </c:pt>
                <c:pt idx="69">
                  <c:v>112.95116772823775</c:v>
                </c:pt>
                <c:pt idx="70">
                  <c:v>113.16348195329083</c:v>
                </c:pt>
                <c:pt idx="71">
                  <c:v>113.80042462845007</c:v>
                </c:pt>
                <c:pt idx="72">
                  <c:v>114.01273885350315</c:v>
                </c:pt>
                <c:pt idx="73">
                  <c:v>114.52229299363054</c:v>
                </c:pt>
                <c:pt idx="74">
                  <c:v>114.60721868365177</c:v>
                </c:pt>
                <c:pt idx="75">
                  <c:v>114.09766454352439</c:v>
                </c:pt>
                <c:pt idx="76">
                  <c:v>114.18259023354561</c:v>
                </c:pt>
                <c:pt idx="77">
                  <c:v>113.9278131634819</c:v>
                </c:pt>
                <c:pt idx="78">
                  <c:v>114.52229299363053</c:v>
                </c:pt>
                <c:pt idx="79">
                  <c:v>114.52229299363053</c:v>
                </c:pt>
                <c:pt idx="80">
                  <c:v>115.20169851380038</c:v>
                </c:pt>
                <c:pt idx="81">
                  <c:v>114.64968152866238</c:v>
                </c:pt>
                <c:pt idx="82">
                  <c:v>114.43736730360931</c:v>
                </c:pt>
                <c:pt idx="83">
                  <c:v>115.54140127388531</c:v>
                </c:pt>
                <c:pt idx="84">
                  <c:v>114.30997876857747</c:v>
                </c:pt>
                <c:pt idx="85">
                  <c:v>112.22929936305729</c:v>
                </c:pt>
                <c:pt idx="86">
                  <c:v>113.29087048832268</c:v>
                </c:pt>
                <c:pt idx="87">
                  <c:v>112.65392781316345</c:v>
                </c:pt>
                <c:pt idx="88">
                  <c:v>113.12101910828024</c:v>
                </c:pt>
                <c:pt idx="89">
                  <c:v>110.65817409766453</c:v>
                </c:pt>
                <c:pt idx="90">
                  <c:v>111.71974522292993</c:v>
                </c:pt>
                <c:pt idx="91">
                  <c:v>112.56900212314225</c:v>
                </c:pt>
                <c:pt idx="92">
                  <c:v>113.88535031847134</c:v>
                </c:pt>
                <c:pt idx="93">
                  <c:v>112.82377919320595</c:v>
                </c:pt>
                <c:pt idx="94">
                  <c:v>111.29511677282379</c:v>
                </c:pt>
                <c:pt idx="95">
                  <c:v>112.05944798301486</c:v>
                </c:pt>
                <c:pt idx="96">
                  <c:v>110.61571125265392</c:v>
                </c:pt>
                <c:pt idx="97">
                  <c:v>111.71974522292993</c:v>
                </c:pt>
                <c:pt idx="98">
                  <c:v>110.82802547770702</c:v>
                </c:pt>
                <c:pt idx="99">
                  <c:v>108.06794055201698</c:v>
                </c:pt>
                <c:pt idx="100">
                  <c:v>109.55414012738854</c:v>
                </c:pt>
                <c:pt idx="101">
                  <c:v>115.45647558386412</c:v>
                </c:pt>
                <c:pt idx="102">
                  <c:v>109.63906581740976</c:v>
                </c:pt>
                <c:pt idx="103">
                  <c:v>110.78556263269638</c:v>
                </c:pt>
                <c:pt idx="104">
                  <c:v>110.91295116772824</c:v>
                </c:pt>
                <c:pt idx="105">
                  <c:v>111.80467091295115</c:v>
                </c:pt>
                <c:pt idx="106">
                  <c:v>112.6963906581741</c:v>
                </c:pt>
                <c:pt idx="107">
                  <c:v>113.58811040339704</c:v>
                </c:pt>
                <c:pt idx="108">
                  <c:v>114.18259023354567</c:v>
                </c:pt>
                <c:pt idx="109">
                  <c:v>113.33333333333336</c:v>
                </c:pt>
                <c:pt idx="110">
                  <c:v>112.44161358811043</c:v>
                </c:pt>
                <c:pt idx="111">
                  <c:v>111.93205944798304</c:v>
                </c:pt>
                <c:pt idx="112">
                  <c:v>112.22929936305735</c:v>
                </c:pt>
                <c:pt idx="113">
                  <c:v>113.88535031847135</c:v>
                </c:pt>
                <c:pt idx="114">
                  <c:v>114.39490445859875</c:v>
                </c:pt>
                <c:pt idx="115">
                  <c:v>115.32908704883228</c:v>
                </c:pt>
                <c:pt idx="116">
                  <c:v>115.28662420382165</c:v>
                </c:pt>
                <c:pt idx="117">
                  <c:v>115.28662420382165</c:v>
                </c:pt>
                <c:pt idx="118">
                  <c:v>114.81953290870487</c:v>
                </c:pt>
                <c:pt idx="119">
                  <c:v>115.03184713375796</c:v>
                </c:pt>
                <c:pt idx="120">
                  <c:v>112.31422505307854</c:v>
                </c:pt>
                <c:pt idx="121">
                  <c:v>112.52653927813162</c:v>
                </c:pt>
                <c:pt idx="122">
                  <c:v>114.01273885350318</c:v>
                </c:pt>
                <c:pt idx="123">
                  <c:v>114.18259023354564</c:v>
                </c:pt>
                <c:pt idx="124">
                  <c:v>115.20169851380041</c:v>
                </c:pt>
                <c:pt idx="125">
                  <c:v>113.54564755838639</c:v>
                </c:pt>
                <c:pt idx="126">
                  <c:v>113.46072186836517</c:v>
                </c:pt>
                <c:pt idx="127">
                  <c:v>112.78131634819532</c:v>
                </c:pt>
                <c:pt idx="128">
                  <c:v>112.61146496815286</c:v>
                </c:pt>
                <c:pt idx="129">
                  <c:v>112.18683651804672</c:v>
                </c:pt>
                <c:pt idx="130">
                  <c:v>111.84713375796179</c:v>
                </c:pt>
                <c:pt idx="131">
                  <c:v>112.82377919320595</c:v>
                </c:pt>
                <c:pt idx="132">
                  <c:v>112.86624203821655</c:v>
                </c:pt>
                <c:pt idx="133">
                  <c:v>112.22929936305732</c:v>
                </c:pt>
                <c:pt idx="134">
                  <c:v>111.54989384288747</c:v>
                </c:pt>
                <c:pt idx="135">
                  <c:v>111.29511677282379</c:v>
                </c:pt>
                <c:pt idx="136">
                  <c:v>112.61146496815287</c:v>
                </c:pt>
                <c:pt idx="137">
                  <c:v>112.65392781316349</c:v>
                </c:pt>
                <c:pt idx="138">
                  <c:v>111.33757961783439</c:v>
                </c:pt>
                <c:pt idx="139">
                  <c:v>110.95541401273884</c:v>
                </c:pt>
                <c:pt idx="140">
                  <c:v>112.14437367303609</c:v>
                </c:pt>
                <c:pt idx="141">
                  <c:v>109.68152866242036</c:v>
                </c:pt>
                <c:pt idx="142">
                  <c:v>107.30360934182588</c:v>
                </c:pt>
                <c:pt idx="143">
                  <c:v>108.40764331210188</c:v>
                </c:pt>
                <c:pt idx="144">
                  <c:v>107.26114649681526</c:v>
                </c:pt>
                <c:pt idx="145">
                  <c:v>104.62845010615709</c:v>
                </c:pt>
                <c:pt idx="146">
                  <c:v>104.75583864118894</c:v>
                </c:pt>
                <c:pt idx="147">
                  <c:v>105.7324840764331</c:v>
                </c:pt>
                <c:pt idx="148">
                  <c:v>106.45435244161358</c:v>
                </c:pt>
                <c:pt idx="149">
                  <c:v>106.7940552016985</c:v>
                </c:pt>
                <c:pt idx="150">
                  <c:v>105.69002123142249</c:v>
                </c:pt>
                <c:pt idx="151">
                  <c:v>106.19957537154988</c:v>
                </c:pt>
                <c:pt idx="152">
                  <c:v>102.54777070063692</c:v>
                </c:pt>
                <c:pt idx="153">
                  <c:v>102.2505307855626</c:v>
                </c:pt>
                <c:pt idx="154">
                  <c:v>103.48195329087048</c:v>
                </c:pt>
                <c:pt idx="155">
                  <c:v>105.22292993630572</c:v>
                </c:pt>
                <c:pt idx="156">
                  <c:v>104.24628450106155</c:v>
                </c:pt>
                <c:pt idx="157">
                  <c:v>105.77494692144371</c:v>
                </c:pt>
                <c:pt idx="158">
                  <c:v>105.35031847133754</c:v>
                </c:pt>
                <c:pt idx="159">
                  <c:v>104.71337579617831</c:v>
                </c:pt>
                <c:pt idx="160">
                  <c:v>104.20382165605092</c:v>
                </c:pt>
                <c:pt idx="161">
                  <c:v>105.2229299363057</c:v>
                </c:pt>
                <c:pt idx="162">
                  <c:v>104.84076433121015</c:v>
                </c:pt>
                <c:pt idx="163">
                  <c:v>105.56263269639062</c:v>
                </c:pt>
                <c:pt idx="164">
                  <c:v>107.09129511677278</c:v>
                </c:pt>
                <c:pt idx="165">
                  <c:v>105.56263269639062</c:v>
                </c:pt>
                <c:pt idx="166">
                  <c:v>106.79405520169847</c:v>
                </c:pt>
                <c:pt idx="167">
                  <c:v>108.70488322717618</c:v>
                </c:pt>
                <c:pt idx="168">
                  <c:v>108.74734607218679</c:v>
                </c:pt>
                <c:pt idx="169">
                  <c:v>109.42675159235664</c:v>
                </c:pt>
                <c:pt idx="170">
                  <c:v>109.46921443736727</c:v>
                </c:pt>
                <c:pt idx="171">
                  <c:v>110.91295116772821</c:v>
                </c:pt>
                <c:pt idx="172">
                  <c:v>111.59235668789806</c:v>
                </c:pt>
                <c:pt idx="173">
                  <c:v>110.57324840764328</c:v>
                </c:pt>
                <c:pt idx="174">
                  <c:v>110.3609341825902</c:v>
                </c:pt>
                <c:pt idx="175">
                  <c:v>110.40339702760082</c:v>
                </c:pt>
                <c:pt idx="176">
                  <c:v>110.57324840764328</c:v>
                </c:pt>
                <c:pt idx="177">
                  <c:v>109.04458598726112</c:v>
                </c:pt>
                <c:pt idx="178">
                  <c:v>109.34182590233542</c:v>
                </c:pt>
                <c:pt idx="179">
                  <c:v>107.98301486199571</c:v>
                </c:pt>
                <c:pt idx="180">
                  <c:v>108.87473460721866</c:v>
                </c:pt>
                <c:pt idx="181">
                  <c:v>108.78980891719743</c:v>
                </c:pt>
                <c:pt idx="182">
                  <c:v>108.7473460721868</c:v>
                </c:pt>
                <c:pt idx="183">
                  <c:v>109.2993630573248</c:v>
                </c:pt>
                <c:pt idx="184">
                  <c:v>105.69002123142246</c:v>
                </c:pt>
                <c:pt idx="185">
                  <c:v>107.00636942675153</c:v>
                </c:pt>
                <c:pt idx="186">
                  <c:v>105.85987261146491</c:v>
                </c:pt>
                <c:pt idx="187">
                  <c:v>106.62420382165598</c:v>
                </c:pt>
                <c:pt idx="188">
                  <c:v>105.98726114649676</c:v>
                </c:pt>
                <c:pt idx="189">
                  <c:v>107.04883227176215</c:v>
                </c:pt>
                <c:pt idx="190">
                  <c:v>107.89808917197446</c:v>
                </c:pt>
                <c:pt idx="191">
                  <c:v>110.82802547770696</c:v>
                </c:pt>
                <c:pt idx="192">
                  <c:v>111.42250530785557</c:v>
                </c:pt>
                <c:pt idx="193">
                  <c:v>112.44161358811036</c:v>
                </c:pt>
                <c:pt idx="194">
                  <c:v>112.95116772823776</c:v>
                </c:pt>
                <c:pt idx="195">
                  <c:v>114.22505307855623</c:v>
                </c:pt>
                <c:pt idx="196">
                  <c:v>114.01273885350317</c:v>
                </c:pt>
                <c:pt idx="197">
                  <c:v>115.11677282377916</c:v>
                </c:pt>
                <c:pt idx="198">
                  <c:v>113.88535031847131</c:v>
                </c:pt>
                <c:pt idx="199">
                  <c:v>115.24416135881101</c:v>
                </c:pt>
                <c:pt idx="200">
                  <c:v>115.20169851380039</c:v>
                </c:pt>
                <c:pt idx="201">
                  <c:v>116.13588110403394</c:v>
                </c:pt>
                <c:pt idx="202">
                  <c:v>115.7537154989384</c:v>
                </c:pt>
                <c:pt idx="203">
                  <c:v>116.13588110403396</c:v>
                </c:pt>
                <c:pt idx="204">
                  <c:v>117.36730360934182</c:v>
                </c:pt>
                <c:pt idx="205">
                  <c:v>117.70700636942672</c:v>
                </c:pt>
                <c:pt idx="206">
                  <c:v>117.83439490445856</c:v>
                </c:pt>
                <c:pt idx="207">
                  <c:v>118.08917197452226</c:v>
                </c:pt>
                <c:pt idx="208">
                  <c:v>118.72611464968151</c:v>
                </c:pt>
                <c:pt idx="209">
                  <c:v>118.08917197452226</c:v>
                </c:pt>
                <c:pt idx="210">
                  <c:v>117.02760084925687</c:v>
                </c:pt>
                <c:pt idx="211">
                  <c:v>117.83439490445858</c:v>
                </c:pt>
                <c:pt idx="212">
                  <c:v>117.74946921443734</c:v>
                </c:pt>
                <c:pt idx="213">
                  <c:v>117.45222929936303</c:v>
                </c:pt>
                <c:pt idx="214">
                  <c:v>118.30148619957534</c:v>
                </c:pt>
                <c:pt idx="215">
                  <c:v>118.04670912951164</c:v>
                </c:pt>
                <c:pt idx="216">
                  <c:v>118.30148619957532</c:v>
                </c:pt>
                <c:pt idx="217">
                  <c:v>117.53715498938425</c:v>
                </c:pt>
                <c:pt idx="218">
                  <c:v>117.53715498938425</c:v>
                </c:pt>
                <c:pt idx="219">
                  <c:v>117.45222929936303</c:v>
                </c:pt>
                <c:pt idx="220">
                  <c:v>117.57961783439487</c:v>
                </c:pt>
                <c:pt idx="221">
                  <c:v>117.83439490445856</c:v>
                </c:pt>
                <c:pt idx="222">
                  <c:v>117.9617834394904</c:v>
                </c:pt>
                <c:pt idx="223">
                  <c:v>117.62208067940547</c:v>
                </c:pt>
                <c:pt idx="224">
                  <c:v>116.00849256900207</c:v>
                </c:pt>
                <c:pt idx="225">
                  <c:v>116.60297239915069</c:v>
                </c:pt>
                <c:pt idx="226">
                  <c:v>117.57961783439484</c:v>
                </c:pt>
                <c:pt idx="227">
                  <c:v>117.23991507430991</c:v>
                </c:pt>
                <c:pt idx="228">
                  <c:v>117.57961783439482</c:v>
                </c:pt>
                <c:pt idx="229">
                  <c:v>116.98513800424621</c:v>
                </c:pt>
                <c:pt idx="230">
                  <c:v>116.94267515923559</c:v>
                </c:pt>
                <c:pt idx="231">
                  <c:v>117.87685774946914</c:v>
                </c:pt>
                <c:pt idx="232">
                  <c:v>119.02335456475576</c:v>
                </c:pt>
                <c:pt idx="233">
                  <c:v>119.83014861995747</c:v>
                </c:pt>
                <c:pt idx="234">
                  <c:v>120.50955414012732</c:v>
                </c:pt>
                <c:pt idx="235">
                  <c:v>119.74522292993625</c:v>
                </c:pt>
                <c:pt idx="236">
                  <c:v>118.85350318471332</c:v>
                </c:pt>
                <c:pt idx="237">
                  <c:v>118.21656050955409</c:v>
                </c:pt>
                <c:pt idx="238">
                  <c:v>118.68365180467084</c:v>
                </c:pt>
                <c:pt idx="239">
                  <c:v>118.85350318471329</c:v>
                </c:pt>
                <c:pt idx="240">
                  <c:v>119.108280254777</c:v>
                </c:pt>
                <c:pt idx="241">
                  <c:v>119.49044585987254</c:v>
                </c:pt>
                <c:pt idx="242">
                  <c:v>117.62208067940544</c:v>
                </c:pt>
                <c:pt idx="243">
                  <c:v>119.32059447983006</c:v>
                </c:pt>
                <c:pt idx="244">
                  <c:v>121.01910828025468</c:v>
                </c:pt>
                <c:pt idx="245">
                  <c:v>118.85350318471328</c:v>
                </c:pt>
                <c:pt idx="246">
                  <c:v>118.89596602972391</c:v>
                </c:pt>
                <c:pt idx="247">
                  <c:v>118.68365180467083</c:v>
                </c:pt>
                <c:pt idx="248">
                  <c:v>119.99999999999993</c:v>
                </c:pt>
                <c:pt idx="249">
                  <c:v>120.80679405520161</c:v>
                </c:pt>
                <c:pt idx="250">
                  <c:v>121.0191082802547</c:v>
                </c:pt>
                <c:pt idx="251">
                  <c:v>120.80679405520162</c:v>
                </c:pt>
                <c:pt idx="252">
                  <c:v>120.42462845010607</c:v>
                </c:pt>
                <c:pt idx="253">
                  <c:v>120.50955414012729</c:v>
                </c:pt>
                <c:pt idx="254">
                  <c:v>120.84925690021223</c:v>
                </c:pt>
                <c:pt idx="255">
                  <c:v>120.25477707006361</c:v>
                </c:pt>
                <c:pt idx="256">
                  <c:v>120.93418259023346</c:v>
                </c:pt>
                <c:pt idx="257">
                  <c:v>120.84925690021224</c:v>
                </c:pt>
                <c:pt idx="258">
                  <c:v>120.04246284501055</c:v>
                </c:pt>
                <c:pt idx="259">
                  <c:v>120.21231422505301</c:v>
                </c:pt>
                <c:pt idx="260">
                  <c:v>117.66454352441608</c:v>
                </c:pt>
                <c:pt idx="261">
                  <c:v>118.38641188959654</c:v>
                </c:pt>
                <c:pt idx="262">
                  <c:v>118.30148619957531</c:v>
                </c:pt>
                <c:pt idx="263">
                  <c:v>117.62208067940546</c:v>
                </c:pt>
                <c:pt idx="264">
                  <c:v>115.07430997876853</c:v>
                </c:pt>
                <c:pt idx="265">
                  <c:v>116.30573248407637</c:v>
                </c:pt>
                <c:pt idx="266">
                  <c:v>118.13163481953283</c:v>
                </c:pt>
                <c:pt idx="267">
                  <c:v>119.61783439490441</c:v>
                </c:pt>
                <c:pt idx="268">
                  <c:v>119.91507430997871</c:v>
                </c:pt>
                <c:pt idx="269">
                  <c:v>118.68365180467086</c:v>
                </c:pt>
                <c:pt idx="270">
                  <c:v>118.81104033970271</c:v>
                </c:pt>
                <c:pt idx="271">
                  <c:v>119.95753715498932</c:v>
                </c:pt>
                <c:pt idx="272">
                  <c:v>120.80679405520165</c:v>
                </c:pt>
                <c:pt idx="273">
                  <c:v>120.04246284501058</c:v>
                </c:pt>
                <c:pt idx="274">
                  <c:v>120.04246284501058</c:v>
                </c:pt>
                <c:pt idx="275">
                  <c:v>119.15074309978765</c:v>
                </c:pt>
                <c:pt idx="276">
                  <c:v>119.91507430997873</c:v>
                </c:pt>
                <c:pt idx="277">
                  <c:v>118.64118895966027</c:v>
                </c:pt>
                <c:pt idx="278">
                  <c:v>118.55626326963905</c:v>
                </c:pt>
                <c:pt idx="279">
                  <c:v>113.88535031847131</c:v>
                </c:pt>
                <c:pt idx="280">
                  <c:v>111.04033970276005</c:v>
                </c:pt>
                <c:pt idx="281">
                  <c:v>111.12526539278129</c:v>
                </c:pt>
                <c:pt idx="282">
                  <c:v>107.04883227176218</c:v>
                </c:pt>
                <c:pt idx="283">
                  <c:v>105.94479830148616</c:v>
                </c:pt>
                <c:pt idx="284">
                  <c:v>107.68577494692141</c:v>
                </c:pt>
                <c:pt idx="285">
                  <c:v>106.5392781316348</c:v>
                </c:pt>
                <c:pt idx="286">
                  <c:v>109.21443736730359</c:v>
                </c:pt>
                <c:pt idx="287">
                  <c:v>106.7940552016985</c:v>
                </c:pt>
                <c:pt idx="288">
                  <c:v>105.35031847133756</c:v>
                </c:pt>
                <c:pt idx="289">
                  <c:v>96.348195329087034</c:v>
                </c:pt>
                <c:pt idx="290">
                  <c:v>98.938428874734598</c:v>
                </c:pt>
                <c:pt idx="291">
                  <c:v>94.140127388535035</c:v>
                </c:pt>
                <c:pt idx="292">
                  <c:v>83.481953290870493</c:v>
                </c:pt>
                <c:pt idx="293">
                  <c:v>86.199575371549898</c:v>
                </c:pt>
                <c:pt idx="294">
                  <c:v>77.664543524416132</c:v>
                </c:pt>
                <c:pt idx="295">
                  <c:v>79.787685774946908</c:v>
                </c:pt>
                <c:pt idx="296">
                  <c:v>73.842887473460721</c:v>
                </c:pt>
                <c:pt idx="297">
                  <c:v>74.777070063694254</c:v>
                </c:pt>
                <c:pt idx="298">
                  <c:v>74.904458598726109</c:v>
                </c:pt>
                <c:pt idx="299">
                  <c:v>76.43312101910827</c:v>
                </c:pt>
                <c:pt idx="300">
                  <c:v>83.821656050955397</c:v>
                </c:pt>
                <c:pt idx="301">
                  <c:v>86.624203821656039</c:v>
                </c:pt>
                <c:pt idx="302">
                  <c:v>89.256900212314221</c:v>
                </c:pt>
                <c:pt idx="303">
                  <c:v>87.048832271762208</c:v>
                </c:pt>
                <c:pt idx="304">
                  <c:v>87.600849256900219</c:v>
                </c:pt>
                <c:pt idx="305">
                  <c:v>87.430997876857759</c:v>
                </c:pt>
                <c:pt idx="306">
                  <c:v>83.227176220806811</c:v>
                </c:pt>
                <c:pt idx="307">
                  <c:v>83.949044585987266</c:v>
                </c:pt>
                <c:pt idx="308">
                  <c:v>83.227176220806797</c:v>
                </c:pt>
                <c:pt idx="309">
                  <c:v>88.917197452229303</c:v>
                </c:pt>
                <c:pt idx="310">
                  <c:v>90.403397027600846</c:v>
                </c:pt>
                <c:pt idx="311">
                  <c:v>91.380042462845012</c:v>
                </c:pt>
                <c:pt idx="312">
                  <c:v>94.309978768577494</c:v>
                </c:pt>
                <c:pt idx="313">
                  <c:v>92.27176220806794</c:v>
                </c:pt>
                <c:pt idx="314">
                  <c:v>95.244161358811041</c:v>
                </c:pt>
                <c:pt idx="315">
                  <c:v>91.125265392781316</c:v>
                </c:pt>
                <c:pt idx="316">
                  <c:v>90.403397027600846</c:v>
                </c:pt>
                <c:pt idx="317">
                  <c:v>94.097664543524417</c:v>
                </c:pt>
                <c:pt idx="318">
                  <c:v>92.908704883227173</c:v>
                </c:pt>
                <c:pt idx="319">
                  <c:v>90.488322717622069</c:v>
                </c:pt>
                <c:pt idx="320">
                  <c:v>91.42250530785563</c:v>
                </c:pt>
                <c:pt idx="321">
                  <c:v>90.530785562632701</c:v>
                </c:pt>
                <c:pt idx="322">
                  <c:v>90.955414012738856</c:v>
                </c:pt>
                <c:pt idx="323">
                  <c:v>93.715498938428865</c:v>
                </c:pt>
                <c:pt idx="324">
                  <c:v>94.182590233545639</c:v>
                </c:pt>
                <c:pt idx="325">
                  <c:v>97.452229299363054</c:v>
                </c:pt>
                <c:pt idx="326">
                  <c:v>96.518046709129521</c:v>
                </c:pt>
                <c:pt idx="327">
                  <c:v>93.842887473460735</c:v>
                </c:pt>
                <c:pt idx="328">
                  <c:v>93.800424628450102</c:v>
                </c:pt>
                <c:pt idx="329">
                  <c:v>93.715498938428865</c:v>
                </c:pt>
                <c:pt idx="330">
                  <c:v>92.399150743099781</c:v>
                </c:pt>
                <c:pt idx="331">
                  <c:v>93.630573248407629</c:v>
                </c:pt>
                <c:pt idx="332">
                  <c:v>95.838641188959642</c:v>
                </c:pt>
                <c:pt idx="333">
                  <c:v>94.904458598726109</c:v>
                </c:pt>
                <c:pt idx="334">
                  <c:v>93.842887473460721</c:v>
                </c:pt>
                <c:pt idx="335">
                  <c:v>91.42250530785563</c:v>
                </c:pt>
                <c:pt idx="336">
                  <c:v>90.828025477707016</c:v>
                </c:pt>
                <c:pt idx="337">
                  <c:v>90.912951167728252</c:v>
                </c:pt>
                <c:pt idx="338">
                  <c:v>98.13163481953292</c:v>
                </c:pt>
                <c:pt idx="339">
                  <c:v>97.239915074309977</c:v>
                </c:pt>
                <c:pt idx="340">
                  <c:v>99.065817409766439</c:v>
                </c:pt>
                <c:pt idx="341">
                  <c:v>97.622080679405499</c:v>
                </c:pt>
                <c:pt idx="342">
                  <c:v>97.87685774946921</c:v>
                </c:pt>
                <c:pt idx="343">
                  <c:v>101.40127388535031</c:v>
                </c:pt>
                <c:pt idx="344">
                  <c:v>103.8216560509554</c:v>
                </c:pt>
                <c:pt idx="345">
                  <c:v>104.67091295116771</c:v>
                </c:pt>
                <c:pt idx="346">
                  <c:v>104.58598726114647</c:v>
                </c:pt>
                <c:pt idx="347">
                  <c:v>107.43099787685775</c:v>
                </c:pt>
                <c:pt idx="348">
                  <c:v>108.78980891719743</c:v>
                </c:pt>
                <c:pt idx="349">
                  <c:v>113.46072186836514</c:v>
                </c:pt>
                <c:pt idx="350">
                  <c:v>113.46072186836514</c:v>
                </c:pt>
                <c:pt idx="351">
                  <c:v>116.00849256900209</c:v>
                </c:pt>
                <c:pt idx="352">
                  <c:v>117.36730360934179</c:v>
                </c:pt>
                <c:pt idx="353">
                  <c:v>115.32908704883224</c:v>
                </c:pt>
                <c:pt idx="354">
                  <c:v>114.9893842887473</c:v>
                </c:pt>
                <c:pt idx="355">
                  <c:v>107.51592356687895</c:v>
                </c:pt>
                <c:pt idx="356">
                  <c:v>108.57749469214433</c:v>
                </c:pt>
                <c:pt idx="357">
                  <c:v>110.06369426751587</c:v>
                </c:pt>
                <c:pt idx="358">
                  <c:v>112.14437367303603</c:v>
                </c:pt>
                <c:pt idx="359">
                  <c:v>111.38004246284494</c:v>
                </c:pt>
                <c:pt idx="360">
                  <c:v>110.82802547770694</c:v>
                </c:pt>
                <c:pt idx="361">
                  <c:v>109.80891719745216</c:v>
                </c:pt>
                <c:pt idx="362">
                  <c:v>111.42250530785556</c:v>
                </c:pt>
                <c:pt idx="363">
                  <c:v>113.29087048832265</c:v>
                </c:pt>
                <c:pt idx="364">
                  <c:v>110.27600849256893</c:v>
                </c:pt>
                <c:pt idx="365">
                  <c:v>112.22929936305727</c:v>
                </c:pt>
                <c:pt idx="366">
                  <c:v>109.12951167728232</c:v>
                </c:pt>
                <c:pt idx="367">
                  <c:v>109.68152866242032</c:v>
                </c:pt>
                <c:pt idx="368">
                  <c:v>110.74309978768572</c:v>
                </c:pt>
                <c:pt idx="369">
                  <c:v>110.14861995753711</c:v>
                </c:pt>
                <c:pt idx="370">
                  <c:v>112.48407643312095</c:v>
                </c:pt>
                <c:pt idx="371">
                  <c:v>114.56475583864112</c:v>
                </c:pt>
                <c:pt idx="372">
                  <c:v>112.78131634819525</c:v>
                </c:pt>
                <c:pt idx="373">
                  <c:v>113.07855626326956</c:v>
                </c:pt>
                <c:pt idx="374">
                  <c:v>112.99363057324832</c:v>
                </c:pt>
                <c:pt idx="375">
                  <c:v>114.0552016985137</c:v>
                </c:pt>
                <c:pt idx="376">
                  <c:v>113.71549893842878</c:v>
                </c:pt>
                <c:pt idx="377">
                  <c:v>115.6687898089171</c:v>
                </c:pt>
                <c:pt idx="378">
                  <c:v>117.45222929936295</c:v>
                </c:pt>
                <c:pt idx="379">
                  <c:v>117.15498938428864</c:v>
                </c:pt>
                <c:pt idx="380">
                  <c:v>118.13163481953281</c:v>
                </c:pt>
                <c:pt idx="381">
                  <c:v>119.40552016985127</c:v>
                </c:pt>
                <c:pt idx="382">
                  <c:v>120.29723991507419</c:v>
                </c:pt>
                <c:pt idx="383">
                  <c:v>121.18895966029713</c:v>
                </c:pt>
                <c:pt idx="384">
                  <c:v>119.74522292993619</c:v>
                </c:pt>
                <c:pt idx="385">
                  <c:v>118.89596602972388</c:v>
                </c:pt>
                <c:pt idx="386">
                  <c:v>120.04246284501049</c:v>
                </c:pt>
                <c:pt idx="387">
                  <c:v>119.5329087048831</c:v>
                </c:pt>
                <c:pt idx="388">
                  <c:v>120.5520169851379</c:v>
                </c:pt>
                <c:pt idx="389">
                  <c:v>117.70700636942664</c:v>
                </c:pt>
                <c:pt idx="390">
                  <c:v>115.11677282377907</c:v>
                </c:pt>
                <c:pt idx="391">
                  <c:v>118.04670912951157</c:v>
                </c:pt>
                <c:pt idx="392">
                  <c:v>118.3864118895965</c:v>
                </c:pt>
                <c:pt idx="393">
                  <c:v>119.19320594479821</c:v>
                </c:pt>
                <c:pt idx="394">
                  <c:v>119.4479830148619</c:v>
                </c:pt>
                <c:pt idx="395">
                  <c:v>118.93842887473453</c:v>
                </c:pt>
                <c:pt idx="396">
                  <c:v>119.02335456475575</c:v>
                </c:pt>
                <c:pt idx="397">
                  <c:v>119.83014861995746</c:v>
                </c:pt>
                <c:pt idx="398">
                  <c:v>122.71762208067933</c:v>
                </c:pt>
                <c:pt idx="399">
                  <c:v>121.99575371549886</c:v>
                </c:pt>
                <c:pt idx="400">
                  <c:v>120.84925690021224</c:v>
                </c:pt>
                <c:pt idx="401">
                  <c:v>122.16560509554134</c:v>
                </c:pt>
                <c:pt idx="402">
                  <c:v>122.76008492568995</c:v>
                </c:pt>
                <c:pt idx="403">
                  <c:v>122.50530785562626</c:v>
                </c:pt>
                <c:pt idx="404">
                  <c:v>121.65605095541393</c:v>
                </c:pt>
                <c:pt idx="405">
                  <c:v>120.08492569002117</c:v>
                </c:pt>
                <c:pt idx="406">
                  <c:v>122.6326963906581</c:v>
                </c:pt>
                <c:pt idx="407">
                  <c:v>123.05732484076427</c:v>
                </c:pt>
                <c:pt idx="408">
                  <c:v>124.84076433121011</c:v>
                </c:pt>
                <c:pt idx="409">
                  <c:v>123.09978768577487</c:v>
                </c:pt>
                <c:pt idx="410">
                  <c:v>123.6942675159235</c:v>
                </c:pt>
                <c:pt idx="411">
                  <c:v>124.28874734607213</c:v>
                </c:pt>
                <c:pt idx="412">
                  <c:v>122.92993630573243</c:v>
                </c:pt>
                <c:pt idx="413">
                  <c:v>125.85987261146491</c:v>
                </c:pt>
                <c:pt idx="414">
                  <c:v>122.29299363057318</c:v>
                </c:pt>
                <c:pt idx="415">
                  <c:v>122.46284501061564</c:v>
                </c:pt>
                <c:pt idx="416">
                  <c:v>121.35881104033962</c:v>
                </c:pt>
                <c:pt idx="417">
                  <c:v>124.88322717622074</c:v>
                </c:pt>
                <c:pt idx="418">
                  <c:v>123.39702760084919</c:v>
                </c:pt>
                <c:pt idx="419">
                  <c:v>124.33121019108275</c:v>
                </c:pt>
                <c:pt idx="420">
                  <c:v>124.5435244161358</c:v>
                </c:pt>
                <c:pt idx="421">
                  <c:v>122.80254777070056</c:v>
                </c:pt>
                <c:pt idx="422">
                  <c:v>124.5435244161358</c:v>
                </c:pt>
                <c:pt idx="423">
                  <c:v>124.45859872611457</c:v>
                </c:pt>
                <c:pt idx="424">
                  <c:v>123.56687898089166</c:v>
                </c:pt>
                <c:pt idx="425">
                  <c:v>118.04670912951161</c:v>
                </c:pt>
                <c:pt idx="426">
                  <c:v>118.59872611464962</c:v>
                </c:pt>
                <c:pt idx="427">
                  <c:v>116.51804670912946</c:v>
                </c:pt>
                <c:pt idx="428">
                  <c:v>116.77282377919315</c:v>
                </c:pt>
                <c:pt idx="429">
                  <c:v>116.56050955414007</c:v>
                </c:pt>
                <c:pt idx="430">
                  <c:v>119.87261146496809</c:v>
                </c:pt>
                <c:pt idx="431">
                  <c:v>120.1698513800424</c:v>
                </c:pt>
                <c:pt idx="432">
                  <c:v>119.44798301486192</c:v>
                </c:pt>
                <c:pt idx="433">
                  <c:v>119.1507430997876</c:v>
                </c:pt>
                <c:pt idx="434">
                  <c:v>118.81104033970269</c:v>
                </c:pt>
                <c:pt idx="435">
                  <c:v>120.55201698513793</c:v>
                </c:pt>
                <c:pt idx="436">
                  <c:v>120.04246284501053</c:v>
                </c:pt>
                <c:pt idx="437">
                  <c:v>121.48619957537147</c:v>
                </c:pt>
                <c:pt idx="438">
                  <c:v>122.3779193205944</c:v>
                </c:pt>
                <c:pt idx="439">
                  <c:v>122.80254777070057</c:v>
                </c:pt>
                <c:pt idx="440">
                  <c:v>123.86411889596596</c:v>
                </c:pt>
                <c:pt idx="441">
                  <c:v>121.27388535031838</c:v>
                </c:pt>
                <c:pt idx="442">
                  <c:v>121.65605095541392</c:v>
                </c:pt>
                <c:pt idx="443">
                  <c:v>119.02335456475575</c:v>
                </c:pt>
                <c:pt idx="444">
                  <c:v>121.14649681528653</c:v>
                </c:pt>
                <c:pt idx="445">
                  <c:v>118.81104033970266</c:v>
                </c:pt>
                <c:pt idx="446">
                  <c:v>119.70276008492559</c:v>
                </c:pt>
                <c:pt idx="447">
                  <c:v>118.6836518046708</c:v>
                </c:pt>
                <c:pt idx="448">
                  <c:v>118.38641188959649</c:v>
                </c:pt>
                <c:pt idx="449">
                  <c:v>119.91507430997865</c:v>
                </c:pt>
                <c:pt idx="450">
                  <c:v>114.30997876857739</c:v>
                </c:pt>
                <c:pt idx="451">
                  <c:v>113.29087048832261</c:v>
                </c:pt>
                <c:pt idx="452">
                  <c:v>107.8131634819532</c:v>
                </c:pt>
                <c:pt idx="453">
                  <c:v>108.66242038216551</c:v>
                </c:pt>
                <c:pt idx="454">
                  <c:v>108.15286624203812</c:v>
                </c:pt>
                <c:pt idx="455">
                  <c:v>109.38428874734599</c:v>
                </c:pt>
                <c:pt idx="456">
                  <c:v>113.37579617834385</c:v>
                </c:pt>
                <c:pt idx="457">
                  <c:v>114.81953290870477</c:v>
                </c:pt>
                <c:pt idx="458">
                  <c:v>118.04670912951157</c:v>
                </c:pt>
                <c:pt idx="459">
                  <c:v>118.08917197452217</c:v>
                </c:pt>
                <c:pt idx="460">
                  <c:v>122.50530785562623</c:v>
                </c:pt>
                <c:pt idx="461">
                  <c:v>123.99150743099776</c:v>
                </c:pt>
                <c:pt idx="462">
                  <c:v>123.69426751592346</c:v>
                </c:pt>
                <c:pt idx="463">
                  <c:v>121.82590233545638</c:v>
                </c:pt>
                <c:pt idx="464">
                  <c:v>123.60934182590222</c:v>
                </c:pt>
                <c:pt idx="465">
                  <c:v>123.77919320594469</c:v>
                </c:pt>
                <c:pt idx="466">
                  <c:v>123.86411889596593</c:v>
                </c:pt>
                <c:pt idx="467">
                  <c:v>124.20382165605085</c:v>
                </c:pt>
                <c:pt idx="468">
                  <c:v>123.77919320594468</c:v>
                </c:pt>
                <c:pt idx="469">
                  <c:v>123.73673036093408</c:v>
                </c:pt>
                <c:pt idx="470">
                  <c:v>123.56687898089162</c:v>
                </c:pt>
                <c:pt idx="471">
                  <c:v>126.45435244161347</c:v>
                </c:pt>
                <c:pt idx="472">
                  <c:v>125.90233545647546</c:v>
                </c:pt>
                <c:pt idx="473">
                  <c:v>127.09129511677268</c:v>
                </c:pt>
                <c:pt idx="474">
                  <c:v>126.07218683651791</c:v>
                </c:pt>
                <c:pt idx="475">
                  <c:v>128.32271762208055</c:v>
                </c:pt>
                <c:pt idx="476">
                  <c:v>128.19532908704869</c:v>
                </c:pt>
                <c:pt idx="477">
                  <c:v>128.02547770700622</c:v>
                </c:pt>
                <c:pt idx="478">
                  <c:v>128.28025477706993</c:v>
                </c:pt>
                <c:pt idx="479">
                  <c:v>128.23779193205931</c:v>
                </c:pt>
                <c:pt idx="480">
                  <c:v>128.02547770700622</c:v>
                </c:pt>
                <c:pt idx="481">
                  <c:v>127.94055201698498</c:v>
                </c:pt>
                <c:pt idx="482">
                  <c:v>128.87473460721853</c:v>
                </c:pt>
                <c:pt idx="483">
                  <c:v>126.70912951167712</c:v>
                </c:pt>
                <c:pt idx="484">
                  <c:v>127.98301486199558</c:v>
                </c:pt>
                <c:pt idx="485">
                  <c:v>129.89384288747328</c:v>
                </c:pt>
                <c:pt idx="486">
                  <c:v>131.8895966029722</c:v>
                </c:pt>
                <c:pt idx="487">
                  <c:v>133.7579617834393</c:v>
                </c:pt>
                <c:pt idx="488">
                  <c:v>132.78131634819513</c:v>
                </c:pt>
                <c:pt idx="489">
                  <c:v>130.14861995753697</c:v>
                </c:pt>
                <c:pt idx="490">
                  <c:v>129.85138004246267</c:v>
                </c:pt>
                <c:pt idx="491">
                  <c:v>132.01698513800409</c:v>
                </c:pt>
                <c:pt idx="492">
                  <c:v>131.16772823779178</c:v>
                </c:pt>
                <c:pt idx="493">
                  <c:v>134.69214437367287</c:v>
                </c:pt>
                <c:pt idx="494">
                  <c:v>134.01273885350301</c:v>
                </c:pt>
                <c:pt idx="495">
                  <c:v>132.18683651804653</c:v>
                </c:pt>
                <c:pt idx="496">
                  <c:v>130.78556263269621</c:v>
                </c:pt>
                <c:pt idx="497">
                  <c:v>131.63481953290852</c:v>
                </c:pt>
                <c:pt idx="498">
                  <c:v>132.27176220806777</c:v>
                </c:pt>
                <c:pt idx="499">
                  <c:v>134.26751592356672</c:v>
                </c:pt>
                <c:pt idx="500">
                  <c:v>135.07430997876841</c:v>
                </c:pt>
                <c:pt idx="501">
                  <c:v>135.37154989384274</c:v>
                </c:pt>
                <c:pt idx="502">
                  <c:v>132.95116772823766</c:v>
                </c:pt>
                <c:pt idx="503">
                  <c:v>133.67303609341815</c:v>
                </c:pt>
                <c:pt idx="504">
                  <c:v>133.24840764331196</c:v>
                </c:pt>
                <c:pt idx="505">
                  <c:v>133.67303609341812</c:v>
                </c:pt>
                <c:pt idx="506">
                  <c:v>130.48832271762194</c:v>
                </c:pt>
                <c:pt idx="507">
                  <c:v>132.18683651804656</c:v>
                </c:pt>
                <c:pt idx="508">
                  <c:v>132.61146496815272</c:v>
                </c:pt>
                <c:pt idx="509">
                  <c:v>133.07855626326949</c:v>
                </c:pt>
                <c:pt idx="510">
                  <c:v>132.78131634819519</c:v>
                </c:pt>
                <c:pt idx="511">
                  <c:v>131.29511677282366</c:v>
                </c:pt>
                <c:pt idx="512">
                  <c:v>132.61146496815275</c:v>
                </c:pt>
                <c:pt idx="513">
                  <c:v>129.04458598726103</c:v>
                </c:pt>
                <c:pt idx="514">
                  <c:v>130.19108280254764</c:v>
                </c:pt>
                <c:pt idx="515">
                  <c:v>127.68577494692131</c:v>
                </c:pt>
                <c:pt idx="516">
                  <c:v>129.76645435244146</c:v>
                </c:pt>
                <c:pt idx="517">
                  <c:v>131.16772823779178</c:v>
                </c:pt>
                <c:pt idx="518">
                  <c:v>131.97452229299347</c:v>
                </c:pt>
                <c:pt idx="519">
                  <c:v>131.71974522292979</c:v>
                </c:pt>
                <c:pt idx="520">
                  <c:v>133.29087048832255</c:v>
                </c:pt>
                <c:pt idx="521">
                  <c:v>133.12101910828011</c:v>
                </c:pt>
                <c:pt idx="522">
                  <c:v>133.16348195329073</c:v>
                </c:pt>
                <c:pt idx="523">
                  <c:v>132.8662420382164</c:v>
                </c:pt>
                <c:pt idx="524">
                  <c:v>133.37579617834379</c:v>
                </c:pt>
                <c:pt idx="525">
                  <c:v>133.92781316348177</c:v>
                </c:pt>
                <c:pt idx="526">
                  <c:v>134.01273885350301</c:v>
                </c:pt>
                <c:pt idx="527">
                  <c:v>132.27176220806777</c:v>
                </c:pt>
                <c:pt idx="528">
                  <c:v>131.93205944798285</c:v>
                </c:pt>
                <c:pt idx="529">
                  <c:v>132.90870488322699</c:v>
                </c:pt>
                <c:pt idx="530">
                  <c:v>132.6963906581739</c:v>
                </c:pt>
                <c:pt idx="531">
                  <c:v>132.73885350318452</c:v>
                </c:pt>
                <c:pt idx="532">
                  <c:v>133.84288747346054</c:v>
                </c:pt>
                <c:pt idx="533">
                  <c:v>131.8895966029722</c:v>
                </c:pt>
                <c:pt idx="534">
                  <c:v>130.70063694267498</c:v>
                </c:pt>
                <c:pt idx="535">
                  <c:v>132.90870488322699</c:v>
                </c:pt>
                <c:pt idx="536">
                  <c:v>133.12101910828005</c:v>
                </c:pt>
                <c:pt idx="537">
                  <c:v>133.12101910828005</c:v>
                </c:pt>
                <c:pt idx="538">
                  <c:v>131.54989384288726</c:v>
                </c:pt>
                <c:pt idx="539">
                  <c:v>130.78556263269618</c:v>
                </c:pt>
                <c:pt idx="540">
                  <c:v>133.54564755838621</c:v>
                </c:pt>
                <c:pt idx="541">
                  <c:v>134.94692144373653</c:v>
                </c:pt>
                <c:pt idx="542">
                  <c:v>135.88110403397005</c:v>
                </c:pt>
                <c:pt idx="543">
                  <c:v>137.28237791932037</c:v>
                </c:pt>
                <c:pt idx="544">
                  <c:v>136.85774946921421</c:v>
                </c:pt>
                <c:pt idx="545">
                  <c:v>135.20169851380021</c:v>
                </c:pt>
                <c:pt idx="546">
                  <c:v>136.05095541401252</c:v>
                </c:pt>
                <c:pt idx="547">
                  <c:v>137.66454352441593</c:v>
                </c:pt>
                <c:pt idx="548">
                  <c:v>137.5796178343947</c:v>
                </c:pt>
                <c:pt idx="549">
                  <c:v>136.772823779193</c:v>
                </c:pt>
                <c:pt idx="550">
                  <c:v>137.36730360934163</c:v>
                </c:pt>
                <c:pt idx="551">
                  <c:v>135.83864118895946</c:v>
                </c:pt>
                <c:pt idx="552">
                  <c:v>135.49893842887454</c:v>
                </c:pt>
                <c:pt idx="553">
                  <c:v>135.37154989384268</c:v>
                </c:pt>
                <c:pt idx="554">
                  <c:v>136.81528662420359</c:v>
                </c:pt>
                <c:pt idx="555">
                  <c:v>137.11252653927789</c:v>
                </c:pt>
                <c:pt idx="556">
                  <c:v>137.83439490445838</c:v>
                </c:pt>
                <c:pt idx="557">
                  <c:v>138.21656050955391</c:v>
                </c:pt>
                <c:pt idx="558">
                  <c:v>139.8301486199573</c:v>
                </c:pt>
                <c:pt idx="559">
                  <c:v>142.84501061571103</c:v>
                </c:pt>
                <c:pt idx="560">
                  <c:v>141.78343949044563</c:v>
                </c:pt>
                <c:pt idx="561">
                  <c:v>141.52866242038192</c:v>
                </c:pt>
                <c:pt idx="562">
                  <c:v>141.91082802547749</c:v>
                </c:pt>
                <c:pt idx="563">
                  <c:v>142.37791932059426</c:v>
                </c:pt>
                <c:pt idx="564">
                  <c:v>142.29299363057302</c:v>
                </c:pt>
                <c:pt idx="565">
                  <c:v>142.97239915074289</c:v>
                </c:pt>
                <c:pt idx="566">
                  <c:v>142.67515923566856</c:v>
                </c:pt>
                <c:pt idx="567">
                  <c:v>143.43949044585963</c:v>
                </c:pt>
                <c:pt idx="568">
                  <c:v>145.69002123142226</c:v>
                </c:pt>
                <c:pt idx="569">
                  <c:v>145.52016985137982</c:v>
                </c:pt>
                <c:pt idx="570">
                  <c:v>143.14225053078533</c:v>
                </c:pt>
                <c:pt idx="571">
                  <c:v>143.90658174097641</c:v>
                </c:pt>
                <c:pt idx="572">
                  <c:v>143.77919320594455</c:v>
                </c:pt>
                <c:pt idx="573">
                  <c:v>145.18046709129487</c:v>
                </c:pt>
                <c:pt idx="574">
                  <c:v>144.88322717622057</c:v>
                </c:pt>
                <c:pt idx="575">
                  <c:v>144.7133757961781</c:v>
                </c:pt>
                <c:pt idx="576">
                  <c:v>145.30785562632673</c:v>
                </c:pt>
                <c:pt idx="577">
                  <c:v>144.50106157112504</c:v>
                </c:pt>
                <c:pt idx="578">
                  <c:v>142.50530785562611</c:v>
                </c:pt>
                <c:pt idx="579">
                  <c:v>144.24628450106133</c:v>
                </c:pt>
                <c:pt idx="580">
                  <c:v>140.33970276008469</c:v>
                </c:pt>
                <c:pt idx="581">
                  <c:v>142.67515923566859</c:v>
                </c:pt>
                <c:pt idx="582">
                  <c:v>144.03397027600829</c:v>
                </c:pt>
                <c:pt idx="583">
                  <c:v>146.75159235668769</c:v>
                </c:pt>
                <c:pt idx="584">
                  <c:v>145.52016985137985</c:v>
                </c:pt>
                <c:pt idx="585">
                  <c:v>144.1188959660295</c:v>
                </c:pt>
                <c:pt idx="586">
                  <c:v>142.67515923566859</c:v>
                </c:pt>
                <c:pt idx="587">
                  <c:v>143.86411889596582</c:v>
                </c:pt>
                <c:pt idx="588">
                  <c:v>146.70912951167702</c:v>
                </c:pt>
                <c:pt idx="589">
                  <c:v>146.83651804670885</c:v>
                </c:pt>
                <c:pt idx="590">
                  <c:v>146.41188959660269</c:v>
                </c:pt>
                <c:pt idx="591">
                  <c:v>144.54352441613563</c:v>
                </c:pt>
                <c:pt idx="592">
                  <c:v>147.17622080679379</c:v>
                </c:pt>
                <c:pt idx="593">
                  <c:v>147.6433121019106</c:v>
                </c:pt>
                <c:pt idx="594">
                  <c:v>148.91719745222906</c:v>
                </c:pt>
                <c:pt idx="595">
                  <c:v>148.36518046709105</c:v>
                </c:pt>
                <c:pt idx="596">
                  <c:v>147.38853503184691</c:v>
                </c:pt>
                <c:pt idx="597">
                  <c:v>147.30360934182568</c:v>
                </c:pt>
                <c:pt idx="598">
                  <c:v>147.98301486199554</c:v>
                </c:pt>
                <c:pt idx="599">
                  <c:v>148.87473460721847</c:v>
                </c:pt>
                <c:pt idx="600">
                  <c:v>148.95966029723971</c:v>
                </c:pt>
                <c:pt idx="601">
                  <c:v>148.45010615711232</c:v>
                </c:pt>
                <c:pt idx="602">
                  <c:v>149.4692144373671</c:v>
                </c:pt>
                <c:pt idx="603">
                  <c:v>149.7664543524414</c:v>
                </c:pt>
                <c:pt idx="604">
                  <c:v>149.42675159235645</c:v>
                </c:pt>
                <c:pt idx="605">
                  <c:v>148.49256900212291</c:v>
                </c:pt>
                <c:pt idx="606">
                  <c:v>148.704883227176</c:v>
                </c:pt>
                <c:pt idx="607">
                  <c:v>148.91719745222906</c:v>
                </c:pt>
                <c:pt idx="608">
                  <c:v>148.95966029723965</c:v>
                </c:pt>
                <c:pt idx="609">
                  <c:v>149.17197452229274</c:v>
                </c:pt>
                <c:pt idx="610">
                  <c:v>147.55838641188933</c:v>
                </c:pt>
                <c:pt idx="611">
                  <c:v>146.6666666666664</c:v>
                </c:pt>
                <c:pt idx="612">
                  <c:v>143.48195329087022</c:v>
                </c:pt>
                <c:pt idx="613">
                  <c:v>145.77494692144344</c:v>
                </c:pt>
                <c:pt idx="614">
                  <c:v>145.98726114649656</c:v>
                </c:pt>
                <c:pt idx="615">
                  <c:v>144.41613588110377</c:v>
                </c:pt>
                <c:pt idx="616">
                  <c:v>145.35031847133732</c:v>
                </c:pt>
                <c:pt idx="617">
                  <c:v>145.77494692144347</c:v>
                </c:pt>
                <c:pt idx="618">
                  <c:v>145.26539278131611</c:v>
                </c:pt>
                <c:pt idx="619">
                  <c:v>143.90658174097641</c:v>
                </c:pt>
                <c:pt idx="620">
                  <c:v>142.5477707006367</c:v>
                </c:pt>
                <c:pt idx="621">
                  <c:v>142.80254777070041</c:v>
                </c:pt>
                <c:pt idx="622">
                  <c:v>143.26963906581716</c:v>
                </c:pt>
                <c:pt idx="623">
                  <c:v>141.35881104033945</c:v>
                </c:pt>
                <c:pt idx="624">
                  <c:v>142.80254777070039</c:v>
                </c:pt>
                <c:pt idx="625">
                  <c:v>140.50955414012714</c:v>
                </c:pt>
                <c:pt idx="626">
                  <c:v>143.949044585987</c:v>
                </c:pt>
                <c:pt idx="627">
                  <c:v>144.2462845010613</c:v>
                </c:pt>
                <c:pt idx="628">
                  <c:v>143.01486199575345</c:v>
                </c:pt>
                <c:pt idx="629">
                  <c:v>143.73673036093393</c:v>
                </c:pt>
                <c:pt idx="630">
                  <c:v>142.25053078556238</c:v>
                </c:pt>
                <c:pt idx="631">
                  <c:v>140.84925690021205</c:v>
                </c:pt>
                <c:pt idx="632">
                  <c:v>137.57961783439464</c:v>
                </c:pt>
                <c:pt idx="633">
                  <c:v>138.55626326963881</c:v>
                </c:pt>
                <c:pt idx="634">
                  <c:v>140.4246284501059</c:v>
                </c:pt>
                <c:pt idx="635">
                  <c:v>140.33970276008466</c:v>
                </c:pt>
                <c:pt idx="636">
                  <c:v>141.82590233545622</c:v>
                </c:pt>
                <c:pt idx="637">
                  <c:v>141.86836518046684</c:v>
                </c:pt>
                <c:pt idx="638">
                  <c:v>141.14649681528638</c:v>
                </c:pt>
                <c:pt idx="639">
                  <c:v>141.52866242038189</c:v>
                </c:pt>
                <c:pt idx="640">
                  <c:v>142.92993630573221</c:v>
                </c:pt>
                <c:pt idx="641">
                  <c:v>141.99575371549867</c:v>
                </c:pt>
                <c:pt idx="642">
                  <c:v>141.52866242038189</c:v>
                </c:pt>
                <c:pt idx="643">
                  <c:v>142.42038216560485</c:v>
                </c:pt>
                <c:pt idx="644">
                  <c:v>142.80254777070041</c:v>
                </c:pt>
                <c:pt idx="645">
                  <c:v>143.31210191082781</c:v>
                </c:pt>
                <c:pt idx="646">
                  <c:v>142.59023354564735</c:v>
                </c:pt>
                <c:pt idx="647">
                  <c:v>142.33545647558367</c:v>
                </c:pt>
                <c:pt idx="648">
                  <c:v>142.29299363057305</c:v>
                </c:pt>
                <c:pt idx="649">
                  <c:v>143.14225053078539</c:v>
                </c:pt>
                <c:pt idx="650">
                  <c:v>143.9915074309977</c:v>
                </c:pt>
                <c:pt idx="651">
                  <c:v>144.96815286624187</c:v>
                </c:pt>
                <c:pt idx="652">
                  <c:v>144.67091295116754</c:v>
                </c:pt>
                <c:pt idx="653">
                  <c:v>143.01486199575351</c:v>
                </c:pt>
                <c:pt idx="654">
                  <c:v>143.22717622080657</c:v>
                </c:pt>
                <c:pt idx="655">
                  <c:v>141.61358811040319</c:v>
                </c:pt>
                <c:pt idx="656">
                  <c:v>142.37791932059426</c:v>
                </c:pt>
                <c:pt idx="657">
                  <c:v>143.39702760084904</c:v>
                </c:pt>
                <c:pt idx="658">
                  <c:v>143.73673036093396</c:v>
                </c:pt>
                <c:pt idx="659">
                  <c:v>143.39702760084904</c:v>
                </c:pt>
                <c:pt idx="660">
                  <c:v>142.7600849256898</c:v>
                </c:pt>
                <c:pt idx="661">
                  <c:v>143.86411889596582</c:v>
                </c:pt>
                <c:pt idx="662">
                  <c:v>143.90658174097643</c:v>
                </c:pt>
                <c:pt idx="663">
                  <c:v>143.8216560509552</c:v>
                </c:pt>
                <c:pt idx="664">
                  <c:v>144.16135881104015</c:v>
                </c:pt>
                <c:pt idx="665">
                  <c:v>144.58598726114627</c:v>
                </c:pt>
                <c:pt idx="666">
                  <c:v>144.62845010615692</c:v>
                </c:pt>
                <c:pt idx="667">
                  <c:v>144.58598726114627</c:v>
                </c:pt>
                <c:pt idx="668">
                  <c:v>142.12314225053058</c:v>
                </c:pt>
                <c:pt idx="669">
                  <c:v>141.74097664543507</c:v>
                </c:pt>
                <c:pt idx="670">
                  <c:v>141.44373673036077</c:v>
                </c:pt>
              </c:numCache>
            </c:numRef>
          </c:val>
          <c:smooth val="0"/>
          <c:extLst>
            <c:ext xmlns:c16="http://schemas.microsoft.com/office/drawing/2014/chart" uri="{C3380CC4-5D6E-409C-BE32-E72D297353CC}">
              <c16:uniqueId val="{00000001-749C-40F3-8E91-76B2076E7451}"/>
            </c:ext>
          </c:extLst>
        </c:ser>
        <c:ser>
          <c:idx val="4"/>
          <c:order val="2"/>
          <c:tx>
            <c:strRef>
              <c:f>Sheet1!$D$1</c:f>
              <c:strCache>
                <c:ptCount val="1"/>
                <c:pt idx="0">
                  <c:v>MOEX (ՌԴ)</c:v>
                </c:pt>
              </c:strCache>
            </c:strRef>
          </c:tx>
          <c:spPr>
            <a:ln w="28575" cap="rnd">
              <a:solidFill>
                <a:schemeClr val="accent2">
                  <a:lumMod val="75000"/>
                </a:schemeClr>
              </a:solidFill>
              <a:round/>
            </a:ln>
            <a:effectLst/>
          </c:spPr>
          <c:marker>
            <c:symbol val="none"/>
          </c:marker>
          <c:cat>
            <c:numRef>
              <c:f>Sheet1!$A$2:$A$672</c:f>
              <c:numCache>
                <c:formatCode>d\-mmm\-yy</c:formatCode>
                <c:ptCount val="671"/>
                <c:pt idx="0">
                  <c:v>43467</c:v>
                </c:pt>
                <c:pt idx="1">
                  <c:v>43468</c:v>
                </c:pt>
                <c:pt idx="2">
                  <c:v>43469</c:v>
                </c:pt>
                <c:pt idx="3">
                  <c:v>43472</c:v>
                </c:pt>
                <c:pt idx="4">
                  <c:v>43473</c:v>
                </c:pt>
                <c:pt idx="5">
                  <c:v>43474</c:v>
                </c:pt>
                <c:pt idx="6">
                  <c:v>43475</c:v>
                </c:pt>
                <c:pt idx="7">
                  <c:v>43476</c:v>
                </c:pt>
                <c:pt idx="8">
                  <c:v>43479</c:v>
                </c:pt>
                <c:pt idx="9">
                  <c:v>43480</c:v>
                </c:pt>
                <c:pt idx="10">
                  <c:v>43481</c:v>
                </c:pt>
                <c:pt idx="11">
                  <c:v>43482</c:v>
                </c:pt>
                <c:pt idx="12">
                  <c:v>43483</c:v>
                </c:pt>
                <c:pt idx="13">
                  <c:v>43487</c:v>
                </c:pt>
                <c:pt idx="14">
                  <c:v>43488</c:v>
                </c:pt>
                <c:pt idx="15">
                  <c:v>43489</c:v>
                </c:pt>
                <c:pt idx="16">
                  <c:v>43490</c:v>
                </c:pt>
                <c:pt idx="17">
                  <c:v>43493</c:v>
                </c:pt>
                <c:pt idx="18">
                  <c:v>43494</c:v>
                </c:pt>
                <c:pt idx="19">
                  <c:v>43495</c:v>
                </c:pt>
                <c:pt idx="20">
                  <c:v>43496</c:v>
                </c:pt>
                <c:pt idx="21">
                  <c:v>43497</c:v>
                </c:pt>
                <c:pt idx="22">
                  <c:v>43500</c:v>
                </c:pt>
                <c:pt idx="23">
                  <c:v>43501</c:v>
                </c:pt>
                <c:pt idx="24">
                  <c:v>43503</c:v>
                </c:pt>
                <c:pt idx="25">
                  <c:v>43504</c:v>
                </c:pt>
                <c:pt idx="26">
                  <c:v>43507</c:v>
                </c:pt>
                <c:pt idx="27">
                  <c:v>43508</c:v>
                </c:pt>
                <c:pt idx="28">
                  <c:v>43509</c:v>
                </c:pt>
                <c:pt idx="29">
                  <c:v>43510</c:v>
                </c:pt>
                <c:pt idx="30">
                  <c:v>43511</c:v>
                </c:pt>
                <c:pt idx="31">
                  <c:v>43515</c:v>
                </c:pt>
                <c:pt idx="32">
                  <c:v>43516</c:v>
                </c:pt>
                <c:pt idx="33">
                  <c:v>43517</c:v>
                </c:pt>
                <c:pt idx="34">
                  <c:v>43518</c:v>
                </c:pt>
                <c:pt idx="35">
                  <c:v>43521</c:v>
                </c:pt>
                <c:pt idx="36">
                  <c:v>43522</c:v>
                </c:pt>
                <c:pt idx="37">
                  <c:v>43523</c:v>
                </c:pt>
                <c:pt idx="38">
                  <c:v>43524</c:v>
                </c:pt>
                <c:pt idx="39">
                  <c:v>43525</c:v>
                </c:pt>
                <c:pt idx="40">
                  <c:v>43528</c:v>
                </c:pt>
                <c:pt idx="41">
                  <c:v>43529</c:v>
                </c:pt>
                <c:pt idx="42">
                  <c:v>43530</c:v>
                </c:pt>
                <c:pt idx="43">
                  <c:v>43531</c:v>
                </c:pt>
                <c:pt idx="44">
                  <c:v>43532</c:v>
                </c:pt>
                <c:pt idx="45">
                  <c:v>43535</c:v>
                </c:pt>
                <c:pt idx="46">
                  <c:v>43536</c:v>
                </c:pt>
                <c:pt idx="47">
                  <c:v>43537</c:v>
                </c:pt>
                <c:pt idx="48">
                  <c:v>43538</c:v>
                </c:pt>
                <c:pt idx="49">
                  <c:v>43539</c:v>
                </c:pt>
                <c:pt idx="50">
                  <c:v>43542</c:v>
                </c:pt>
                <c:pt idx="51">
                  <c:v>43543</c:v>
                </c:pt>
                <c:pt idx="52">
                  <c:v>43544</c:v>
                </c:pt>
                <c:pt idx="53">
                  <c:v>43545</c:v>
                </c:pt>
                <c:pt idx="54">
                  <c:v>43546</c:v>
                </c:pt>
                <c:pt idx="55">
                  <c:v>43549</c:v>
                </c:pt>
                <c:pt idx="56">
                  <c:v>43550</c:v>
                </c:pt>
                <c:pt idx="57">
                  <c:v>43551</c:v>
                </c:pt>
                <c:pt idx="58">
                  <c:v>43552</c:v>
                </c:pt>
                <c:pt idx="59">
                  <c:v>43553</c:v>
                </c:pt>
                <c:pt idx="60">
                  <c:v>43556</c:v>
                </c:pt>
                <c:pt idx="61">
                  <c:v>43557</c:v>
                </c:pt>
                <c:pt idx="62">
                  <c:v>43558</c:v>
                </c:pt>
                <c:pt idx="63">
                  <c:v>43559</c:v>
                </c:pt>
                <c:pt idx="64">
                  <c:v>43560</c:v>
                </c:pt>
                <c:pt idx="65">
                  <c:v>43563</c:v>
                </c:pt>
                <c:pt idx="66">
                  <c:v>43564</c:v>
                </c:pt>
                <c:pt idx="67">
                  <c:v>43565</c:v>
                </c:pt>
                <c:pt idx="68">
                  <c:v>43566</c:v>
                </c:pt>
                <c:pt idx="69">
                  <c:v>43567</c:v>
                </c:pt>
                <c:pt idx="70">
                  <c:v>43570</c:v>
                </c:pt>
                <c:pt idx="71">
                  <c:v>43571</c:v>
                </c:pt>
                <c:pt idx="72">
                  <c:v>43572</c:v>
                </c:pt>
                <c:pt idx="73">
                  <c:v>43573</c:v>
                </c:pt>
                <c:pt idx="74">
                  <c:v>43577</c:v>
                </c:pt>
                <c:pt idx="75">
                  <c:v>43578</c:v>
                </c:pt>
                <c:pt idx="76">
                  <c:v>43579</c:v>
                </c:pt>
                <c:pt idx="77">
                  <c:v>43580</c:v>
                </c:pt>
                <c:pt idx="78">
                  <c:v>43581</c:v>
                </c:pt>
                <c:pt idx="79">
                  <c:v>43584</c:v>
                </c:pt>
                <c:pt idx="80">
                  <c:v>43585</c:v>
                </c:pt>
                <c:pt idx="81">
                  <c:v>43586</c:v>
                </c:pt>
                <c:pt idx="82">
                  <c:v>43587</c:v>
                </c:pt>
                <c:pt idx="83">
                  <c:v>43588</c:v>
                </c:pt>
                <c:pt idx="84">
                  <c:v>43591</c:v>
                </c:pt>
                <c:pt idx="85">
                  <c:v>43592</c:v>
                </c:pt>
                <c:pt idx="86">
                  <c:v>43593</c:v>
                </c:pt>
                <c:pt idx="87">
                  <c:v>43594</c:v>
                </c:pt>
                <c:pt idx="88">
                  <c:v>43595</c:v>
                </c:pt>
                <c:pt idx="89">
                  <c:v>43598</c:v>
                </c:pt>
                <c:pt idx="90">
                  <c:v>43599</c:v>
                </c:pt>
                <c:pt idx="91">
                  <c:v>43600</c:v>
                </c:pt>
                <c:pt idx="92">
                  <c:v>43601</c:v>
                </c:pt>
                <c:pt idx="93">
                  <c:v>43602</c:v>
                </c:pt>
                <c:pt idx="94">
                  <c:v>43605</c:v>
                </c:pt>
                <c:pt idx="95">
                  <c:v>43606</c:v>
                </c:pt>
                <c:pt idx="96">
                  <c:v>43608</c:v>
                </c:pt>
                <c:pt idx="97">
                  <c:v>43609</c:v>
                </c:pt>
                <c:pt idx="98">
                  <c:v>43613</c:v>
                </c:pt>
                <c:pt idx="99">
                  <c:v>43614</c:v>
                </c:pt>
                <c:pt idx="100">
                  <c:v>43615</c:v>
                </c:pt>
                <c:pt idx="101">
                  <c:v>43616</c:v>
                </c:pt>
                <c:pt idx="102">
                  <c:v>43619</c:v>
                </c:pt>
                <c:pt idx="103">
                  <c:v>43620</c:v>
                </c:pt>
                <c:pt idx="104">
                  <c:v>43621</c:v>
                </c:pt>
                <c:pt idx="105">
                  <c:v>43622</c:v>
                </c:pt>
                <c:pt idx="106">
                  <c:v>43623</c:v>
                </c:pt>
                <c:pt idx="107">
                  <c:v>43626</c:v>
                </c:pt>
                <c:pt idx="108">
                  <c:v>43627</c:v>
                </c:pt>
                <c:pt idx="109">
                  <c:v>43628</c:v>
                </c:pt>
                <c:pt idx="110">
                  <c:v>43629</c:v>
                </c:pt>
                <c:pt idx="111">
                  <c:v>43630</c:v>
                </c:pt>
                <c:pt idx="112">
                  <c:v>43633</c:v>
                </c:pt>
                <c:pt idx="113">
                  <c:v>43634</c:v>
                </c:pt>
                <c:pt idx="114">
                  <c:v>43635</c:v>
                </c:pt>
                <c:pt idx="115">
                  <c:v>43636</c:v>
                </c:pt>
                <c:pt idx="116">
                  <c:v>43637</c:v>
                </c:pt>
                <c:pt idx="117">
                  <c:v>43640</c:v>
                </c:pt>
                <c:pt idx="118">
                  <c:v>43641</c:v>
                </c:pt>
                <c:pt idx="119">
                  <c:v>43642</c:v>
                </c:pt>
                <c:pt idx="120">
                  <c:v>43643</c:v>
                </c:pt>
                <c:pt idx="121">
                  <c:v>43644</c:v>
                </c:pt>
                <c:pt idx="122">
                  <c:v>43647</c:v>
                </c:pt>
                <c:pt idx="123">
                  <c:v>43648</c:v>
                </c:pt>
                <c:pt idx="124">
                  <c:v>43649</c:v>
                </c:pt>
                <c:pt idx="125">
                  <c:v>43651</c:v>
                </c:pt>
                <c:pt idx="126">
                  <c:v>43654</c:v>
                </c:pt>
                <c:pt idx="127">
                  <c:v>43655</c:v>
                </c:pt>
                <c:pt idx="128">
                  <c:v>43656</c:v>
                </c:pt>
                <c:pt idx="129">
                  <c:v>43657</c:v>
                </c:pt>
                <c:pt idx="130">
                  <c:v>43658</c:v>
                </c:pt>
                <c:pt idx="131">
                  <c:v>43661</c:v>
                </c:pt>
                <c:pt idx="132">
                  <c:v>43662</c:v>
                </c:pt>
                <c:pt idx="133">
                  <c:v>43663</c:v>
                </c:pt>
                <c:pt idx="134">
                  <c:v>43665</c:v>
                </c:pt>
                <c:pt idx="135">
                  <c:v>43668</c:v>
                </c:pt>
                <c:pt idx="136">
                  <c:v>43669</c:v>
                </c:pt>
                <c:pt idx="137">
                  <c:v>43670</c:v>
                </c:pt>
                <c:pt idx="138">
                  <c:v>43671</c:v>
                </c:pt>
                <c:pt idx="139">
                  <c:v>43672</c:v>
                </c:pt>
                <c:pt idx="140">
                  <c:v>43675</c:v>
                </c:pt>
                <c:pt idx="141">
                  <c:v>43676</c:v>
                </c:pt>
                <c:pt idx="142">
                  <c:v>43677</c:v>
                </c:pt>
                <c:pt idx="143">
                  <c:v>43678</c:v>
                </c:pt>
                <c:pt idx="144">
                  <c:v>43679</c:v>
                </c:pt>
                <c:pt idx="145">
                  <c:v>43682</c:v>
                </c:pt>
                <c:pt idx="146">
                  <c:v>43683</c:v>
                </c:pt>
                <c:pt idx="147">
                  <c:v>43684</c:v>
                </c:pt>
                <c:pt idx="148">
                  <c:v>43685</c:v>
                </c:pt>
                <c:pt idx="149">
                  <c:v>43686</c:v>
                </c:pt>
                <c:pt idx="150">
                  <c:v>43689</c:v>
                </c:pt>
                <c:pt idx="151">
                  <c:v>43690</c:v>
                </c:pt>
                <c:pt idx="152">
                  <c:v>43691</c:v>
                </c:pt>
                <c:pt idx="153">
                  <c:v>43692</c:v>
                </c:pt>
                <c:pt idx="154">
                  <c:v>43693</c:v>
                </c:pt>
                <c:pt idx="155">
                  <c:v>43696</c:v>
                </c:pt>
                <c:pt idx="156">
                  <c:v>43697</c:v>
                </c:pt>
                <c:pt idx="157">
                  <c:v>43698</c:v>
                </c:pt>
                <c:pt idx="158">
                  <c:v>43699</c:v>
                </c:pt>
                <c:pt idx="159">
                  <c:v>43700</c:v>
                </c:pt>
                <c:pt idx="160">
                  <c:v>43703</c:v>
                </c:pt>
                <c:pt idx="161">
                  <c:v>43704</c:v>
                </c:pt>
                <c:pt idx="162">
                  <c:v>43705</c:v>
                </c:pt>
                <c:pt idx="163">
                  <c:v>43706</c:v>
                </c:pt>
                <c:pt idx="164">
                  <c:v>43707</c:v>
                </c:pt>
                <c:pt idx="165">
                  <c:v>43711</c:v>
                </c:pt>
                <c:pt idx="166">
                  <c:v>43712</c:v>
                </c:pt>
                <c:pt idx="167">
                  <c:v>43713</c:v>
                </c:pt>
                <c:pt idx="168">
                  <c:v>43717</c:v>
                </c:pt>
                <c:pt idx="169">
                  <c:v>43718</c:v>
                </c:pt>
                <c:pt idx="170">
                  <c:v>43719</c:v>
                </c:pt>
                <c:pt idx="171">
                  <c:v>43720</c:v>
                </c:pt>
                <c:pt idx="172">
                  <c:v>43721</c:v>
                </c:pt>
                <c:pt idx="173">
                  <c:v>43724</c:v>
                </c:pt>
                <c:pt idx="174">
                  <c:v>43725</c:v>
                </c:pt>
                <c:pt idx="175">
                  <c:v>43726</c:v>
                </c:pt>
                <c:pt idx="176">
                  <c:v>43727</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43766</c:v>
                </c:pt>
                <c:pt idx="202">
                  <c:v>43767</c:v>
                </c:pt>
                <c:pt idx="203">
                  <c:v>43768</c:v>
                </c:pt>
                <c:pt idx="204">
                  <c:v>43770</c:v>
                </c:pt>
                <c:pt idx="205">
                  <c:v>43773</c:v>
                </c:pt>
                <c:pt idx="206">
                  <c:v>43774</c:v>
                </c:pt>
                <c:pt idx="207">
                  <c:v>43775</c:v>
                </c:pt>
                <c:pt idx="208">
                  <c:v>43776</c:v>
                </c:pt>
                <c:pt idx="209">
                  <c:v>43777</c:v>
                </c:pt>
                <c:pt idx="210">
                  <c:v>43780</c:v>
                </c:pt>
                <c:pt idx="211">
                  <c:v>43781</c:v>
                </c:pt>
                <c:pt idx="212">
                  <c:v>43782</c:v>
                </c:pt>
                <c:pt idx="213">
                  <c:v>43783</c:v>
                </c:pt>
                <c:pt idx="214">
                  <c:v>43784</c:v>
                </c:pt>
                <c:pt idx="215">
                  <c:v>43787</c:v>
                </c:pt>
                <c:pt idx="216">
                  <c:v>43788</c:v>
                </c:pt>
                <c:pt idx="217">
                  <c:v>43789</c:v>
                </c:pt>
                <c:pt idx="218">
                  <c:v>43790</c:v>
                </c:pt>
                <c:pt idx="219">
                  <c:v>43791</c:v>
                </c:pt>
                <c:pt idx="220">
                  <c:v>43794</c:v>
                </c:pt>
                <c:pt idx="221">
                  <c:v>43795</c:v>
                </c:pt>
                <c:pt idx="222">
                  <c:v>43796</c:v>
                </c:pt>
                <c:pt idx="223">
                  <c:v>43798</c:v>
                </c:pt>
                <c:pt idx="224">
                  <c:v>43801</c:v>
                </c:pt>
                <c:pt idx="225">
                  <c:v>43802</c:v>
                </c:pt>
                <c:pt idx="226">
                  <c:v>43803</c:v>
                </c:pt>
                <c:pt idx="227">
                  <c:v>43804</c:v>
                </c:pt>
                <c:pt idx="228">
                  <c:v>43805</c:v>
                </c:pt>
                <c:pt idx="229">
                  <c:v>43808</c:v>
                </c:pt>
                <c:pt idx="230">
                  <c:v>43809</c:v>
                </c:pt>
                <c:pt idx="231">
                  <c:v>43810</c:v>
                </c:pt>
                <c:pt idx="232">
                  <c:v>43811</c:v>
                </c:pt>
                <c:pt idx="233">
                  <c:v>43812</c:v>
                </c:pt>
                <c:pt idx="234">
                  <c:v>43815</c:v>
                </c:pt>
                <c:pt idx="235">
                  <c:v>43816</c:v>
                </c:pt>
                <c:pt idx="236">
                  <c:v>43817</c:v>
                </c:pt>
                <c:pt idx="237">
                  <c:v>43818</c:v>
                </c:pt>
                <c:pt idx="238">
                  <c:v>43819</c:v>
                </c:pt>
                <c:pt idx="239">
                  <c:v>43822</c:v>
                </c:pt>
                <c:pt idx="240">
                  <c:v>43825</c:v>
                </c:pt>
                <c:pt idx="241">
                  <c:v>43826</c:v>
                </c:pt>
                <c:pt idx="242">
                  <c:v>43829</c:v>
                </c:pt>
                <c:pt idx="243">
                  <c:v>43830</c:v>
                </c:pt>
                <c:pt idx="244">
                  <c:v>43832</c:v>
                </c:pt>
                <c:pt idx="245">
                  <c:v>43833</c:v>
                </c:pt>
                <c:pt idx="246">
                  <c:v>43836</c:v>
                </c:pt>
                <c:pt idx="247">
                  <c:v>43837</c:v>
                </c:pt>
                <c:pt idx="248">
                  <c:v>43838</c:v>
                </c:pt>
                <c:pt idx="249">
                  <c:v>43839</c:v>
                </c:pt>
                <c:pt idx="250">
                  <c:v>43840</c:v>
                </c:pt>
                <c:pt idx="251">
                  <c:v>43843</c:v>
                </c:pt>
                <c:pt idx="252">
                  <c:v>43844</c:v>
                </c:pt>
                <c:pt idx="253">
                  <c:v>43845</c:v>
                </c:pt>
                <c:pt idx="254">
                  <c:v>43846</c:v>
                </c:pt>
                <c:pt idx="255">
                  <c:v>43847</c:v>
                </c:pt>
                <c:pt idx="256">
                  <c:v>43851</c:v>
                </c:pt>
                <c:pt idx="257">
                  <c:v>43852</c:v>
                </c:pt>
                <c:pt idx="258">
                  <c:v>43853</c:v>
                </c:pt>
                <c:pt idx="259">
                  <c:v>43854</c:v>
                </c:pt>
                <c:pt idx="260">
                  <c:v>43857</c:v>
                </c:pt>
                <c:pt idx="261">
                  <c:v>43858</c:v>
                </c:pt>
                <c:pt idx="262">
                  <c:v>43859</c:v>
                </c:pt>
                <c:pt idx="263">
                  <c:v>43860</c:v>
                </c:pt>
                <c:pt idx="264">
                  <c:v>43861</c:v>
                </c:pt>
                <c:pt idx="265">
                  <c:v>43864</c:v>
                </c:pt>
                <c:pt idx="266">
                  <c:v>43865</c:v>
                </c:pt>
                <c:pt idx="267">
                  <c:v>43866</c:v>
                </c:pt>
                <c:pt idx="268">
                  <c:v>43867</c:v>
                </c:pt>
                <c:pt idx="269">
                  <c:v>43868</c:v>
                </c:pt>
                <c:pt idx="270">
                  <c:v>43871</c:v>
                </c:pt>
                <c:pt idx="271">
                  <c:v>43872</c:v>
                </c:pt>
                <c:pt idx="272">
                  <c:v>43873</c:v>
                </c:pt>
                <c:pt idx="273">
                  <c:v>43874</c:v>
                </c:pt>
                <c:pt idx="274">
                  <c:v>43875</c:v>
                </c:pt>
                <c:pt idx="275">
                  <c:v>43879</c:v>
                </c:pt>
                <c:pt idx="276">
                  <c:v>43880</c:v>
                </c:pt>
                <c:pt idx="277">
                  <c:v>43881</c:v>
                </c:pt>
                <c:pt idx="278">
                  <c:v>43882</c:v>
                </c:pt>
                <c:pt idx="279">
                  <c:v>43885</c:v>
                </c:pt>
                <c:pt idx="280">
                  <c:v>43886</c:v>
                </c:pt>
                <c:pt idx="281">
                  <c:v>43887</c:v>
                </c:pt>
                <c:pt idx="282">
                  <c:v>43888</c:v>
                </c:pt>
                <c:pt idx="283">
                  <c:v>43889</c:v>
                </c:pt>
                <c:pt idx="284">
                  <c:v>43892</c:v>
                </c:pt>
                <c:pt idx="285">
                  <c:v>43893</c:v>
                </c:pt>
                <c:pt idx="286">
                  <c:v>43894</c:v>
                </c:pt>
                <c:pt idx="287">
                  <c:v>43895</c:v>
                </c:pt>
                <c:pt idx="288">
                  <c:v>43896</c:v>
                </c:pt>
                <c:pt idx="289">
                  <c:v>43899</c:v>
                </c:pt>
                <c:pt idx="290">
                  <c:v>43900</c:v>
                </c:pt>
                <c:pt idx="291">
                  <c:v>43901</c:v>
                </c:pt>
                <c:pt idx="292">
                  <c:v>43902</c:v>
                </c:pt>
                <c:pt idx="293">
                  <c:v>43903</c:v>
                </c:pt>
                <c:pt idx="294">
                  <c:v>43906</c:v>
                </c:pt>
                <c:pt idx="295">
                  <c:v>43907</c:v>
                </c:pt>
                <c:pt idx="296">
                  <c:v>43908</c:v>
                </c:pt>
                <c:pt idx="297">
                  <c:v>43909</c:v>
                </c:pt>
                <c:pt idx="298">
                  <c:v>43910</c:v>
                </c:pt>
                <c:pt idx="299">
                  <c:v>43913</c:v>
                </c:pt>
                <c:pt idx="300">
                  <c:v>43914</c:v>
                </c:pt>
                <c:pt idx="301">
                  <c:v>43915</c:v>
                </c:pt>
                <c:pt idx="302">
                  <c:v>43916</c:v>
                </c:pt>
                <c:pt idx="303">
                  <c:v>43917</c:v>
                </c:pt>
                <c:pt idx="304">
                  <c:v>43920</c:v>
                </c:pt>
                <c:pt idx="305">
                  <c:v>43921</c:v>
                </c:pt>
                <c:pt idx="306">
                  <c:v>43922</c:v>
                </c:pt>
                <c:pt idx="307">
                  <c:v>43923</c:v>
                </c:pt>
                <c:pt idx="308">
                  <c:v>43924</c:v>
                </c:pt>
                <c:pt idx="309">
                  <c:v>43927</c:v>
                </c:pt>
                <c:pt idx="310">
                  <c:v>43928</c:v>
                </c:pt>
                <c:pt idx="311">
                  <c:v>43929</c:v>
                </c:pt>
                <c:pt idx="312">
                  <c:v>43930</c:v>
                </c:pt>
                <c:pt idx="313">
                  <c:v>43934</c:v>
                </c:pt>
                <c:pt idx="314">
                  <c:v>43935</c:v>
                </c:pt>
                <c:pt idx="315">
                  <c:v>43936</c:v>
                </c:pt>
                <c:pt idx="316">
                  <c:v>43937</c:v>
                </c:pt>
                <c:pt idx="317">
                  <c:v>43938</c:v>
                </c:pt>
                <c:pt idx="318">
                  <c:v>43941</c:v>
                </c:pt>
                <c:pt idx="319">
                  <c:v>43942</c:v>
                </c:pt>
                <c:pt idx="320">
                  <c:v>43943</c:v>
                </c:pt>
                <c:pt idx="321">
                  <c:v>43944</c:v>
                </c:pt>
                <c:pt idx="322">
                  <c:v>43945</c:v>
                </c:pt>
                <c:pt idx="323">
                  <c:v>43948</c:v>
                </c:pt>
                <c:pt idx="324">
                  <c:v>43949</c:v>
                </c:pt>
                <c:pt idx="325">
                  <c:v>43950</c:v>
                </c:pt>
                <c:pt idx="326">
                  <c:v>43951</c:v>
                </c:pt>
                <c:pt idx="327">
                  <c:v>43952</c:v>
                </c:pt>
                <c:pt idx="328">
                  <c:v>43955</c:v>
                </c:pt>
                <c:pt idx="329">
                  <c:v>43956</c:v>
                </c:pt>
                <c:pt idx="330">
                  <c:v>43957</c:v>
                </c:pt>
                <c:pt idx="331">
                  <c:v>43958</c:v>
                </c:pt>
                <c:pt idx="332">
                  <c:v>43959</c:v>
                </c:pt>
                <c:pt idx="333">
                  <c:v>43962</c:v>
                </c:pt>
                <c:pt idx="334">
                  <c:v>43963</c:v>
                </c:pt>
                <c:pt idx="335">
                  <c:v>43964</c:v>
                </c:pt>
                <c:pt idx="336">
                  <c:v>43965</c:v>
                </c:pt>
                <c:pt idx="337">
                  <c:v>43966</c:v>
                </c:pt>
                <c:pt idx="338">
                  <c:v>43969</c:v>
                </c:pt>
                <c:pt idx="339">
                  <c:v>43970</c:v>
                </c:pt>
                <c:pt idx="340">
                  <c:v>43971</c:v>
                </c:pt>
                <c:pt idx="341">
                  <c:v>43972</c:v>
                </c:pt>
                <c:pt idx="342">
                  <c:v>43973</c:v>
                </c:pt>
                <c:pt idx="343">
                  <c:v>43977</c:v>
                </c:pt>
                <c:pt idx="344">
                  <c:v>43978</c:v>
                </c:pt>
                <c:pt idx="345">
                  <c:v>43979</c:v>
                </c:pt>
                <c:pt idx="346">
                  <c:v>43980</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44018</c:v>
                </c:pt>
                <c:pt idx="372">
                  <c:v>44019</c:v>
                </c:pt>
                <c:pt idx="373">
                  <c:v>44020</c:v>
                </c:pt>
                <c:pt idx="374">
                  <c:v>44021</c:v>
                </c:pt>
                <c:pt idx="375">
                  <c:v>44022</c:v>
                </c:pt>
                <c:pt idx="376">
                  <c:v>44025</c:v>
                </c:pt>
                <c:pt idx="377">
                  <c:v>44026</c:v>
                </c:pt>
                <c:pt idx="378">
                  <c:v>44027</c:v>
                </c:pt>
                <c:pt idx="379">
                  <c:v>44028</c:v>
                </c:pt>
                <c:pt idx="380">
                  <c:v>44029</c:v>
                </c:pt>
                <c:pt idx="381">
                  <c:v>44032</c:v>
                </c:pt>
                <c:pt idx="382">
                  <c:v>44033</c:v>
                </c:pt>
                <c:pt idx="383">
                  <c:v>44034</c:v>
                </c:pt>
                <c:pt idx="384">
                  <c:v>44035</c:v>
                </c:pt>
                <c:pt idx="385">
                  <c:v>44036</c:v>
                </c:pt>
                <c:pt idx="386">
                  <c:v>44039</c:v>
                </c:pt>
                <c:pt idx="387">
                  <c:v>44040</c:v>
                </c:pt>
                <c:pt idx="388">
                  <c:v>44041</c:v>
                </c:pt>
                <c:pt idx="389">
                  <c:v>44042</c:v>
                </c:pt>
                <c:pt idx="390">
                  <c:v>44043</c:v>
                </c:pt>
                <c:pt idx="391">
                  <c:v>44046</c:v>
                </c:pt>
                <c:pt idx="392">
                  <c:v>44047</c:v>
                </c:pt>
                <c:pt idx="393">
                  <c:v>44048</c:v>
                </c:pt>
                <c:pt idx="394">
                  <c:v>44049</c:v>
                </c:pt>
                <c:pt idx="395">
                  <c:v>44050</c:v>
                </c:pt>
                <c:pt idx="396">
                  <c:v>44053</c:v>
                </c:pt>
                <c:pt idx="397">
                  <c:v>44054</c:v>
                </c:pt>
                <c:pt idx="398">
                  <c:v>44055</c:v>
                </c:pt>
                <c:pt idx="399">
                  <c:v>44056</c:v>
                </c:pt>
                <c:pt idx="400">
                  <c:v>44057</c:v>
                </c:pt>
                <c:pt idx="401">
                  <c:v>44060</c:v>
                </c:pt>
                <c:pt idx="402">
                  <c:v>44061</c:v>
                </c:pt>
                <c:pt idx="403">
                  <c:v>44062</c:v>
                </c:pt>
                <c:pt idx="404">
                  <c:v>44063</c:v>
                </c:pt>
                <c:pt idx="405">
                  <c:v>44064</c:v>
                </c:pt>
                <c:pt idx="406">
                  <c:v>44067</c:v>
                </c:pt>
                <c:pt idx="407">
                  <c:v>44068</c:v>
                </c:pt>
                <c:pt idx="408">
                  <c:v>44069</c:v>
                </c:pt>
                <c:pt idx="409">
                  <c:v>44070</c:v>
                </c:pt>
                <c:pt idx="410">
                  <c:v>44071</c:v>
                </c:pt>
                <c:pt idx="411">
                  <c:v>44074</c:v>
                </c:pt>
                <c:pt idx="412">
                  <c:v>44075</c:v>
                </c:pt>
                <c:pt idx="413">
                  <c:v>44076</c:v>
                </c:pt>
                <c:pt idx="414">
                  <c:v>44077</c:v>
                </c:pt>
                <c:pt idx="415">
                  <c:v>44078</c:v>
                </c:pt>
                <c:pt idx="416">
                  <c:v>44082</c:v>
                </c:pt>
                <c:pt idx="417">
                  <c:v>44083</c:v>
                </c:pt>
                <c:pt idx="418">
                  <c:v>44084</c:v>
                </c:pt>
                <c:pt idx="419">
                  <c:v>44085</c:v>
                </c:pt>
                <c:pt idx="420">
                  <c:v>44088</c:v>
                </c:pt>
                <c:pt idx="421">
                  <c:v>44089</c:v>
                </c:pt>
                <c:pt idx="422">
                  <c:v>44090</c:v>
                </c:pt>
                <c:pt idx="423">
                  <c:v>44091</c:v>
                </c:pt>
                <c:pt idx="424">
                  <c:v>44092</c:v>
                </c:pt>
                <c:pt idx="425">
                  <c:v>44095</c:v>
                </c:pt>
                <c:pt idx="426">
                  <c:v>44096</c:v>
                </c:pt>
                <c:pt idx="427">
                  <c:v>44097</c:v>
                </c:pt>
                <c:pt idx="428">
                  <c:v>44098</c:v>
                </c:pt>
                <c:pt idx="429">
                  <c:v>44099</c:v>
                </c:pt>
                <c:pt idx="430">
                  <c:v>44102</c:v>
                </c:pt>
                <c:pt idx="431">
                  <c:v>44103</c:v>
                </c:pt>
                <c:pt idx="432">
                  <c:v>44104</c:v>
                </c:pt>
                <c:pt idx="433">
                  <c:v>44105</c:v>
                </c:pt>
                <c:pt idx="434">
                  <c:v>44106</c:v>
                </c:pt>
                <c:pt idx="435">
                  <c:v>44109</c:v>
                </c:pt>
                <c:pt idx="436">
                  <c:v>44110</c:v>
                </c:pt>
                <c:pt idx="437">
                  <c:v>44111</c:v>
                </c:pt>
                <c:pt idx="438">
                  <c:v>44112</c:v>
                </c:pt>
                <c:pt idx="439">
                  <c:v>44113</c:v>
                </c:pt>
                <c:pt idx="440">
                  <c:v>44116</c:v>
                </c:pt>
                <c:pt idx="441">
                  <c:v>44117</c:v>
                </c:pt>
                <c:pt idx="442">
                  <c:v>44118</c:v>
                </c:pt>
                <c:pt idx="443">
                  <c:v>44119</c:v>
                </c:pt>
                <c:pt idx="444">
                  <c:v>44120</c:v>
                </c:pt>
                <c:pt idx="445">
                  <c:v>44123</c:v>
                </c:pt>
                <c:pt idx="446">
                  <c:v>44124</c:v>
                </c:pt>
                <c:pt idx="447">
                  <c:v>44125</c:v>
                </c:pt>
                <c:pt idx="448">
                  <c:v>44126</c:v>
                </c:pt>
                <c:pt idx="449">
                  <c:v>44127</c:v>
                </c:pt>
                <c:pt idx="450">
                  <c:v>44130</c:v>
                </c:pt>
                <c:pt idx="451">
                  <c:v>44131</c:v>
                </c:pt>
                <c:pt idx="452">
                  <c:v>44132</c:v>
                </c:pt>
                <c:pt idx="453">
                  <c:v>44133</c:v>
                </c:pt>
                <c:pt idx="454">
                  <c:v>44134</c:v>
                </c:pt>
                <c:pt idx="455">
                  <c:v>44137</c:v>
                </c:pt>
                <c:pt idx="456">
                  <c:v>44138</c:v>
                </c:pt>
                <c:pt idx="457">
                  <c:v>44139</c:v>
                </c:pt>
                <c:pt idx="458">
                  <c:v>44140</c:v>
                </c:pt>
                <c:pt idx="459">
                  <c:v>44141</c:v>
                </c:pt>
                <c:pt idx="460">
                  <c:v>44144</c:v>
                </c:pt>
                <c:pt idx="461">
                  <c:v>44145</c:v>
                </c:pt>
                <c:pt idx="462">
                  <c:v>44146</c:v>
                </c:pt>
                <c:pt idx="463">
                  <c:v>44147</c:v>
                </c:pt>
                <c:pt idx="464">
                  <c:v>44148</c:v>
                </c:pt>
                <c:pt idx="465">
                  <c:v>44151</c:v>
                </c:pt>
                <c:pt idx="466">
                  <c:v>44152</c:v>
                </c:pt>
                <c:pt idx="467">
                  <c:v>44153</c:v>
                </c:pt>
                <c:pt idx="468">
                  <c:v>44154</c:v>
                </c:pt>
                <c:pt idx="469">
                  <c:v>44155</c:v>
                </c:pt>
                <c:pt idx="470">
                  <c:v>44158</c:v>
                </c:pt>
                <c:pt idx="471">
                  <c:v>44159</c:v>
                </c:pt>
                <c:pt idx="472">
                  <c:v>44160</c:v>
                </c:pt>
                <c:pt idx="473">
                  <c:v>44162</c:v>
                </c:pt>
                <c:pt idx="474">
                  <c:v>44165</c:v>
                </c:pt>
                <c:pt idx="475">
                  <c:v>44166</c:v>
                </c:pt>
                <c:pt idx="476">
                  <c:v>44167</c:v>
                </c:pt>
                <c:pt idx="477">
                  <c:v>44168</c:v>
                </c:pt>
                <c:pt idx="478">
                  <c:v>44169</c:v>
                </c:pt>
                <c:pt idx="479">
                  <c:v>44172</c:v>
                </c:pt>
                <c:pt idx="480">
                  <c:v>44173</c:v>
                </c:pt>
                <c:pt idx="481">
                  <c:v>44174</c:v>
                </c:pt>
                <c:pt idx="482">
                  <c:v>44175</c:v>
                </c:pt>
                <c:pt idx="483">
                  <c:v>44176</c:v>
                </c:pt>
                <c:pt idx="484">
                  <c:v>44179</c:v>
                </c:pt>
                <c:pt idx="485">
                  <c:v>44180</c:v>
                </c:pt>
                <c:pt idx="486">
                  <c:v>44181</c:v>
                </c:pt>
                <c:pt idx="487">
                  <c:v>44182</c:v>
                </c:pt>
                <c:pt idx="488">
                  <c:v>44183</c:v>
                </c:pt>
                <c:pt idx="489">
                  <c:v>44186</c:v>
                </c:pt>
                <c:pt idx="490">
                  <c:v>44187</c:v>
                </c:pt>
                <c:pt idx="491">
                  <c:v>44188</c:v>
                </c:pt>
                <c:pt idx="492">
                  <c:v>44189</c:v>
                </c:pt>
                <c:pt idx="493">
                  <c:v>44193</c:v>
                </c:pt>
                <c:pt idx="494">
                  <c:v>44194</c:v>
                </c:pt>
                <c:pt idx="495">
                  <c:v>44195</c:v>
                </c:pt>
                <c:pt idx="496">
                  <c:v>44196</c:v>
                </c:pt>
                <c:pt idx="497">
                  <c:v>44200</c:v>
                </c:pt>
                <c:pt idx="498">
                  <c:v>44201</c:v>
                </c:pt>
                <c:pt idx="499">
                  <c:v>44202</c:v>
                </c:pt>
                <c:pt idx="500">
                  <c:v>44203</c:v>
                </c:pt>
                <c:pt idx="501">
                  <c:v>44204</c:v>
                </c:pt>
                <c:pt idx="502">
                  <c:v>44207</c:v>
                </c:pt>
                <c:pt idx="503">
                  <c:v>44208</c:v>
                </c:pt>
                <c:pt idx="504">
                  <c:v>44209</c:v>
                </c:pt>
                <c:pt idx="505">
                  <c:v>44210</c:v>
                </c:pt>
                <c:pt idx="506">
                  <c:v>44211</c:v>
                </c:pt>
                <c:pt idx="507">
                  <c:v>44215</c:v>
                </c:pt>
                <c:pt idx="508">
                  <c:v>44216</c:v>
                </c:pt>
                <c:pt idx="509">
                  <c:v>44217</c:v>
                </c:pt>
                <c:pt idx="510">
                  <c:v>44218</c:v>
                </c:pt>
                <c:pt idx="511">
                  <c:v>44221</c:v>
                </c:pt>
                <c:pt idx="512">
                  <c:v>44222</c:v>
                </c:pt>
                <c:pt idx="513">
                  <c:v>44223</c:v>
                </c:pt>
                <c:pt idx="514">
                  <c:v>44224</c:v>
                </c:pt>
                <c:pt idx="515">
                  <c:v>44225</c:v>
                </c:pt>
                <c:pt idx="516">
                  <c:v>44228</c:v>
                </c:pt>
                <c:pt idx="517">
                  <c:v>44229</c:v>
                </c:pt>
                <c:pt idx="518">
                  <c:v>44230</c:v>
                </c:pt>
                <c:pt idx="519">
                  <c:v>44231</c:v>
                </c:pt>
                <c:pt idx="520">
                  <c:v>44232</c:v>
                </c:pt>
                <c:pt idx="521">
                  <c:v>44235</c:v>
                </c:pt>
                <c:pt idx="522">
                  <c:v>44236</c:v>
                </c:pt>
                <c:pt idx="523">
                  <c:v>44237</c:v>
                </c:pt>
                <c:pt idx="524">
                  <c:v>44238</c:v>
                </c:pt>
                <c:pt idx="525">
                  <c:v>44239</c:v>
                </c:pt>
                <c:pt idx="526">
                  <c:v>44243</c:v>
                </c:pt>
                <c:pt idx="527">
                  <c:v>44244</c:v>
                </c:pt>
                <c:pt idx="528">
                  <c:v>44245</c:v>
                </c:pt>
                <c:pt idx="529">
                  <c:v>44246</c:v>
                </c:pt>
                <c:pt idx="530">
                  <c:v>44249</c:v>
                </c:pt>
                <c:pt idx="531">
                  <c:v>44250</c:v>
                </c:pt>
                <c:pt idx="532">
                  <c:v>44251</c:v>
                </c:pt>
                <c:pt idx="533">
                  <c:v>44252</c:v>
                </c:pt>
                <c:pt idx="534">
                  <c:v>44253</c:v>
                </c:pt>
                <c:pt idx="535">
                  <c:v>44256</c:v>
                </c:pt>
                <c:pt idx="536">
                  <c:v>44257</c:v>
                </c:pt>
                <c:pt idx="537">
                  <c:v>44258</c:v>
                </c:pt>
                <c:pt idx="538">
                  <c:v>44259</c:v>
                </c:pt>
                <c:pt idx="539">
                  <c:v>44260</c:v>
                </c:pt>
                <c:pt idx="540">
                  <c:v>44263</c:v>
                </c:pt>
                <c:pt idx="541">
                  <c:v>44264</c:v>
                </c:pt>
                <c:pt idx="542">
                  <c:v>44265</c:v>
                </c:pt>
                <c:pt idx="543">
                  <c:v>44266</c:v>
                </c:pt>
                <c:pt idx="544">
                  <c:v>44267</c:v>
                </c:pt>
                <c:pt idx="545">
                  <c:v>44270</c:v>
                </c:pt>
                <c:pt idx="546">
                  <c:v>44271</c:v>
                </c:pt>
                <c:pt idx="547">
                  <c:v>44272</c:v>
                </c:pt>
                <c:pt idx="548">
                  <c:v>44273</c:v>
                </c:pt>
                <c:pt idx="549">
                  <c:v>44274</c:v>
                </c:pt>
                <c:pt idx="550">
                  <c:v>44277</c:v>
                </c:pt>
                <c:pt idx="551">
                  <c:v>44278</c:v>
                </c:pt>
                <c:pt idx="552">
                  <c:v>44279</c:v>
                </c:pt>
                <c:pt idx="553">
                  <c:v>44280</c:v>
                </c:pt>
                <c:pt idx="554">
                  <c:v>44281</c:v>
                </c:pt>
                <c:pt idx="555">
                  <c:v>44284</c:v>
                </c:pt>
                <c:pt idx="556">
                  <c:v>44285</c:v>
                </c:pt>
                <c:pt idx="557">
                  <c:v>44286</c:v>
                </c:pt>
                <c:pt idx="558">
                  <c:v>44287</c:v>
                </c:pt>
                <c:pt idx="559">
                  <c:v>44291</c:v>
                </c:pt>
                <c:pt idx="560">
                  <c:v>44292</c:v>
                </c:pt>
                <c:pt idx="561">
                  <c:v>44293</c:v>
                </c:pt>
                <c:pt idx="562">
                  <c:v>44294</c:v>
                </c:pt>
                <c:pt idx="563">
                  <c:v>44295</c:v>
                </c:pt>
                <c:pt idx="564">
                  <c:v>44298</c:v>
                </c:pt>
                <c:pt idx="565">
                  <c:v>44299</c:v>
                </c:pt>
                <c:pt idx="566">
                  <c:v>44300</c:v>
                </c:pt>
                <c:pt idx="567">
                  <c:v>44301</c:v>
                </c:pt>
                <c:pt idx="568">
                  <c:v>44302</c:v>
                </c:pt>
                <c:pt idx="569">
                  <c:v>44305</c:v>
                </c:pt>
                <c:pt idx="570">
                  <c:v>44306</c:v>
                </c:pt>
                <c:pt idx="571">
                  <c:v>44307</c:v>
                </c:pt>
                <c:pt idx="572">
                  <c:v>44308</c:v>
                </c:pt>
                <c:pt idx="573">
                  <c:v>44309</c:v>
                </c:pt>
                <c:pt idx="574">
                  <c:v>44312</c:v>
                </c:pt>
                <c:pt idx="575">
                  <c:v>44313</c:v>
                </c:pt>
                <c:pt idx="576">
                  <c:v>44314</c:v>
                </c:pt>
                <c:pt idx="577">
                  <c:v>44315</c:v>
                </c:pt>
                <c:pt idx="578">
                  <c:v>44316</c:v>
                </c:pt>
                <c:pt idx="579">
                  <c:v>44319</c:v>
                </c:pt>
                <c:pt idx="580">
                  <c:v>44320</c:v>
                </c:pt>
                <c:pt idx="581">
                  <c:v>44321</c:v>
                </c:pt>
                <c:pt idx="582">
                  <c:v>44322</c:v>
                </c:pt>
                <c:pt idx="583">
                  <c:v>44323</c:v>
                </c:pt>
                <c:pt idx="584">
                  <c:v>44326</c:v>
                </c:pt>
                <c:pt idx="585">
                  <c:v>44327</c:v>
                </c:pt>
                <c:pt idx="586">
                  <c:v>44328</c:v>
                </c:pt>
                <c:pt idx="587">
                  <c:v>44329</c:v>
                </c:pt>
                <c:pt idx="588">
                  <c:v>44330</c:v>
                </c:pt>
                <c:pt idx="589">
                  <c:v>44333</c:v>
                </c:pt>
                <c:pt idx="590">
                  <c:v>44334</c:v>
                </c:pt>
                <c:pt idx="591">
                  <c:v>44335</c:v>
                </c:pt>
                <c:pt idx="592">
                  <c:v>44336</c:v>
                </c:pt>
                <c:pt idx="593">
                  <c:v>44337</c:v>
                </c:pt>
                <c:pt idx="594">
                  <c:v>44340</c:v>
                </c:pt>
                <c:pt idx="595">
                  <c:v>44341</c:v>
                </c:pt>
                <c:pt idx="596">
                  <c:v>44342</c:v>
                </c:pt>
                <c:pt idx="597">
                  <c:v>44343</c:v>
                </c:pt>
                <c:pt idx="598">
                  <c:v>44344</c:v>
                </c:pt>
                <c:pt idx="599">
                  <c:v>44348</c:v>
                </c:pt>
                <c:pt idx="600">
                  <c:v>44349</c:v>
                </c:pt>
                <c:pt idx="601">
                  <c:v>44350</c:v>
                </c:pt>
                <c:pt idx="602">
                  <c:v>44351</c:v>
                </c:pt>
                <c:pt idx="603">
                  <c:v>44354</c:v>
                </c:pt>
                <c:pt idx="604">
                  <c:v>44355</c:v>
                </c:pt>
                <c:pt idx="605">
                  <c:v>44356</c:v>
                </c:pt>
                <c:pt idx="606">
                  <c:v>44357</c:v>
                </c:pt>
                <c:pt idx="607">
                  <c:v>44358</c:v>
                </c:pt>
                <c:pt idx="608">
                  <c:v>44361</c:v>
                </c:pt>
                <c:pt idx="609">
                  <c:v>44362</c:v>
                </c:pt>
                <c:pt idx="610">
                  <c:v>44363</c:v>
                </c:pt>
                <c:pt idx="611">
                  <c:v>44364</c:v>
                </c:pt>
                <c:pt idx="612">
                  <c:v>44365</c:v>
                </c:pt>
                <c:pt idx="613">
                  <c:v>44368</c:v>
                </c:pt>
                <c:pt idx="614">
                  <c:v>44369</c:v>
                </c:pt>
                <c:pt idx="615">
                  <c:v>44370</c:v>
                </c:pt>
                <c:pt idx="616">
                  <c:v>44371</c:v>
                </c:pt>
                <c:pt idx="617">
                  <c:v>44372</c:v>
                </c:pt>
                <c:pt idx="618">
                  <c:v>44375</c:v>
                </c:pt>
                <c:pt idx="619">
                  <c:v>44376</c:v>
                </c:pt>
                <c:pt idx="620">
                  <c:v>44377</c:v>
                </c:pt>
                <c:pt idx="621">
                  <c:v>44378</c:v>
                </c:pt>
                <c:pt idx="622">
                  <c:v>44379</c:v>
                </c:pt>
                <c:pt idx="623">
                  <c:v>44383</c:v>
                </c:pt>
                <c:pt idx="624">
                  <c:v>44384</c:v>
                </c:pt>
                <c:pt idx="625">
                  <c:v>44385</c:v>
                </c:pt>
                <c:pt idx="626">
                  <c:v>44386</c:v>
                </c:pt>
                <c:pt idx="627">
                  <c:v>44389</c:v>
                </c:pt>
                <c:pt idx="628">
                  <c:v>44390</c:v>
                </c:pt>
                <c:pt idx="629">
                  <c:v>44391</c:v>
                </c:pt>
                <c:pt idx="630">
                  <c:v>44392</c:v>
                </c:pt>
                <c:pt idx="631">
                  <c:v>44393</c:v>
                </c:pt>
                <c:pt idx="632">
                  <c:v>44396</c:v>
                </c:pt>
                <c:pt idx="633">
                  <c:v>44397</c:v>
                </c:pt>
                <c:pt idx="634">
                  <c:v>44398</c:v>
                </c:pt>
                <c:pt idx="635">
                  <c:v>44399</c:v>
                </c:pt>
                <c:pt idx="636">
                  <c:v>44400</c:v>
                </c:pt>
                <c:pt idx="637">
                  <c:v>44403</c:v>
                </c:pt>
                <c:pt idx="638">
                  <c:v>44404</c:v>
                </c:pt>
                <c:pt idx="639">
                  <c:v>44405</c:v>
                </c:pt>
                <c:pt idx="640">
                  <c:v>44406</c:v>
                </c:pt>
                <c:pt idx="641">
                  <c:v>44407</c:v>
                </c:pt>
                <c:pt idx="642">
                  <c:v>44410</c:v>
                </c:pt>
                <c:pt idx="643">
                  <c:v>44411</c:v>
                </c:pt>
                <c:pt idx="644">
                  <c:v>44412</c:v>
                </c:pt>
                <c:pt idx="645">
                  <c:v>44413</c:v>
                </c:pt>
                <c:pt idx="646">
                  <c:v>44414</c:v>
                </c:pt>
                <c:pt idx="647">
                  <c:v>44417</c:v>
                </c:pt>
                <c:pt idx="648">
                  <c:v>44418</c:v>
                </c:pt>
                <c:pt idx="649">
                  <c:v>44419</c:v>
                </c:pt>
                <c:pt idx="650">
                  <c:v>44420</c:v>
                </c:pt>
                <c:pt idx="651">
                  <c:v>44421</c:v>
                </c:pt>
                <c:pt idx="652">
                  <c:v>44424</c:v>
                </c:pt>
                <c:pt idx="653">
                  <c:v>44425</c:v>
                </c:pt>
                <c:pt idx="654">
                  <c:v>44426</c:v>
                </c:pt>
                <c:pt idx="655">
                  <c:v>44427</c:v>
                </c:pt>
                <c:pt idx="656">
                  <c:v>44428</c:v>
                </c:pt>
                <c:pt idx="657">
                  <c:v>44431</c:v>
                </c:pt>
                <c:pt idx="658">
                  <c:v>44432</c:v>
                </c:pt>
                <c:pt idx="659">
                  <c:v>44433</c:v>
                </c:pt>
                <c:pt idx="660">
                  <c:v>44434</c:v>
                </c:pt>
                <c:pt idx="661">
                  <c:v>44435</c:v>
                </c:pt>
                <c:pt idx="662">
                  <c:v>44438</c:v>
                </c:pt>
                <c:pt idx="663">
                  <c:v>44439</c:v>
                </c:pt>
                <c:pt idx="664">
                  <c:v>44440</c:v>
                </c:pt>
                <c:pt idx="665">
                  <c:v>44441</c:v>
                </c:pt>
                <c:pt idx="666">
                  <c:v>44442</c:v>
                </c:pt>
                <c:pt idx="667">
                  <c:v>44446</c:v>
                </c:pt>
                <c:pt idx="668">
                  <c:v>44447</c:v>
                </c:pt>
                <c:pt idx="669">
                  <c:v>44448</c:v>
                </c:pt>
                <c:pt idx="670">
                  <c:v>44449</c:v>
                </c:pt>
              </c:numCache>
            </c:numRef>
          </c:cat>
          <c:val>
            <c:numRef>
              <c:f>Sheet1!$D$2:$D$672</c:f>
              <c:numCache>
                <c:formatCode>0.0</c:formatCode>
                <c:ptCount val="671"/>
                <c:pt idx="0">
                  <c:v>100</c:v>
                </c:pt>
                <c:pt idx="1">
                  <c:v>100</c:v>
                </c:pt>
                <c:pt idx="2">
                  <c:v>100.30161649568035</c:v>
                </c:pt>
                <c:pt idx="3">
                  <c:v>101.28239740820734</c:v>
                </c:pt>
                <c:pt idx="4">
                  <c:v>100.9698130399568</c:v>
                </c:pt>
                <c:pt idx="5">
                  <c:v>101.80168399028078</c:v>
                </c:pt>
                <c:pt idx="6">
                  <c:v>102.74829576133911</c:v>
                </c:pt>
                <c:pt idx="7">
                  <c:v>102.85966185205186</c:v>
                </c:pt>
                <c:pt idx="8">
                  <c:v>103.02460178185748</c:v>
                </c:pt>
                <c:pt idx="9">
                  <c:v>102.94360826133912</c:v>
                </c:pt>
                <c:pt idx="10">
                  <c:v>102.78077753779699</c:v>
                </c:pt>
                <c:pt idx="11">
                  <c:v>103.52785839632833</c:v>
                </c:pt>
                <c:pt idx="12">
                  <c:v>104.3496051565875</c:v>
                </c:pt>
                <c:pt idx="13">
                  <c:v>104.04081735961125</c:v>
                </c:pt>
                <c:pt idx="14">
                  <c:v>104.10662459503243</c:v>
                </c:pt>
                <c:pt idx="15">
                  <c:v>105.04058112850976</c:v>
                </c:pt>
                <c:pt idx="16">
                  <c:v>104.85750202483804</c:v>
                </c:pt>
                <c:pt idx="17">
                  <c:v>105.42614403347734</c:v>
                </c:pt>
                <c:pt idx="18">
                  <c:v>104.43439524838014</c:v>
                </c:pt>
                <c:pt idx="19">
                  <c:v>105.33755737041038</c:v>
                </c:pt>
                <c:pt idx="20">
                  <c:v>106.21498717602593</c:v>
                </c:pt>
                <c:pt idx="21">
                  <c:v>106.30737041036718</c:v>
                </c:pt>
                <c:pt idx="22">
                  <c:v>106.43223542116631</c:v>
                </c:pt>
                <c:pt idx="23">
                  <c:v>106.48749662526997</c:v>
                </c:pt>
                <c:pt idx="24">
                  <c:v>107.46532464902808</c:v>
                </c:pt>
                <c:pt idx="25">
                  <c:v>107.03842130129588</c:v>
                </c:pt>
                <c:pt idx="26">
                  <c:v>105.8336426835853</c:v>
                </c:pt>
                <c:pt idx="27">
                  <c:v>105.62398758099351</c:v>
                </c:pt>
                <c:pt idx="28">
                  <c:v>105.92054198164145</c:v>
                </c:pt>
                <c:pt idx="29">
                  <c:v>106.91861838552914</c:v>
                </c:pt>
                <c:pt idx="30">
                  <c:v>104.12349824514037</c:v>
                </c:pt>
                <c:pt idx="31">
                  <c:v>103.98471247300215</c:v>
                </c:pt>
                <c:pt idx="32">
                  <c:v>105.02961325593951</c:v>
                </c:pt>
                <c:pt idx="33">
                  <c:v>104.24414484341251</c:v>
                </c:pt>
                <c:pt idx="34">
                  <c:v>103.8636440334773</c:v>
                </c:pt>
                <c:pt idx="35">
                  <c:v>104.97266468682503</c:v>
                </c:pt>
                <c:pt idx="36">
                  <c:v>104.22642751079911</c:v>
                </c:pt>
                <c:pt idx="37">
                  <c:v>105.10343547516197</c:v>
                </c:pt>
                <c:pt idx="38">
                  <c:v>104.97224284557234</c:v>
                </c:pt>
                <c:pt idx="39">
                  <c:v>105.2713282937365</c:v>
                </c:pt>
                <c:pt idx="40">
                  <c:v>105.00008436825054</c:v>
                </c:pt>
                <c:pt idx="41">
                  <c:v>104.93048056155507</c:v>
                </c:pt>
                <c:pt idx="42">
                  <c:v>104.57064997300215</c:v>
                </c:pt>
                <c:pt idx="43">
                  <c:v>104.2871726511879</c:v>
                </c:pt>
                <c:pt idx="44">
                  <c:v>104.09776592872569</c:v>
                </c:pt>
                <c:pt idx="45">
                  <c:v>105.11566887149029</c:v>
                </c:pt>
                <c:pt idx="46">
                  <c:v>104.38250877429806</c:v>
                </c:pt>
                <c:pt idx="47">
                  <c:v>104.17791576673866</c:v>
                </c:pt>
                <c:pt idx="48">
                  <c:v>104.12138903887691</c:v>
                </c:pt>
                <c:pt idx="49">
                  <c:v>104.16863525917928</c:v>
                </c:pt>
                <c:pt idx="50">
                  <c:v>103.7636676565875</c:v>
                </c:pt>
                <c:pt idx="51">
                  <c:v>104.49134381749462</c:v>
                </c:pt>
                <c:pt idx="52">
                  <c:v>104.82966050215985</c:v>
                </c:pt>
                <c:pt idx="53">
                  <c:v>105.18063242440606</c:v>
                </c:pt>
                <c:pt idx="54">
                  <c:v>105.67376484881211</c:v>
                </c:pt>
                <c:pt idx="55">
                  <c:v>105.79609881209504</c:v>
                </c:pt>
                <c:pt idx="56">
                  <c:v>104.94946341792657</c:v>
                </c:pt>
                <c:pt idx="57">
                  <c:v>105.40125539956804</c:v>
                </c:pt>
                <c:pt idx="58">
                  <c:v>105.91126147408208</c:v>
                </c:pt>
                <c:pt idx="59">
                  <c:v>104.94144843412528</c:v>
                </c:pt>
                <c:pt idx="60">
                  <c:v>105.19750607451404</c:v>
                </c:pt>
                <c:pt idx="61">
                  <c:v>105.40673933585313</c:v>
                </c:pt>
                <c:pt idx="62">
                  <c:v>106.43181357991362</c:v>
                </c:pt>
                <c:pt idx="63">
                  <c:v>106.76380264578835</c:v>
                </c:pt>
                <c:pt idx="64">
                  <c:v>106.74946004319655</c:v>
                </c:pt>
                <c:pt idx="65">
                  <c:v>106.95784962203025</c:v>
                </c:pt>
                <c:pt idx="66">
                  <c:v>107.25777875269979</c:v>
                </c:pt>
                <c:pt idx="67">
                  <c:v>108.15376957343413</c:v>
                </c:pt>
                <c:pt idx="68">
                  <c:v>108.48491495680346</c:v>
                </c:pt>
                <c:pt idx="69">
                  <c:v>108.76628307235423</c:v>
                </c:pt>
                <c:pt idx="70">
                  <c:v>107.60621962742982</c:v>
                </c:pt>
                <c:pt idx="71">
                  <c:v>108.18034557235424</c:v>
                </c:pt>
                <c:pt idx="72">
                  <c:v>107.45013836393092</c:v>
                </c:pt>
                <c:pt idx="73">
                  <c:v>108.13773960583156</c:v>
                </c:pt>
                <c:pt idx="74">
                  <c:v>108.30099217062637</c:v>
                </c:pt>
                <c:pt idx="75">
                  <c:v>108.03818507019442</c:v>
                </c:pt>
                <c:pt idx="76">
                  <c:v>108.29677375809936</c:v>
                </c:pt>
                <c:pt idx="77">
                  <c:v>109.09067899568038</c:v>
                </c:pt>
                <c:pt idx="78">
                  <c:v>109.13328496220306</c:v>
                </c:pt>
                <c:pt idx="79">
                  <c:v>108.77261069114473</c:v>
                </c:pt>
                <c:pt idx="80">
                  <c:v>108.02088957883372</c:v>
                </c:pt>
                <c:pt idx="81">
                  <c:v>108.16389376349896</c:v>
                </c:pt>
                <c:pt idx="82">
                  <c:v>108.42121692764583</c:v>
                </c:pt>
                <c:pt idx="83">
                  <c:v>107.94116158207346</c:v>
                </c:pt>
                <c:pt idx="84">
                  <c:v>108.58657869870414</c:v>
                </c:pt>
                <c:pt idx="85">
                  <c:v>108.38282937365015</c:v>
                </c:pt>
                <c:pt idx="86">
                  <c:v>108.81774770518363</c:v>
                </c:pt>
                <c:pt idx="87">
                  <c:v>108.14575458963286</c:v>
                </c:pt>
                <c:pt idx="88">
                  <c:v>107.07005939524841</c:v>
                </c:pt>
                <c:pt idx="89">
                  <c:v>105.97622502699787</c:v>
                </c:pt>
                <c:pt idx="90">
                  <c:v>105.83701741360693</c:v>
                </c:pt>
                <c:pt idx="91">
                  <c:v>108.38493857991364</c:v>
                </c:pt>
                <c:pt idx="92">
                  <c:v>107.6829947354212</c:v>
                </c:pt>
                <c:pt idx="93">
                  <c:v>108.68528955183588</c:v>
                </c:pt>
                <c:pt idx="94">
                  <c:v>108.91983328833699</c:v>
                </c:pt>
                <c:pt idx="95">
                  <c:v>108.63045018898492</c:v>
                </c:pt>
                <c:pt idx="96">
                  <c:v>110.50806560475165</c:v>
                </c:pt>
                <c:pt idx="97">
                  <c:v>111.12100094492446</c:v>
                </c:pt>
                <c:pt idx="98">
                  <c:v>110.60424541036723</c:v>
                </c:pt>
                <c:pt idx="99">
                  <c:v>110.52240820734346</c:v>
                </c:pt>
                <c:pt idx="100">
                  <c:v>111.11846989740826</c:v>
                </c:pt>
                <c:pt idx="101">
                  <c:v>109.97865483261344</c:v>
                </c:pt>
                <c:pt idx="102">
                  <c:v>111.57701133909292</c:v>
                </c:pt>
                <c:pt idx="103">
                  <c:v>112.03091252699789</c:v>
                </c:pt>
                <c:pt idx="104">
                  <c:v>112.23677105831537</c:v>
                </c:pt>
                <c:pt idx="105">
                  <c:v>114.99645653347736</c:v>
                </c:pt>
                <c:pt idx="106">
                  <c:v>114.17808450323977</c:v>
                </c:pt>
                <c:pt idx="107">
                  <c:v>113.96252362311019</c:v>
                </c:pt>
                <c:pt idx="108">
                  <c:v>115.37105156587477</c:v>
                </c:pt>
                <c:pt idx="109">
                  <c:v>115.33814794816418</c:v>
                </c:pt>
                <c:pt idx="110">
                  <c:v>114.66193642008643</c:v>
                </c:pt>
                <c:pt idx="111">
                  <c:v>116.02406182505402</c:v>
                </c:pt>
                <c:pt idx="112">
                  <c:v>116.32610016198706</c:v>
                </c:pt>
                <c:pt idx="113">
                  <c:v>115.49886946544278</c:v>
                </c:pt>
                <c:pt idx="114">
                  <c:v>115.2668567764579</c:v>
                </c:pt>
                <c:pt idx="115">
                  <c:v>116.55769100971925</c:v>
                </c:pt>
                <c:pt idx="116">
                  <c:v>116.36617508099354</c:v>
                </c:pt>
                <c:pt idx="117">
                  <c:v>117.16809530237583</c:v>
                </c:pt>
                <c:pt idx="118">
                  <c:v>116.51972529697628</c:v>
                </c:pt>
                <c:pt idx="119">
                  <c:v>116.48682167926569</c:v>
                </c:pt>
                <c:pt idx="120">
                  <c:v>116.21346854751623</c:v>
                </c:pt>
                <c:pt idx="121">
                  <c:v>117.0504015928726</c:v>
                </c:pt>
                <c:pt idx="122">
                  <c:v>117.18496895248383</c:v>
                </c:pt>
                <c:pt idx="123">
                  <c:v>117.14869060475165</c:v>
                </c:pt>
                <c:pt idx="124">
                  <c:v>118.23450998920092</c:v>
                </c:pt>
                <c:pt idx="125">
                  <c:v>118.54161042116635</c:v>
                </c:pt>
                <c:pt idx="126">
                  <c:v>119.09970639848817</c:v>
                </c:pt>
                <c:pt idx="127">
                  <c:v>119.92820261879054</c:v>
                </c:pt>
                <c:pt idx="128">
                  <c:v>119.09169141468686</c:v>
                </c:pt>
                <c:pt idx="129">
                  <c:v>119.03896125809939</c:v>
                </c:pt>
                <c:pt idx="130">
                  <c:v>119.16129522138233</c:v>
                </c:pt>
                <c:pt idx="131">
                  <c:v>119.17859071274302</c:v>
                </c:pt>
                <c:pt idx="132">
                  <c:v>117.57095369870416</c:v>
                </c:pt>
                <c:pt idx="133">
                  <c:v>117.41740348272141</c:v>
                </c:pt>
                <c:pt idx="134">
                  <c:v>116.17719019978405</c:v>
                </c:pt>
                <c:pt idx="135">
                  <c:v>114.55816347192227</c:v>
                </c:pt>
                <c:pt idx="136">
                  <c:v>114.1346348542117</c:v>
                </c:pt>
                <c:pt idx="137">
                  <c:v>114.33754049676028</c:v>
                </c:pt>
                <c:pt idx="138">
                  <c:v>113.86803118250542</c:v>
                </c:pt>
                <c:pt idx="139">
                  <c:v>113.34790091792658</c:v>
                </c:pt>
                <c:pt idx="140">
                  <c:v>114.18103739200866</c:v>
                </c:pt>
                <c:pt idx="141">
                  <c:v>113.02730156587475</c:v>
                </c:pt>
                <c:pt idx="142">
                  <c:v>113.77944451943846</c:v>
                </c:pt>
                <c:pt idx="143">
                  <c:v>114.56111636069113</c:v>
                </c:pt>
                <c:pt idx="144">
                  <c:v>115.17869195464363</c:v>
                </c:pt>
                <c:pt idx="145">
                  <c:v>115.49169816414687</c:v>
                </c:pt>
                <c:pt idx="146">
                  <c:v>115.06479481641468</c:v>
                </c:pt>
                <c:pt idx="147">
                  <c:v>114.21984678725701</c:v>
                </c:pt>
                <c:pt idx="148">
                  <c:v>112.49873447624188</c:v>
                </c:pt>
                <c:pt idx="149">
                  <c:v>111.97101106911447</c:v>
                </c:pt>
                <c:pt idx="150">
                  <c:v>113.18464835313175</c:v>
                </c:pt>
                <c:pt idx="151">
                  <c:v>113.60902065334773</c:v>
                </c:pt>
                <c:pt idx="152">
                  <c:v>113.75582140928725</c:v>
                </c:pt>
                <c:pt idx="153">
                  <c:v>113.35380669546434</c:v>
                </c:pt>
                <c:pt idx="154">
                  <c:v>113.4297381209503</c:v>
                </c:pt>
                <c:pt idx="155">
                  <c:v>113.2487682235421</c:v>
                </c:pt>
                <c:pt idx="156">
                  <c:v>111.51500067494598</c:v>
                </c:pt>
                <c:pt idx="157">
                  <c:v>111.20958760799132</c:v>
                </c:pt>
                <c:pt idx="158">
                  <c:v>110.8375236231101</c:v>
                </c:pt>
                <c:pt idx="159">
                  <c:v>111.8343345032397</c:v>
                </c:pt>
                <c:pt idx="160">
                  <c:v>112.95010461663065</c:v>
                </c:pt>
                <c:pt idx="161">
                  <c:v>112.79064862311012</c:v>
                </c:pt>
                <c:pt idx="162">
                  <c:v>113.02097394708419</c:v>
                </c:pt>
                <c:pt idx="163">
                  <c:v>111.833912661987</c:v>
                </c:pt>
                <c:pt idx="164">
                  <c:v>112.2418331533477</c:v>
                </c:pt>
                <c:pt idx="165">
                  <c:v>112.13257626889845</c:v>
                </c:pt>
                <c:pt idx="166">
                  <c:v>113.0450188984881</c:v>
                </c:pt>
                <c:pt idx="167">
                  <c:v>114.6011912796976</c:v>
                </c:pt>
                <c:pt idx="168">
                  <c:v>115.68152672786175</c:v>
                </c:pt>
                <c:pt idx="169">
                  <c:v>116.88630534557232</c:v>
                </c:pt>
                <c:pt idx="170">
                  <c:v>117.58276525377966</c:v>
                </c:pt>
                <c:pt idx="171">
                  <c:v>118.15646935745137</c:v>
                </c:pt>
                <c:pt idx="172">
                  <c:v>118.36654630129587</c:v>
                </c:pt>
                <c:pt idx="173">
                  <c:v>118.22058922786174</c:v>
                </c:pt>
                <c:pt idx="174">
                  <c:v>117.47435205183584</c:v>
                </c:pt>
                <c:pt idx="175">
                  <c:v>117.61735623650105</c:v>
                </c:pt>
                <c:pt idx="176">
                  <c:v>118.79302780777535</c:v>
                </c:pt>
                <c:pt idx="177">
                  <c:v>117.94048663606908</c:v>
                </c:pt>
                <c:pt idx="178">
                  <c:v>118.57029562634986</c:v>
                </c:pt>
                <c:pt idx="179">
                  <c:v>119.48316009719218</c:v>
                </c:pt>
                <c:pt idx="180">
                  <c:v>118.91409624730017</c:v>
                </c:pt>
                <c:pt idx="181">
                  <c:v>118.76898285637144</c:v>
                </c:pt>
                <c:pt idx="182">
                  <c:v>117.89703698704101</c:v>
                </c:pt>
                <c:pt idx="183">
                  <c:v>117.82152740280775</c:v>
                </c:pt>
                <c:pt idx="184">
                  <c:v>117.50683382829371</c:v>
                </c:pt>
                <c:pt idx="185">
                  <c:v>115.96964430345569</c:v>
                </c:pt>
                <c:pt idx="186">
                  <c:v>116.24257559395244</c:v>
                </c:pt>
                <c:pt idx="187">
                  <c:v>116.95886204103668</c:v>
                </c:pt>
                <c:pt idx="188">
                  <c:v>116.42565469762415</c:v>
                </c:pt>
                <c:pt idx="189">
                  <c:v>115.99917319114466</c:v>
                </c:pt>
                <c:pt idx="190">
                  <c:v>116.29572759179261</c:v>
                </c:pt>
                <c:pt idx="191">
                  <c:v>114.72605629049671</c:v>
                </c:pt>
                <c:pt idx="192">
                  <c:v>114.23039281857447</c:v>
                </c:pt>
                <c:pt idx="193">
                  <c:v>113.70899703023754</c:v>
                </c:pt>
                <c:pt idx="194">
                  <c:v>114.7479920356371</c:v>
                </c:pt>
                <c:pt idx="195">
                  <c:v>114.09582545896323</c:v>
                </c:pt>
                <c:pt idx="196">
                  <c:v>114.29324716522672</c:v>
                </c:pt>
                <c:pt idx="197">
                  <c:v>114.88255939524834</c:v>
                </c:pt>
                <c:pt idx="198">
                  <c:v>114.34260259179261</c:v>
                </c:pt>
                <c:pt idx="199">
                  <c:v>113.75371220302372</c:v>
                </c:pt>
                <c:pt idx="200">
                  <c:v>114.52188512419004</c:v>
                </c:pt>
                <c:pt idx="201">
                  <c:v>115.77137891468679</c:v>
                </c:pt>
                <c:pt idx="202">
                  <c:v>115.91353941684663</c:v>
                </c:pt>
                <c:pt idx="203">
                  <c:v>116.41932707883366</c:v>
                </c:pt>
                <c:pt idx="204">
                  <c:v>116.69014916306693</c:v>
                </c:pt>
                <c:pt idx="205">
                  <c:v>118.00755939524836</c:v>
                </c:pt>
                <c:pt idx="206">
                  <c:v>119.05920963822892</c:v>
                </c:pt>
                <c:pt idx="207">
                  <c:v>121.32576268898487</c:v>
                </c:pt>
                <c:pt idx="208">
                  <c:v>121.4637047786177</c:v>
                </c:pt>
                <c:pt idx="209">
                  <c:v>120.57994735421167</c:v>
                </c:pt>
                <c:pt idx="210">
                  <c:v>121.57760191684666</c:v>
                </c:pt>
                <c:pt idx="211">
                  <c:v>123.06037392008638</c:v>
                </c:pt>
                <c:pt idx="212">
                  <c:v>122.14286919546436</c:v>
                </c:pt>
                <c:pt idx="213">
                  <c:v>124.47607316414687</c:v>
                </c:pt>
                <c:pt idx="214">
                  <c:v>124.43051430885528</c:v>
                </c:pt>
                <c:pt idx="215">
                  <c:v>125.61040429265657</c:v>
                </c:pt>
                <c:pt idx="216">
                  <c:v>126.46167994060472</c:v>
                </c:pt>
                <c:pt idx="217">
                  <c:v>125.11136609071272</c:v>
                </c:pt>
                <c:pt idx="218">
                  <c:v>125.02109206263495</c:v>
                </c:pt>
                <c:pt idx="219">
                  <c:v>124.12257019438441</c:v>
                </c:pt>
                <c:pt idx="220">
                  <c:v>123.96227051835849</c:v>
                </c:pt>
                <c:pt idx="221">
                  <c:v>123.40164349352048</c:v>
                </c:pt>
                <c:pt idx="222">
                  <c:v>124.33306897948161</c:v>
                </c:pt>
                <c:pt idx="223">
                  <c:v>123.51933720302372</c:v>
                </c:pt>
                <c:pt idx="224">
                  <c:v>123.83740550755937</c:v>
                </c:pt>
                <c:pt idx="225">
                  <c:v>124.05423191144708</c:v>
                </c:pt>
                <c:pt idx="226">
                  <c:v>123.99433045356371</c:v>
                </c:pt>
                <c:pt idx="227">
                  <c:v>124.5743621760259</c:v>
                </c:pt>
                <c:pt idx="228">
                  <c:v>124.64734071274297</c:v>
                </c:pt>
                <c:pt idx="229">
                  <c:v>123.69440132289415</c:v>
                </c:pt>
                <c:pt idx="230">
                  <c:v>123.44340577753779</c:v>
                </c:pt>
                <c:pt idx="231">
                  <c:v>123.420626349892</c:v>
                </c:pt>
                <c:pt idx="232">
                  <c:v>123.92388296436285</c:v>
                </c:pt>
                <c:pt idx="233">
                  <c:v>123.07049811015118</c:v>
                </c:pt>
                <c:pt idx="234">
                  <c:v>121.80202146328293</c:v>
                </c:pt>
                <c:pt idx="235">
                  <c:v>122.48160772138229</c:v>
                </c:pt>
                <c:pt idx="236">
                  <c:v>122.36686690064795</c:v>
                </c:pt>
                <c:pt idx="237">
                  <c:v>123.68723002159827</c:v>
                </c:pt>
                <c:pt idx="238">
                  <c:v>124.14914619330456</c:v>
                </c:pt>
                <c:pt idx="239">
                  <c:v>123.70199446544278</c:v>
                </c:pt>
                <c:pt idx="240">
                  <c:v>125.12823974082075</c:v>
                </c:pt>
                <c:pt idx="241">
                  <c:v>126.16934395248381</c:v>
                </c:pt>
                <c:pt idx="242">
                  <c:v>126.6122772678186</c:v>
                </c:pt>
                <c:pt idx="243">
                  <c:v>127.07925553455725</c:v>
                </c:pt>
                <c:pt idx="244">
                  <c:v>127.03200931425488</c:v>
                </c:pt>
                <c:pt idx="245">
                  <c:v>127.07081870950326</c:v>
                </c:pt>
                <c:pt idx="246">
                  <c:v>127.21213552915768</c:v>
                </c:pt>
                <c:pt idx="247">
                  <c:v>126.96957680885531</c:v>
                </c:pt>
                <c:pt idx="248">
                  <c:v>128.06509854211666</c:v>
                </c:pt>
                <c:pt idx="249">
                  <c:v>127.91956330993521</c:v>
                </c:pt>
                <c:pt idx="250">
                  <c:v>127.63144573434126</c:v>
                </c:pt>
                <c:pt idx="251">
                  <c:v>127.78077753779698</c:v>
                </c:pt>
                <c:pt idx="252">
                  <c:v>128.7210616900648</c:v>
                </c:pt>
                <c:pt idx="253">
                  <c:v>129.04967602591793</c:v>
                </c:pt>
                <c:pt idx="254">
                  <c:v>129.7393864740821</c:v>
                </c:pt>
                <c:pt idx="255">
                  <c:v>129.78494532937367</c:v>
                </c:pt>
                <c:pt idx="256">
                  <c:v>130.99056762958966</c:v>
                </c:pt>
                <c:pt idx="257">
                  <c:v>131.4980426565875</c:v>
                </c:pt>
                <c:pt idx="258">
                  <c:v>131.82370410367176</c:v>
                </c:pt>
                <c:pt idx="259">
                  <c:v>133.117491225702</c:v>
                </c:pt>
                <c:pt idx="260">
                  <c:v>131.9679738120951</c:v>
                </c:pt>
                <c:pt idx="261">
                  <c:v>132.3535367170627</c:v>
                </c:pt>
                <c:pt idx="262">
                  <c:v>133.35456600971926</c:v>
                </c:pt>
                <c:pt idx="263">
                  <c:v>135.2271193304536</c:v>
                </c:pt>
                <c:pt idx="264">
                  <c:v>135.52578293736502</c:v>
                </c:pt>
                <c:pt idx="265">
                  <c:v>135.53379792116633</c:v>
                </c:pt>
                <c:pt idx="266">
                  <c:v>133.41488930885529</c:v>
                </c:pt>
                <c:pt idx="267">
                  <c:v>132.76525377969764</c:v>
                </c:pt>
                <c:pt idx="268">
                  <c:v>131.77097394708426</c:v>
                </c:pt>
                <c:pt idx="269">
                  <c:v>130.6741866900648</c:v>
                </c:pt>
                <c:pt idx="270">
                  <c:v>131.86377902267819</c:v>
                </c:pt>
                <c:pt idx="271">
                  <c:v>131.12429130669548</c:v>
                </c:pt>
                <c:pt idx="272">
                  <c:v>132.17973812095033</c:v>
                </c:pt>
                <c:pt idx="273">
                  <c:v>129.17918129049676</c:v>
                </c:pt>
                <c:pt idx="274">
                  <c:v>130.01991090712741</c:v>
                </c:pt>
                <c:pt idx="275">
                  <c:v>131.00364470842331</c:v>
                </c:pt>
                <c:pt idx="276">
                  <c:v>132.15611501079911</c:v>
                </c:pt>
                <c:pt idx="277">
                  <c:v>130.81634719222458</c:v>
                </c:pt>
                <c:pt idx="278">
                  <c:v>130.29115483261336</c:v>
                </c:pt>
                <c:pt idx="279">
                  <c:v>129.60608463822891</c:v>
                </c:pt>
                <c:pt idx="280">
                  <c:v>130.93150985421164</c:v>
                </c:pt>
                <c:pt idx="281">
                  <c:v>131.48749662526993</c:v>
                </c:pt>
                <c:pt idx="282">
                  <c:v>131.34955453563711</c:v>
                </c:pt>
                <c:pt idx="283">
                  <c:v>130.65182910367167</c:v>
                </c:pt>
                <c:pt idx="284">
                  <c:v>130.92729144168464</c:v>
                </c:pt>
                <c:pt idx="285">
                  <c:v>130.31055953023755</c:v>
                </c:pt>
                <c:pt idx="286">
                  <c:v>131.63598474622026</c:v>
                </c:pt>
                <c:pt idx="287">
                  <c:v>131.18672381209498</c:v>
                </c:pt>
                <c:pt idx="288">
                  <c:v>129.01297583693298</c:v>
                </c:pt>
                <c:pt idx="289">
                  <c:v>126.30855156587465</c:v>
                </c:pt>
                <c:pt idx="290">
                  <c:v>126.09594357451397</c:v>
                </c:pt>
                <c:pt idx="291">
                  <c:v>120.22939727321808</c:v>
                </c:pt>
                <c:pt idx="292">
                  <c:v>119.35871692764572</c:v>
                </c:pt>
                <c:pt idx="293">
                  <c:v>118.85714767818567</c:v>
                </c:pt>
                <c:pt idx="294">
                  <c:v>118.08095977321807</c:v>
                </c:pt>
                <c:pt idx="295">
                  <c:v>120.32684260259173</c:v>
                </c:pt>
                <c:pt idx="296">
                  <c:v>116.99893696004314</c:v>
                </c:pt>
                <c:pt idx="297">
                  <c:v>105.57421031317487</c:v>
                </c:pt>
                <c:pt idx="298">
                  <c:v>106.84057775377963</c:v>
                </c:pt>
                <c:pt idx="299">
                  <c:v>101.79113795896322</c:v>
                </c:pt>
                <c:pt idx="300">
                  <c:v>96.081094762418942</c:v>
                </c:pt>
                <c:pt idx="301">
                  <c:v>96.898623110151135</c:v>
                </c:pt>
                <c:pt idx="302">
                  <c:v>95.488829643628463</c:v>
                </c:pt>
                <c:pt idx="303">
                  <c:v>92.500928050755888</c:v>
                </c:pt>
                <c:pt idx="304">
                  <c:v>90.039062499999943</c:v>
                </c:pt>
                <c:pt idx="305">
                  <c:v>98.173849217062568</c:v>
                </c:pt>
                <c:pt idx="306">
                  <c:v>95.246692764578782</c:v>
                </c:pt>
                <c:pt idx="307">
                  <c:v>99.110336798056082</c:v>
                </c:pt>
                <c:pt idx="308">
                  <c:v>103.74341927645783</c:v>
                </c:pt>
                <c:pt idx="309">
                  <c:v>103.29879859611225</c:v>
                </c:pt>
                <c:pt idx="310">
                  <c:v>105.1101849352051</c:v>
                </c:pt>
                <c:pt idx="311">
                  <c:v>100.28052443304529</c:v>
                </c:pt>
                <c:pt idx="312">
                  <c:v>104.03786447084227</c:v>
                </c:pt>
                <c:pt idx="313">
                  <c:v>104.00749190064788</c:v>
                </c:pt>
                <c:pt idx="314">
                  <c:v>106.67184125269971</c:v>
                </c:pt>
                <c:pt idx="315">
                  <c:v>107.44929468142543</c:v>
                </c:pt>
                <c:pt idx="316">
                  <c:v>109.56398488120945</c:v>
                </c:pt>
                <c:pt idx="317">
                  <c:v>111.73477996760252</c:v>
                </c:pt>
                <c:pt idx="318">
                  <c:v>110.4236973542116</c:v>
                </c:pt>
                <c:pt idx="319">
                  <c:v>113.62631614470835</c:v>
                </c:pt>
                <c:pt idx="320">
                  <c:v>112.98174271058309</c:v>
                </c:pt>
                <c:pt idx="321">
                  <c:v>112.87332950863924</c:v>
                </c:pt>
                <c:pt idx="322">
                  <c:v>111.76009044276452</c:v>
                </c:pt>
                <c:pt idx="323">
                  <c:v>110.40387081533471</c:v>
                </c:pt>
                <c:pt idx="324">
                  <c:v>105.9475398218142</c:v>
                </c:pt>
                <c:pt idx="325">
                  <c:v>107.60959435745133</c:v>
                </c:pt>
                <c:pt idx="326">
                  <c:v>106.48580926025912</c:v>
                </c:pt>
                <c:pt idx="327">
                  <c:v>104.93849554535632</c:v>
                </c:pt>
                <c:pt idx="328">
                  <c:v>104.37702483801291</c:v>
                </c:pt>
                <c:pt idx="329">
                  <c:v>109.6905372570194</c:v>
                </c:pt>
                <c:pt idx="330">
                  <c:v>109.18474959503234</c:v>
                </c:pt>
                <c:pt idx="331">
                  <c:v>108.44230899028072</c:v>
                </c:pt>
                <c:pt idx="332">
                  <c:v>108.31786582073428</c:v>
                </c:pt>
                <c:pt idx="333">
                  <c:v>110.91218952483796</c:v>
                </c:pt>
                <c:pt idx="334">
                  <c:v>113.21628644708419</c:v>
                </c:pt>
                <c:pt idx="335">
                  <c:v>110.68650445464357</c:v>
                </c:pt>
                <c:pt idx="336">
                  <c:v>111.91110961123105</c:v>
                </c:pt>
                <c:pt idx="337">
                  <c:v>112.17096382289411</c:v>
                </c:pt>
                <c:pt idx="338">
                  <c:v>111.06531789956799</c:v>
                </c:pt>
                <c:pt idx="339">
                  <c:v>111.69512688984878</c:v>
                </c:pt>
                <c:pt idx="340">
                  <c:v>111.17668399028075</c:v>
                </c:pt>
                <c:pt idx="341">
                  <c:v>110.97757491900644</c:v>
                </c:pt>
                <c:pt idx="342">
                  <c:v>109.515473137149</c:v>
                </c:pt>
                <c:pt idx="343">
                  <c:v>110.35957748380125</c:v>
                </c:pt>
                <c:pt idx="344">
                  <c:v>110.67469289956799</c:v>
                </c:pt>
                <c:pt idx="345">
                  <c:v>113.99584908207339</c:v>
                </c:pt>
                <c:pt idx="346">
                  <c:v>114.1531958693304</c:v>
                </c:pt>
                <c:pt idx="347">
                  <c:v>116.76439322354204</c:v>
                </c:pt>
                <c:pt idx="348">
                  <c:v>113.5419478941684</c:v>
                </c:pt>
                <c:pt idx="349">
                  <c:v>114.68682505399561</c:v>
                </c:pt>
                <c:pt idx="350">
                  <c:v>117.17568844492432</c:v>
                </c:pt>
                <c:pt idx="351">
                  <c:v>115.93252227321807</c:v>
                </c:pt>
                <c:pt idx="352">
                  <c:v>115.92324176565867</c:v>
                </c:pt>
                <c:pt idx="353">
                  <c:v>116.70744465442756</c:v>
                </c:pt>
                <c:pt idx="354">
                  <c:v>116.48007221922238</c:v>
                </c:pt>
                <c:pt idx="355">
                  <c:v>116.45476174406039</c:v>
                </c:pt>
                <c:pt idx="356">
                  <c:v>118.65635124190058</c:v>
                </c:pt>
                <c:pt idx="357">
                  <c:v>119.06849014578827</c:v>
                </c:pt>
                <c:pt idx="358">
                  <c:v>117.28536717062629</c:v>
                </c:pt>
                <c:pt idx="359">
                  <c:v>118.40282464902799</c:v>
                </c:pt>
                <c:pt idx="360">
                  <c:v>118.29947354211656</c:v>
                </c:pt>
                <c:pt idx="361">
                  <c:v>117.90884854211654</c:v>
                </c:pt>
                <c:pt idx="362">
                  <c:v>116.30078968682497</c:v>
                </c:pt>
                <c:pt idx="363">
                  <c:v>114.13505669546427</c:v>
                </c:pt>
                <c:pt idx="364">
                  <c:v>115.81609408747291</c:v>
                </c:pt>
                <c:pt idx="365">
                  <c:v>116.38473609611221</c:v>
                </c:pt>
                <c:pt idx="366">
                  <c:v>115.36683315334764</c:v>
                </c:pt>
                <c:pt idx="367">
                  <c:v>115.54400647948155</c:v>
                </c:pt>
                <c:pt idx="368">
                  <c:v>116.19279832613381</c:v>
                </c:pt>
                <c:pt idx="369">
                  <c:v>116.99050013498909</c:v>
                </c:pt>
                <c:pt idx="370">
                  <c:v>116.0097192224621</c:v>
                </c:pt>
                <c:pt idx="371">
                  <c:v>117.27271193304526</c:v>
                </c:pt>
                <c:pt idx="372">
                  <c:v>115.98693979481632</c:v>
                </c:pt>
                <c:pt idx="373">
                  <c:v>116.87913404427638</c:v>
                </c:pt>
                <c:pt idx="374">
                  <c:v>116.53617710583146</c:v>
                </c:pt>
                <c:pt idx="375">
                  <c:v>117.66291509179257</c:v>
                </c:pt>
                <c:pt idx="376">
                  <c:v>119.20727591792649</c:v>
                </c:pt>
                <c:pt idx="377">
                  <c:v>119.3528111501079</c:v>
                </c:pt>
                <c:pt idx="378">
                  <c:v>118.77024838012949</c:v>
                </c:pt>
                <c:pt idx="379">
                  <c:v>118.3623278887688</c:v>
                </c:pt>
                <c:pt idx="380">
                  <c:v>116.79392211123101</c:v>
                </c:pt>
                <c:pt idx="381">
                  <c:v>118.34840712742972</c:v>
                </c:pt>
                <c:pt idx="382">
                  <c:v>116.08986906047508</c:v>
                </c:pt>
                <c:pt idx="383">
                  <c:v>115.10318237041029</c:v>
                </c:pt>
                <c:pt idx="384">
                  <c:v>115.6553725701943</c:v>
                </c:pt>
                <c:pt idx="385">
                  <c:v>116.30332073434117</c:v>
                </c:pt>
                <c:pt idx="386">
                  <c:v>116.92806762958955</c:v>
                </c:pt>
                <c:pt idx="387">
                  <c:v>118.74789079373642</c:v>
                </c:pt>
                <c:pt idx="388">
                  <c:v>119.14906182505393</c:v>
                </c:pt>
                <c:pt idx="389">
                  <c:v>120.15768426025912</c:v>
                </c:pt>
                <c:pt idx="390">
                  <c:v>119.59832275917921</c:v>
                </c:pt>
                <c:pt idx="391">
                  <c:v>121.05536244600425</c:v>
                </c:pt>
                <c:pt idx="392">
                  <c:v>121.96864875809928</c:v>
                </c:pt>
                <c:pt idx="393">
                  <c:v>122.06145383369322</c:v>
                </c:pt>
                <c:pt idx="394">
                  <c:v>123.00637823974074</c:v>
                </c:pt>
                <c:pt idx="395">
                  <c:v>122.45250067494591</c:v>
                </c:pt>
                <c:pt idx="396">
                  <c:v>123.07977861771047</c:v>
                </c:pt>
                <c:pt idx="397">
                  <c:v>123.80661109611221</c:v>
                </c:pt>
                <c:pt idx="398">
                  <c:v>124.62920153887679</c:v>
                </c:pt>
                <c:pt idx="399">
                  <c:v>126.49036514578826</c:v>
                </c:pt>
                <c:pt idx="400">
                  <c:v>126.22587068034549</c:v>
                </c:pt>
                <c:pt idx="401">
                  <c:v>125.56062702483791</c:v>
                </c:pt>
                <c:pt idx="402">
                  <c:v>124.83506007019429</c:v>
                </c:pt>
                <c:pt idx="403">
                  <c:v>126.16850026997832</c:v>
                </c:pt>
                <c:pt idx="404">
                  <c:v>128.98344694924398</c:v>
                </c:pt>
                <c:pt idx="405">
                  <c:v>129.75668196544268</c:v>
                </c:pt>
                <c:pt idx="406">
                  <c:v>129.5394337203023</c:v>
                </c:pt>
                <c:pt idx="407">
                  <c:v>128.94505939524831</c:v>
                </c:pt>
                <c:pt idx="408">
                  <c:v>128.58649433045349</c:v>
                </c:pt>
                <c:pt idx="409">
                  <c:v>128.44728671706258</c:v>
                </c:pt>
                <c:pt idx="410">
                  <c:v>127.11764308855287</c:v>
                </c:pt>
                <c:pt idx="411">
                  <c:v>126.79957478401724</c:v>
                </c:pt>
                <c:pt idx="412">
                  <c:v>128.34857586393082</c:v>
                </c:pt>
                <c:pt idx="413">
                  <c:v>128.28993992980554</c:v>
                </c:pt>
                <c:pt idx="414">
                  <c:v>128.71220302375801</c:v>
                </c:pt>
                <c:pt idx="415">
                  <c:v>127.21466657667378</c:v>
                </c:pt>
                <c:pt idx="416">
                  <c:v>126.25793061555068</c:v>
                </c:pt>
                <c:pt idx="417">
                  <c:v>125.54290969222455</c:v>
                </c:pt>
                <c:pt idx="418">
                  <c:v>126.12041036717055</c:v>
                </c:pt>
                <c:pt idx="419">
                  <c:v>124.63806020518349</c:v>
                </c:pt>
                <c:pt idx="420">
                  <c:v>123.18692629589624</c:v>
                </c:pt>
                <c:pt idx="421">
                  <c:v>123.57333288336926</c:v>
                </c:pt>
                <c:pt idx="422">
                  <c:v>123.9023690604751</c:v>
                </c:pt>
                <c:pt idx="423">
                  <c:v>121.52529360151182</c:v>
                </c:pt>
                <c:pt idx="424">
                  <c:v>121.83155035097187</c:v>
                </c:pt>
                <c:pt idx="425">
                  <c:v>121.86656317494594</c:v>
                </c:pt>
                <c:pt idx="426">
                  <c:v>123.10551093412521</c:v>
                </c:pt>
                <c:pt idx="427">
                  <c:v>123.87030912526991</c:v>
                </c:pt>
                <c:pt idx="428">
                  <c:v>125.81373177645781</c:v>
                </c:pt>
                <c:pt idx="429">
                  <c:v>124.33939659827207</c:v>
                </c:pt>
                <c:pt idx="430">
                  <c:v>125.54417521598265</c:v>
                </c:pt>
                <c:pt idx="431">
                  <c:v>124.28202618790489</c:v>
                </c:pt>
                <c:pt idx="432">
                  <c:v>121.23717602591786</c:v>
                </c:pt>
                <c:pt idx="433">
                  <c:v>123.73996017818567</c:v>
                </c:pt>
                <c:pt idx="434">
                  <c:v>122.56808517818568</c:v>
                </c:pt>
                <c:pt idx="435">
                  <c:v>122.87518561015112</c:v>
                </c:pt>
                <c:pt idx="436">
                  <c:v>122.73977456803449</c:v>
                </c:pt>
                <c:pt idx="437">
                  <c:v>123.84288944384444</c:v>
                </c:pt>
                <c:pt idx="438">
                  <c:v>122.69463755399563</c:v>
                </c:pt>
                <c:pt idx="439">
                  <c:v>122.80136339092866</c:v>
                </c:pt>
                <c:pt idx="440">
                  <c:v>119.83328833693297</c:v>
                </c:pt>
                <c:pt idx="441">
                  <c:v>120.66895585853126</c:v>
                </c:pt>
                <c:pt idx="442">
                  <c:v>121.71723137149023</c:v>
                </c:pt>
                <c:pt idx="443">
                  <c:v>121.64129994600425</c:v>
                </c:pt>
                <c:pt idx="444">
                  <c:v>120.25217670086387</c:v>
                </c:pt>
                <c:pt idx="445">
                  <c:v>119.91217265118784</c:v>
                </c:pt>
                <c:pt idx="446">
                  <c:v>119.56373177645781</c:v>
                </c:pt>
                <c:pt idx="447">
                  <c:v>120.05770788336928</c:v>
                </c:pt>
                <c:pt idx="448">
                  <c:v>119.37601241900643</c:v>
                </c:pt>
                <c:pt idx="449">
                  <c:v>120.1926970842332</c:v>
                </c:pt>
                <c:pt idx="450">
                  <c:v>118.91873650107986</c:v>
                </c:pt>
                <c:pt idx="451">
                  <c:v>118.01641806155503</c:v>
                </c:pt>
                <c:pt idx="452">
                  <c:v>117.52455116090707</c:v>
                </c:pt>
                <c:pt idx="453">
                  <c:v>118.61627632289411</c:v>
                </c:pt>
                <c:pt idx="454">
                  <c:v>117.4481978941684</c:v>
                </c:pt>
                <c:pt idx="455">
                  <c:v>118.42349487041032</c:v>
                </c:pt>
                <c:pt idx="456">
                  <c:v>118.6420086393088</c:v>
                </c:pt>
                <c:pt idx="457">
                  <c:v>117.44608868790492</c:v>
                </c:pt>
                <c:pt idx="458">
                  <c:v>116.37925215982717</c:v>
                </c:pt>
                <c:pt idx="459">
                  <c:v>114.08696679265654</c:v>
                </c:pt>
                <c:pt idx="460">
                  <c:v>113.85242305615546</c:v>
                </c:pt>
                <c:pt idx="461">
                  <c:v>113.10365483261334</c:v>
                </c:pt>
                <c:pt idx="462">
                  <c:v>116.17381546976236</c:v>
                </c:pt>
                <c:pt idx="463">
                  <c:v>119.14695261879042</c:v>
                </c:pt>
                <c:pt idx="464">
                  <c:v>120.04505264578826</c:v>
                </c:pt>
                <c:pt idx="465">
                  <c:v>123.13883639308848</c:v>
                </c:pt>
                <c:pt idx="466">
                  <c:v>125.11474082073427</c:v>
                </c:pt>
                <c:pt idx="467">
                  <c:v>126.74768830993513</c:v>
                </c:pt>
                <c:pt idx="468">
                  <c:v>126.45914889308847</c:v>
                </c:pt>
                <c:pt idx="469">
                  <c:v>126.85441414686815</c:v>
                </c:pt>
                <c:pt idx="470">
                  <c:v>128.84508301835842</c:v>
                </c:pt>
                <c:pt idx="471">
                  <c:v>129.97139916306688</c:v>
                </c:pt>
                <c:pt idx="472">
                  <c:v>128.49368925485953</c:v>
                </c:pt>
                <c:pt idx="473">
                  <c:v>129.38124325053988</c:v>
                </c:pt>
                <c:pt idx="474">
                  <c:v>128.69575121490274</c:v>
                </c:pt>
                <c:pt idx="475">
                  <c:v>129.36352591792649</c:v>
                </c:pt>
                <c:pt idx="476">
                  <c:v>129.58119600431959</c:v>
                </c:pt>
                <c:pt idx="477">
                  <c:v>131.26645180885521</c:v>
                </c:pt>
                <c:pt idx="478">
                  <c:v>132.51847664686815</c:v>
                </c:pt>
                <c:pt idx="479">
                  <c:v>132.14388161447076</c:v>
                </c:pt>
                <c:pt idx="480">
                  <c:v>132.0734341252699</c:v>
                </c:pt>
                <c:pt idx="481">
                  <c:v>131.3217130129589</c:v>
                </c:pt>
                <c:pt idx="482">
                  <c:v>132.90783612311009</c:v>
                </c:pt>
                <c:pt idx="483">
                  <c:v>134.38934260259174</c:v>
                </c:pt>
                <c:pt idx="484">
                  <c:v>133.78442224622023</c:v>
                </c:pt>
                <c:pt idx="485">
                  <c:v>134.10924001079906</c:v>
                </c:pt>
                <c:pt idx="486">
                  <c:v>134.35348609611222</c:v>
                </c:pt>
                <c:pt idx="487">
                  <c:v>134.32437904967594</c:v>
                </c:pt>
                <c:pt idx="488">
                  <c:v>134.73736163606907</c:v>
                </c:pt>
                <c:pt idx="489">
                  <c:v>137.41352254319648</c:v>
                </c:pt>
                <c:pt idx="490">
                  <c:v>138.9123245140388</c:v>
                </c:pt>
                <c:pt idx="491">
                  <c:v>137.21146058315327</c:v>
                </c:pt>
                <c:pt idx="492">
                  <c:v>137.51560812634983</c:v>
                </c:pt>
                <c:pt idx="493">
                  <c:v>138.26564187365005</c:v>
                </c:pt>
                <c:pt idx="494">
                  <c:v>138.43100364470837</c:v>
                </c:pt>
                <c:pt idx="495">
                  <c:v>136.96763633909282</c:v>
                </c:pt>
                <c:pt idx="496">
                  <c:v>134.13244127969756</c:v>
                </c:pt>
                <c:pt idx="497">
                  <c:v>136.00246355291569</c:v>
                </c:pt>
                <c:pt idx="498">
                  <c:v>137.25575391468672</c:v>
                </c:pt>
                <c:pt idx="499">
                  <c:v>136.5238593412526</c:v>
                </c:pt>
                <c:pt idx="500">
                  <c:v>137.07351849352042</c:v>
                </c:pt>
                <c:pt idx="501">
                  <c:v>137.929856236501</c:v>
                </c:pt>
                <c:pt idx="502">
                  <c:v>138.19688174945995</c:v>
                </c:pt>
                <c:pt idx="503">
                  <c:v>139.46578023758087</c:v>
                </c:pt>
                <c:pt idx="504">
                  <c:v>140.38623785097181</c:v>
                </c:pt>
                <c:pt idx="505">
                  <c:v>142.30266266198691</c:v>
                </c:pt>
                <c:pt idx="506">
                  <c:v>143.01388701403877</c:v>
                </c:pt>
                <c:pt idx="507">
                  <c:v>145.77441617170615</c:v>
                </c:pt>
                <c:pt idx="508">
                  <c:v>147.41664416846641</c:v>
                </c:pt>
                <c:pt idx="509">
                  <c:v>147.13485421166294</c:v>
                </c:pt>
                <c:pt idx="510">
                  <c:v>146.0342703833692</c:v>
                </c:pt>
                <c:pt idx="511">
                  <c:v>147.05470437365</c:v>
                </c:pt>
                <c:pt idx="512">
                  <c:v>145.13701403887677</c:v>
                </c:pt>
                <c:pt idx="513">
                  <c:v>146.78092940064784</c:v>
                </c:pt>
                <c:pt idx="514">
                  <c:v>145.68456398488109</c:v>
                </c:pt>
                <c:pt idx="515">
                  <c:v>146.87415631749448</c:v>
                </c:pt>
                <c:pt idx="516">
                  <c:v>143.60994870410357</c:v>
                </c:pt>
                <c:pt idx="517">
                  <c:v>143.39565334773206</c:v>
                </c:pt>
                <c:pt idx="518">
                  <c:v>142.79284219762405</c:v>
                </c:pt>
                <c:pt idx="519">
                  <c:v>143.35768763498908</c:v>
                </c:pt>
                <c:pt idx="520">
                  <c:v>140.01586123110138</c:v>
                </c:pt>
                <c:pt idx="521">
                  <c:v>140.68954171166297</c:v>
                </c:pt>
                <c:pt idx="522">
                  <c:v>138.6997165226781</c:v>
                </c:pt>
                <c:pt idx="523">
                  <c:v>140.23015658747289</c:v>
                </c:pt>
                <c:pt idx="524">
                  <c:v>141.4007660637148</c:v>
                </c:pt>
                <c:pt idx="525">
                  <c:v>141.57962675485953</c:v>
                </c:pt>
                <c:pt idx="526">
                  <c:v>143.29820801835842</c:v>
                </c:pt>
                <c:pt idx="527">
                  <c:v>143.97315402267807</c:v>
                </c:pt>
                <c:pt idx="528">
                  <c:v>146.00558517818564</c:v>
                </c:pt>
                <c:pt idx="529">
                  <c:v>145.01889848812087</c:v>
                </c:pt>
                <c:pt idx="530">
                  <c:v>143.65086730561546</c:v>
                </c:pt>
                <c:pt idx="531">
                  <c:v>143.55553118250532</c:v>
                </c:pt>
                <c:pt idx="532">
                  <c:v>146.03891063714894</c:v>
                </c:pt>
                <c:pt idx="533">
                  <c:v>147.73049406047508</c:v>
                </c:pt>
                <c:pt idx="534">
                  <c:v>147.29895045896319</c:v>
                </c:pt>
                <c:pt idx="535">
                  <c:v>145.60652335313165</c:v>
                </c:pt>
                <c:pt idx="536">
                  <c:v>143.35853131749451</c:v>
                </c:pt>
                <c:pt idx="537">
                  <c:v>145.72210785637137</c:v>
                </c:pt>
                <c:pt idx="538">
                  <c:v>145.43272475701934</c:v>
                </c:pt>
                <c:pt idx="539">
                  <c:v>144.5257660637148</c:v>
                </c:pt>
                <c:pt idx="540">
                  <c:v>143.93898488120939</c:v>
                </c:pt>
                <c:pt idx="541">
                  <c:v>141.50453901187893</c:v>
                </c:pt>
                <c:pt idx="542">
                  <c:v>142.14700323974071</c:v>
                </c:pt>
                <c:pt idx="543">
                  <c:v>142.59710785637139</c:v>
                </c:pt>
                <c:pt idx="544">
                  <c:v>144.81303995680335</c:v>
                </c:pt>
                <c:pt idx="545">
                  <c:v>143.55300013498911</c:v>
                </c:pt>
                <c:pt idx="546">
                  <c:v>142.52666036717051</c:v>
                </c:pt>
                <c:pt idx="547">
                  <c:v>144.5430615550755</c:v>
                </c:pt>
                <c:pt idx="548">
                  <c:v>146.67040699244052</c:v>
                </c:pt>
                <c:pt idx="549">
                  <c:v>146.85390793736494</c:v>
                </c:pt>
                <c:pt idx="550">
                  <c:v>148.29576133909279</c:v>
                </c:pt>
                <c:pt idx="551">
                  <c:v>150.28896125809925</c:v>
                </c:pt>
                <c:pt idx="552">
                  <c:v>151.89153617710573</c:v>
                </c:pt>
                <c:pt idx="553">
                  <c:v>150.97951538876882</c:v>
                </c:pt>
                <c:pt idx="554">
                  <c:v>149.0656216252699</c:v>
                </c:pt>
                <c:pt idx="555">
                  <c:v>146.54090172786169</c:v>
                </c:pt>
                <c:pt idx="556">
                  <c:v>146.76110286177098</c:v>
                </c:pt>
                <c:pt idx="557">
                  <c:v>146.84758031857444</c:v>
                </c:pt>
                <c:pt idx="558">
                  <c:v>145.95665159287248</c:v>
                </c:pt>
                <c:pt idx="559">
                  <c:v>146.71090375269969</c:v>
                </c:pt>
                <c:pt idx="560">
                  <c:v>146.63244127969756</c:v>
                </c:pt>
                <c:pt idx="561">
                  <c:v>147.661733936285</c:v>
                </c:pt>
                <c:pt idx="562">
                  <c:v>149.15125539956793</c:v>
                </c:pt>
                <c:pt idx="563">
                  <c:v>148.72266468682494</c:v>
                </c:pt>
                <c:pt idx="564">
                  <c:v>150.01856101511871</c:v>
                </c:pt>
                <c:pt idx="565">
                  <c:v>149.91774095572345</c:v>
                </c:pt>
                <c:pt idx="566">
                  <c:v>149.97468952483791</c:v>
                </c:pt>
                <c:pt idx="567">
                  <c:v>149.17403482721375</c:v>
                </c:pt>
                <c:pt idx="568">
                  <c:v>146.97877294816405</c:v>
                </c:pt>
                <c:pt idx="569">
                  <c:v>148.20169073974071</c:v>
                </c:pt>
                <c:pt idx="570">
                  <c:v>148.07471652267807</c:v>
                </c:pt>
                <c:pt idx="571">
                  <c:v>146.65353334233251</c:v>
                </c:pt>
                <c:pt idx="572">
                  <c:v>149.0491698164146</c:v>
                </c:pt>
                <c:pt idx="573">
                  <c:v>150.49313242440599</c:v>
                </c:pt>
                <c:pt idx="574">
                  <c:v>148.99981438984875</c:v>
                </c:pt>
                <c:pt idx="575">
                  <c:v>150.93522205723536</c:v>
                </c:pt>
                <c:pt idx="576">
                  <c:v>151.79830926025909</c:v>
                </c:pt>
                <c:pt idx="577">
                  <c:v>151.07696071814246</c:v>
                </c:pt>
                <c:pt idx="578">
                  <c:v>149.95739403347724</c:v>
                </c:pt>
                <c:pt idx="579">
                  <c:v>150.87953901187899</c:v>
                </c:pt>
                <c:pt idx="580">
                  <c:v>151.81054265658742</c:v>
                </c:pt>
                <c:pt idx="581">
                  <c:v>151.99488728401721</c:v>
                </c:pt>
                <c:pt idx="582">
                  <c:v>152.51965780237575</c:v>
                </c:pt>
                <c:pt idx="583">
                  <c:v>152.23786784557228</c:v>
                </c:pt>
                <c:pt idx="584">
                  <c:v>152.25853806695457</c:v>
                </c:pt>
                <c:pt idx="585">
                  <c:v>150.76732923866084</c:v>
                </c:pt>
                <c:pt idx="586">
                  <c:v>150.07508774298049</c:v>
                </c:pt>
                <c:pt idx="587">
                  <c:v>151.95439052375804</c:v>
                </c:pt>
                <c:pt idx="588">
                  <c:v>153.41143021058306</c:v>
                </c:pt>
                <c:pt idx="589">
                  <c:v>155.16122772678176</c:v>
                </c:pt>
                <c:pt idx="590">
                  <c:v>155.41391063714894</c:v>
                </c:pt>
                <c:pt idx="591">
                  <c:v>153.73118588012952</c:v>
                </c:pt>
                <c:pt idx="592">
                  <c:v>154.37829036177098</c:v>
                </c:pt>
                <c:pt idx="593">
                  <c:v>153.30470437365003</c:v>
                </c:pt>
                <c:pt idx="594">
                  <c:v>154.17158814794811</c:v>
                </c:pt>
                <c:pt idx="595">
                  <c:v>153.76662054535632</c:v>
                </c:pt>
                <c:pt idx="596">
                  <c:v>154.82248920086388</c:v>
                </c:pt>
                <c:pt idx="597">
                  <c:v>155.82056560475161</c:v>
                </c:pt>
                <c:pt idx="598">
                  <c:v>153.97501012419005</c:v>
                </c:pt>
                <c:pt idx="599">
                  <c:v>153.44475566954642</c:v>
                </c:pt>
                <c:pt idx="600">
                  <c:v>154.64531587473002</c:v>
                </c:pt>
                <c:pt idx="601">
                  <c:v>155.33966657667386</c:v>
                </c:pt>
                <c:pt idx="602">
                  <c:v>155.88257626889848</c:v>
                </c:pt>
                <c:pt idx="603">
                  <c:v>156.45121827753781</c:v>
                </c:pt>
                <c:pt idx="604">
                  <c:v>158.20987446004321</c:v>
                </c:pt>
                <c:pt idx="605">
                  <c:v>156.67141941144709</c:v>
                </c:pt>
                <c:pt idx="606">
                  <c:v>157.75048933585316</c:v>
                </c:pt>
                <c:pt idx="607">
                  <c:v>159.08983531317497</c:v>
                </c:pt>
                <c:pt idx="608">
                  <c:v>161.72423393628512</c:v>
                </c:pt>
                <c:pt idx="609">
                  <c:v>160.55024973002162</c:v>
                </c:pt>
                <c:pt idx="610">
                  <c:v>160.63546166306699</c:v>
                </c:pt>
                <c:pt idx="611">
                  <c:v>161.12311015118794</c:v>
                </c:pt>
                <c:pt idx="612">
                  <c:v>161.21928995680352</c:v>
                </c:pt>
                <c:pt idx="613">
                  <c:v>161.78497907667392</c:v>
                </c:pt>
                <c:pt idx="614">
                  <c:v>161.94401322894174</c:v>
                </c:pt>
                <c:pt idx="615">
                  <c:v>162.23213080453567</c:v>
                </c:pt>
                <c:pt idx="616">
                  <c:v>163.01464632829376</c:v>
                </c:pt>
                <c:pt idx="617">
                  <c:v>161.20452551295898</c:v>
                </c:pt>
                <c:pt idx="618">
                  <c:v>160.60846382289418</c:v>
                </c:pt>
                <c:pt idx="619">
                  <c:v>160.72109543736499</c:v>
                </c:pt>
                <c:pt idx="620">
                  <c:v>160.18282599892007</c:v>
                </c:pt>
                <c:pt idx="621">
                  <c:v>161.63311622570194</c:v>
                </c:pt>
                <c:pt idx="622">
                  <c:v>161.82336663066954</c:v>
                </c:pt>
                <c:pt idx="623">
                  <c:v>161.72254657127431</c:v>
                </c:pt>
                <c:pt idx="624">
                  <c:v>161.09990888228941</c:v>
                </c:pt>
                <c:pt idx="625">
                  <c:v>161.72212473002159</c:v>
                </c:pt>
                <c:pt idx="626">
                  <c:v>161.04717872570194</c:v>
                </c:pt>
                <c:pt idx="627">
                  <c:v>160.27520923326136</c:v>
                </c:pt>
                <c:pt idx="628">
                  <c:v>162.12540496760261</c:v>
                </c:pt>
                <c:pt idx="629">
                  <c:v>162.56960380669545</c:v>
                </c:pt>
                <c:pt idx="630">
                  <c:v>163.45547043736502</c:v>
                </c:pt>
                <c:pt idx="631">
                  <c:v>164.38394303455726</c:v>
                </c:pt>
                <c:pt idx="632">
                  <c:v>163.75371220302378</c:v>
                </c:pt>
                <c:pt idx="633">
                  <c:v>163.76510191684667</c:v>
                </c:pt>
                <c:pt idx="634">
                  <c:v>163.06779832613393</c:v>
                </c:pt>
                <c:pt idx="635">
                  <c:v>163.01042791576677</c:v>
                </c:pt>
                <c:pt idx="636">
                  <c:v>164.02537796976247</c:v>
                </c:pt>
                <c:pt idx="637">
                  <c:v>162.45781587473007</c:v>
                </c:pt>
                <c:pt idx="638">
                  <c:v>161.4154461393089</c:v>
                </c:pt>
                <c:pt idx="639">
                  <c:v>160.09002092332619</c:v>
                </c:pt>
                <c:pt idx="640">
                  <c:v>157.93609948704108</c:v>
                </c:pt>
                <c:pt idx="641">
                  <c:v>156.38625472462206</c:v>
                </c:pt>
                <c:pt idx="642">
                  <c:v>156.87938714902813</c:v>
                </c:pt>
                <c:pt idx="643">
                  <c:v>158.03649770518362</c:v>
                </c:pt>
                <c:pt idx="644">
                  <c:v>158.62623177645793</c:v>
                </c:pt>
                <c:pt idx="645">
                  <c:v>157.1021193304536</c:v>
                </c:pt>
                <c:pt idx="646">
                  <c:v>158.47689997300219</c:v>
                </c:pt>
                <c:pt idx="647">
                  <c:v>158.07446341792658</c:v>
                </c:pt>
                <c:pt idx="648">
                  <c:v>160.06344492440607</c:v>
                </c:pt>
                <c:pt idx="649">
                  <c:v>159.84957140928728</c:v>
                </c:pt>
                <c:pt idx="650">
                  <c:v>159.92929940604753</c:v>
                </c:pt>
                <c:pt idx="651">
                  <c:v>159.55765726241901</c:v>
                </c:pt>
                <c:pt idx="652">
                  <c:v>160.65571004319654</c:v>
                </c:pt>
                <c:pt idx="653">
                  <c:v>160.46461595572353</c:v>
                </c:pt>
                <c:pt idx="654">
                  <c:v>161.83897475701943</c:v>
                </c:pt>
                <c:pt idx="655">
                  <c:v>160.10900377969762</c:v>
                </c:pt>
                <c:pt idx="656">
                  <c:v>162.2873920086393</c:v>
                </c:pt>
                <c:pt idx="657">
                  <c:v>163.47318776997841</c:v>
                </c:pt>
                <c:pt idx="658">
                  <c:v>163.63264376349892</c:v>
                </c:pt>
                <c:pt idx="659">
                  <c:v>163.78492845572353</c:v>
                </c:pt>
                <c:pt idx="660">
                  <c:v>162.92859071274299</c:v>
                </c:pt>
                <c:pt idx="661">
                  <c:v>164.2586561825054</c:v>
                </c:pt>
                <c:pt idx="662">
                  <c:v>166.56106573974083</c:v>
                </c:pt>
                <c:pt idx="663">
                  <c:v>163.80939524838016</c:v>
                </c:pt>
                <c:pt idx="664">
                  <c:v>163.20152200323977</c:v>
                </c:pt>
                <c:pt idx="665">
                  <c:v>162.91466995140391</c:v>
                </c:pt>
                <c:pt idx="666">
                  <c:v>164.41515928725704</c:v>
                </c:pt>
                <c:pt idx="667">
                  <c:v>164.17217872570197</c:v>
                </c:pt>
                <c:pt idx="668">
                  <c:v>163.54743183045358</c:v>
                </c:pt>
                <c:pt idx="669">
                  <c:v>163.00410029697628</c:v>
                </c:pt>
                <c:pt idx="670">
                  <c:v>164.55858531317497</c:v>
                </c:pt>
              </c:numCache>
            </c:numRef>
          </c:val>
          <c:smooth val="0"/>
          <c:extLst>
            <c:ext xmlns:c16="http://schemas.microsoft.com/office/drawing/2014/chart" uri="{C3380CC4-5D6E-409C-BE32-E72D297353CC}">
              <c16:uniqueId val="{00000002-749C-40F3-8E91-76B2076E7451}"/>
            </c:ext>
          </c:extLst>
        </c:ser>
        <c:dLbls>
          <c:showLegendKey val="0"/>
          <c:showVal val="0"/>
          <c:showCatName val="0"/>
          <c:showSerName val="0"/>
          <c:showPercent val="0"/>
          <c:showBubbleSize val="0"/>
        </c:dLbls>
        <c:smooth val="0"/>
        <c:axId val="295887232"/>
        <c:axId val="295888768"/>
      </c:lineChart>
      <c:dateAx>
        <c:axId val="295887232"/>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5888768"/>
        <c:crosses val="autoZero"/>
        <c:auto val="1"/>
        <c:lblOffset val="100"/>
        <c:baseTimeUnit val="days"/>
      </c:dateAx>
      <c:valAx>
        <c:axId val="295888768"/>
        <c:scaling>
          <c:orientation val="minMax"/>
          <c:max val="180"/>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r>
                  <a:rPr lang="hy-AM" sz="500" b="0" i="0" u="none" strike="noStrike" baseline="0">
                    <a:effectLst/>
                  </a:rPr>
                  <a:t>Ինդեքս՝ 201</a:t>
                </a:r>
                <a:r>
                  <a:rPr lang="en-GB" sz="500" b="0" i="0" u="none" strike="noStrike" baseline="0">
                    <a:effectLst/>
                  </a:rPr>
                  <a:t>9 </a:t>
                </a:r>
                <a:r>
                  <a:rPr lang="hy-AM" sz="500" b="0" i="0" u="none" strike="noStrike" baseline="0">
                    <a:effectLst/>
                  </a:rPr>
                  <a:t>թ. հունվար</a:t>
                </a:r>
                <a:r>
                  <a:rPr lang="en-GB" sz="500" b="0" i="0" u="none" strike="noStrike" baseline="0">
                    <a:effectLst/>
                  </a:rPr>
                  <a:t>  </a:t>
                </a:r>
                <a:r>
                  <a:rPr lang="hy-AM" sz="500" b="0" i="0" u="none" strike="noStrike" baseline="0">
                    <a:effectLst/>
                  </a:rPr>
                  <a:t> =100</a:t>
                </a:r>
                <a:endParaRPr lang="en-US" sz="500"/>
              </a:p>
            </c:rich>
          </c:tx>
          <c:layout>
            <c:manualLayout>
              <c:xMode val="edge"/>
              <c:yMode val="edge"/>
              <c:x val="1.0471204188481676E-2"/>
              <c:y val="5.6737588652482303E-2"/>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887232"/>
        <c:crosses val="autoZero"/>
        <c:crossBetween val="between"/>
      </c:valAx>
      <c:spPr>
        <a:noFill/>
        <a:ln>
          <a:noFill/>
        </a:ln>
        <a:effectLst/>
      </c:spPr>
    </c:plotArea>
    <c:legend>
      <c:legendPos val="b"/>
      <c:layout>
        <c:manualLayout>
          <c:xMode val="edge"/>
          <c:yMode val="edge"/>
          <c:x val="1.5918499878236868E-2"/>
          <c:y val="0.8768571444381118"/>
          <c:w val="0.93723489460724629"/>
          <c:h val="0.1066821232728902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899" b="1" baseline="0">
                <a:solidFill>
                  <a:sysClr val="windowText" lastClr="000000"/>
                </a:solidFill>
              </a:rPr>
              <a:t>Կառավարության պարտքի բեռի փոփոխությանը նպաստող գործոնները, </a:t>
            </a:r>
            <a:r>
              <a:rPr lang="en-US" sz="899" b="1" baseline="0">
                <a:solidFill>
                  <a:sysClr val="windowText" lastClr="000000"/>
                </a:solidFill>
              </a:rPr>
              <a:t>%-</a:t>
            </a:r>
            <a:r>
              <a:rPr lang="hy-AM" sz="899" b="1" baseline="0">
                <a:solidFill>
                  <a:sysClr val="windowText" lastClr="000000"/>
                </a:solidFill>
              </a:rPr>
              <a:t>ային կետ</a:t>
            </a:r>
            <a:endParaRPr lang="en-US" sz="900" b="1">
              <a:solidFill>
                <a:sysClr val="windowText" lastClr="000000"/>
              </a:solidFill>
            </a:endParaRPr>
          </a:p>
        </c:rich>
      </c:tx>
      <c:layout>
        <c:manualLayout>
          <c:xMode val="edge"/>
          <c:yMode val="edge"/>
          <c:x val="8.4826303261163777E-2"/>
          <c:y val="3.4761154855643046E-3"/>
        </c:manualLayout>
      </c:layout>
      <c:overlay val="0"/>
      <c:spPr>
        <a:noFill/>
        <a:ln w="25384">
          <a:noFill/>
        </a:ln>
      </c:spPr>
    </c:title>
    <c:autoTitleDeleted val="0"/>
    <c:plotArea>
      <c:layout>
        <c:manualLayout>
          <c:layoutTarget val="inner"/>
          <c:xMode val="edge"/>
          <c:yMode val="edge"/>
          <c:x val="0.11882213353467802"/>
          <c:y val="0.18580364954380699"/>
          <c:w val="0.49000876204041866"/>
          <c:h val="0.77039682539682564"/>
        </c:manualLayout>
      </c:layout>
      <c:barChart>
        <c:barDir val="col"/>
        <c:grouping val="stacked"/>
        <c:varyColors val="0"/>
        <c:ser>
          <c:idx val="0"/>
          <c:order val="0"/>
          <c:tx>
            <c:strRef>
              <c:f>Sheet1!$B$1</c:f>
              <c:strCache>
                <c:ptCount val="1"/>
                <c:pt idx="0">
                  <c:v>Առաջնային պակասուրդ</c:v>
                </c:pt>
              </c:strCache>
            </c:strRef>
          </c:tx>
          <c:spPr>
            <a:solidFill>
              <a:srgbClr val="4F81BD"/>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Sheet1!$B$2:$B$9</c:f>
              <c:numCache>
                <c:formatCode>0.0</c:formatCode>
                <c:ptCount val="6"/>
                <c:pt idx="0">
                  <c:v>2.6021498588186631</c:v>
                </c:pt>
                <c:pt idx="1">
                  <c:v>-0.57258085880967613</c:v>
                </c:pt>
                <c:pt idx="2">
                  <c:v>-1.4284363292094469</c:v>
                </c:pt>
                <c:pt idx="3">
                  <c:v>2.7324762509823195</c:v>
                </c:pt>
                <c:pt idx="4">
                  <c:v>2.0419995610703916</c:v>
                </c:pt>
                <c:pt idx="5">
                  <c:v>0.36058828582449487</c:v>
                </c:pt>
              </c:numCache>
            </c:numRef>
          </c:val>
          <c:extLst>
            <c:ext xmlns:c16="http://schemas.microsoft.com/office/drawing/2014/chart" uri="{C3380CC4-5D6E-409C-BE32-E72D297353CC}">
              <c16:uniqueId val="{00000000-BCA7-43C6-ABDD-D7EE9A3CE6F5}"/>
            </c:ext>
          </c:extLst>
        </c:ser>
        <c:ser>
          <c:idx val="1"/>
          <c:order val="1"/>
          <c:tx>
            <c:strRef>
              <c:f>Sheet1!$C$1</c:f>
              <c:strCache>
                <c:ptCount val="1"/>
                <c:pt idx="0">
                  <c:v>Իրական տոկոսադրույք</c:v>
                </c:pt>
              </c:strCache>
            </c:strRef>
          </c:tx>
          <c:spPr>
            <a:solidFill>
              <a:srgbClr val="C0504D"/>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Sheet1!$C$2:$C$9</c:f>
              <c:numCache>
                <c:formatCode>0.0</c:formatCode>
                <c:ptCount val="6"/>
                <c:pt idx="0">
                  <c:v>1.0500310954191139</c:v>
                </c:pt>
                <c:pt idx="1">
                  <c:v>0.98012789078743601</c:v>
                </c:pt>
                <c:pt idx="2">
                  <c:v>1.6930478859443168</c:v>
                </c:pt>
                <c:pt idx="3">
                  <c:v>1.6692093790760498</c:v>
                </c:pt>
                <c:pt idx="4">
                  <c:v>-1.5403194356504066</c:v>
                </c:pt>
                <c:pt idx="5">
                  <c:v>0.18319989105210235</c:v>
                </c:pt>
              </c:numCache>
            </c:numRef>
          </c:val>
          <c:extLst>
            <c:ext xmlns:c16="http://schemas.microsoft.com/office/drawing/2014/chart" uri="{C3380CC4-5D6E-409C-BE32-E72D297353CC}">
              <c16:uniqueId val="{00000001-BCA7-43C6-ABDD-D7EE9A3CE6F5}"/>
            </c:ext>
          </c:extLst>
        </c:ser>
        <c:ser>
          <c:idx val="2"/>
          <c:order val="2"/>
          <c:tx>
            <c:strRef>
              <c:f>Sheet1!$D$1</c:f>
              <c:strCache>
                <c:ptCount val="1"/>
                <c:pt idx="0">
                  <c:v>Իրական ՀՆԱ աճ</c:v>
                </c:pt>
              </c:strCache>
            </c:strRef>
          </c:tx>
          <c:spPr>
            <a:solidFill>
              <a:srgbClr val="9BBB59"/>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Sheet1!$D$2:$D$9</c:f>
              <c:numCache>
                <c:formatCode>0.0</c:formatCode>
                <c:ptCount val="6"/>
                <c:pt idx="0">
                  <c:v>-3.5603773930307177</c:v>
                </c:pt>
                <c:pt idx="1">
                  <c:v>-2.6039370723394306</c:v>
                </c:pt>
                <c:pt idx="2">
                  <c:v>-3.5727954124852048</c:v>
                </c:pt>
                <c:pt idx="3">
                  <c:v>3.927730789386175</c:v>
                </c:pt>
                <c:pt idx="4">
                  <c:v>-3.621871956803786</c:v>
                </c:pt>
                <c:pt idx="5">
                  <c:v>-3.8015189594807199</c:v>
                </c:pt>
              </c:numCache>
            </c:numRef>
          </c:val>
          <c:extLst>
            <c:ext xmlns:c16="http://schemas.microsoft.com/office/drawing/2014/chart" uri="{C3380CC4-5D6E-409C-BE32-E72D297353CC}">
              <c16:uniqueId val="{00000002-BCA7-43C6-ABDD-D7EE9A3CE6F5}"/>
            </c:ext>
          </c:extLst>
        </c:ser>
        <c:ser>
          <c:idx val="3"/>
          <c:order val="3"/>
          <c:tx>
            <c:strRef>
              <c:f>Sheet1!$E$1</c:f>
              <c:strCache>
                <c:ptCount val="1"/>
                <c:pt idx="0">
                  <c:v>Փոխարժեքի արժեզրկում</c:v>
                </c:pt>
              </c:strCache>
            </c:strRef>
          </c:tx>
          <c:spPr>
            <a:solidFill>
              <a:srgbClr val="8064A2"/>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Sheet1!$E$2:$E$9</c:f>
              <c:numCache>
                <c:formatCode>0.0</c:formatCode>
                <c:ptCount val="6"/>
                <c:pt idx="0">
                  <c:v>1.3024595224923403E-2</c:v>
                </c:pt>
                <c:pt idx="1">
                  <c:v>-3.0355942288865109E-2</c:v>
                </c:pt>
                <c:pt idx="2">
                  <c:v>-0.33045922768254016</c:v>
                </c:pt>
                <c:pt idx="3">
                  <c:v>3.869772584163178</c:v>
                </c:pt>
                <c:pt idx="4">
                  <c:v>-4.0781847784161895</c:v>
                </c:pt>
                <c:pt idx="5">
                  <c:v>2.1334733133636137</c:v>
                </c:pt>
              </c:numCache>
            </c:numRef>
          </c:val>
          <c:extLst>
            <c:ext xmlns:c16="http://schemas.microsoft.com/office/drawing/2014/chart" uri="{C3380CC4-5D6E-409C-BE32-E72D297353CC}">
              <c16:uniqueId val="{00000003-BCA7-43C6-ABDD-D7EE9A3CE6F5}"/>
            </c:ext>
          </c:extLst>
        </c:ser>
        <c:ser>
          <c:idx val="4"/>
          <c:order val="4"/>
          <c:tx>
            <c:strRef>
              <c:f>Sheet1!$F$1</c:f>
              <c:strCache>
                <c:ptCount val="1"/>
                <c:pt idx="0">
                  <c:v>Զուտ վարկավորում բյուջեից</c:v>
                </c:pt>
              </c:strCache>
            </c:strRef>
          </c:tx>
          <c:spPr>
            <a:solidFill>
              <a:srgbClr val="4BACC6"/>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Sheet1!$F$2:$F$9</c:f>
              <c:numCache>
                <c:formatCode>0.0</c:formatCode>
                <c:ptCount val="6"/>
                <c:pt idx="0">
                  <c:v>0.81069110128810862</c:v>
                </c:pt>
                <c:pt idx="1">
                  <c:v>0.81037920761112525</c:v>
                </c:pt>
                <c:pt idx="2">
                  <c:v>1.0104016885491129</c:v>
                </c:pt>
                <c:pt idx="3">
                  <c:v>1.6545023656332283</c:v>
                </c:pt>
                <c:pt idx="4">
                  <c:v>2.5941585096824769</c:v>
                </c:pt>
                <c:pt idx="5">
                  <c:v>1.2017533535137297</c:v>
                </c:pt>
              </c:numCache>
            </c:numRef>
          </c:val>
          <c:extLst>
            <c:ext xmlns:c16="http://schemas.microsoft.com/office/drawing/2014/chart" uri="{C3380CC4-5D6E-409C-BE32-E72D297353CC}">
              <c16:uniqueId val="{00000004-BCA7-43C6-ABDD-D7EE9A3CE6F5}"/>
            </c:ext>
          </c:extLst>
        </c:ser>
        <c:ser>
          <c:idx val="5"/>
          <c:order val="5"/>
          <c:tx>
            <c:strRef>
              <c:f>Sheet1!$G$1</c:f>
              <c:strCache>
                <c:ptCount val="1"/>
                <c:pt idx="0">
                  <c:v>Մնացորդ</c:v>
                </c:pt>
              </c:strCache>
            </c:strRef>
          </c:tx>
          <c:spPr>
            <a:solidFill>
              <a:srgbClr val="F79646"/>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Sheet1!$G$2:$G$9</c:f>
              <c:numCache>
                <c:formatCode>0.0</c:formatCode>
                <c:ptCount val="6"/>
                <c:pt idx="0">
                  <c:v>0.81750019646647698</c:v>
                </c:pt>
                <c:pt idx="1">
                  <c:v>-0.90772701057372629</c:v>
                </c:pt>
                <c:pt idx="2">
                  <c:v>1.3324296052555091</c:v>
                </c:pt>
                <c:pt idx="3">
                  <c:v>-0.48467011139045901</c:v>
                </c:pt>
                <c:pt idx="4">
                  <c:v>1.909903437741221</c:v>
                </c:pt>
                <c:pt idx="5">
                  <c:v>-0.62397857629427889</c:v>
                </c:pt>
              </c:numCache>
            </c:numRef>
          </c:val>
          <c:extLst>
            <c:ext xmlns:c16="http://schemas.microsoft.com/office/drawing/2014/chart" uri="{C3380CC4-5D6E-409C-BE32-E72D297353CC}">
              <c16:uniqueId val="{00000005-BCA7-43C6-ABDD-D7EE9A3CE6F5}"/>
            </c:ext>
          </c:extLst>
        </c:ser>
        <c:dLbls>
          <c:showLegendKey val="0"/>
          <c:showVal val="0"/>
          <c:showCatName val="0"/>
          <c:showSerName val="0"/>
          <c:showPercent val="0"/>
          <c:showBubbleSize val="0"/>
        </c:dLbls>
        <c:gapWidth val="81"/>
        <c:overlap val="100"/>
        <c:axId val="445156736"/>
        <c:axId val="445457920"/>
      </c:barChart>
      <c:lineChart>
        <c:grouping val="standard"/>
        <c:varyColors val="0"/>
        <c:ser>
          <c:idx val="6"/>
          <c:order val="6"/>
          <c:tx>
            <c:strRef>
              <c:f>Sheet1!$H$1</c:f>
              <c:strCache>
                <c:ptCount val="1"/>
                <c:pt idx="0">
                  <c:v>Պարտք/ՀՆԱ փոփոխություն, %-ային կետ </c:v>
                </c:pt>
              </c:strCache>
            </c:strRef>
          </c:tx>
          <c:spPr>
            <a:ln w="28557" cap="rnd">
              <a:solidFill>
                <a:schemeClr val="accent1">
                  <a:lumMod val="60000"/>
                </a:schemeClr>
              </a:solidFill>
              <a:round/>
            </a:ln>
            <a:effectLst/>
          </c:spPr>
          <c:marker>
            <c:symbol val="circle"/>
            <c:size val="4"/>
            <c:spPr>
              <a:solidFill>
                <a:schemeClr val="accent1">
                  <a:lumMod val="60000"/>
                </a:schemeClr>
              </a:solidFill>
              <a:ln w="9519">
                <a:solidFill>
                  <a:schemeClr val="accent1">
                    <a:lumMod val="60000"/>
                  </a:schemeClr>
                </a:solidFill>
              </a:ln>
              <a:effectLst/>
            </c:spPr>
          </c:marker>
          <c:cat>
            <c:numRef>
              <c:f>Sheet1!$A$2:$A$9</c:f>
              <c:numCache>
                <c:formatCode>General</c:formatCode>
                <c:ptCount val="6"/>
                <c:pt idx="0">
                  <c:v>2017</c:v>
                </c:pt>
                <c:pt idx="1">
                  <c:v>2018</c:v>
                </c:pt>
                <c:pt idx="2">
                  <c:v>2019</c:v>
                </c:pt>
                <c:pt idx="3">
                  <c:v>2020</c:v>
                </c:pt>
                <c:pt idx="4">
                  <c:v>2021</c:v>
                </c:pt>
                <c:pt idx="5">
                  <c:v>2022</c:v>
                </c:pt>
              </c:numCache>
            </c:numRef>
          </c:cat>
          <c:val>
            <c:numRef>
              <c:f>Sheet1!$H$2:$H$9</c:f>
              <c:numCache>
                <c:formatCode>0.0</c:formatCode>
                <c:ptCount val="6"/>
                <c:pt idx="0">
                  <c:v>1.733019454186568</c:v>
                </c:pt>
                <c:pt idx="1">
                  <c:v>-2.3240937856131367</c:v>
                </c:pt>
                <c:pt idx="2">
                  <c:v>-1.2958117896282531</c:v>
                </c:pt>
                <c:pt idx="3">
                  <c:v>13.3690212578505</c:v>
                </c:pt>
                <c:pt idx="4">
                  <c:v>-2.6943146623762928</c:v>
                </c:pt>
                <c:pt idx="5">
                  <c:v>-0.54648269202105837</c:v>
                </c:pt>
              </c:numCache>
            </c:numRef>
          </c:val>
          <c:smooth val="0"/>
          <c:extLst>
            <c:ext xmlns:c16="http://schemas.microsoft.com/office/drawing/2014/chart" uri="{C3380CC4-5D6E-409C-BE32-E72D297353CC}">
              <c16:uniqueId val="{00000006-BCA7-43C6-ABDD-D7EE9A3CE6F5}"/>
            </c:ext>
          </c:extLst>
        </c:ser>
        <c:dLbls>
          <c:showLegendKey val="0"/>
          <c:showVal val="0"/>
          <c:showCatName val="0"/>
          <c:showSerName val="0"/>
          <c:showPercent val="0"/>
          <c:showBubbleSize val="0"/>
        </c:dLbls>
        <c:marker val="1"/>
        <c:smooth val="0"/>
        <c:axId val="445156736"/>
        <c:axId val="445457920"/>
      </c:lineChart>
      <c:catAx>
        <c:axId val="445156736"/>
        <c:scaling>
          <c:orientation val="minMax"/>
        </c:scaling>
        <c:delete val="0"/>
        <c:axPos val="b"/>
        <c:numFmt formatCode="General" sourceLinked="1"/>
        <c:majorTickMark val="none"/>
        <c:minorTickMark val="none"/>
        <c:tickLblPos val="low"/>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5457920"/>
        <c:crosses val="autoZero"/>
        <c:auto val="1"/>
        <c:lblAlgn val="ctr"/>
        <c:lblOffset val="100"/>
        <c:noMultiLvlLbl val="0"/>
      </c:catAx>
      <c:valAx>
        <c:axId val="445457920"/>
        <c:scaling>
          <c:orientation val="minMax"/>
        </c:scaling>
        <c:delete val="0"/>
        <c:axPos val="l"/>
        <c:majorGridlines>
          <c:spPr>
            <a:ln w="9519" cap="flat" cmpd="sng" algn="ctr">
              <a:solidFill>
                <a:schemeClr val="tx1">
                  <a:lumMod val="15000"/>
                  <a:lumOff val="85000"/>
                </a:schemeClr>
              </a:solidFill>
              <a:round/>
            </a:ln>
            <a:effectLst/>
          </c:spPr>
        </c:majorGridlines>
        <c:numFmt formatCode="0.0" sourceLinked="1"/>
        <c:majorTickMark val="none"/>
        <c:minorTickMark val="none"/>
        <c:tickLblPos val="nextTo"/>
        <c:spPr>
          <a:ln w="9519">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5156736"/>
        <c:crosses val="autoZero"/>
        <c:crossBetween val="between"/>
      </c:valAx>
      <c:spPr>
        <a:noFill/>
        <a:ln w="25384">
          <a:noFill/>
        </a:ln>
      </c:spPr>
    </c:plotArea>
    <c:legend>
      <c:legendPos val="r"/>
      <c:legendEntry>
        <c:idx val="1"/>
        <c:txPr>
          <a:bodyPr rot="0" spcFirstLastPara="1" vertOverflow="ellipsis" vert="horz" wrap="square" anchor="ctr" anchorCtr="1"/>
          <a:lstStyle/>
          <a:p>
            <a:pPr>
              <a:defRPr sz="78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63637056612301279"/>
          <c:y val="0.24181700059769756"/>
          <c:w val="0.3461838259722782"/>
          <c:h val="0.65295184636573889"/>
        </c:manualLayout>
      </c:layout>
      <c:overlay val="0"/>
      <c:spPr>
        <a:noFill/>
        <a:ln w="25384">
          <a:noFill/>
        </a:ln>
      </c:spPr>
      <c:txPr>
        <a:bodyPr rot="0" spcFirstLastPara="1" vertOverflow="ellipsis" vert="horz" wrap="square" anchor="ctr" anchorCtr="1"/>
        <a:lstStyle/>
        <a:p>
          <a:pPr>
            <a:defRPr sz="78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Պետական բյուջեի պակասուրդ/ՀՆԱ,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2009</c:v>
                </c:pt>
                <c:pt idx="1">
                  <c:v>2010</c:v>
                </c:pt>
                <c:pt idx="3">
                  <c:v>2016</c:v>
                </c:pt>
                <c:pt idx="4">
                  <c:v>2017</c:v>
                </c:pt>
                <c:pt idx="6">
                  <c:v>2020</c:v>
                </c:pt>
                <c:pt idx="7">
                  <c:v>2021</c:v>
                </c:pt>
              </c:numCache>
            </c:numRef>
          </c:cat>
          <c:val>
            <c:numRef>
              <c:f>Sheet1!$B$2:$B$9</c:f>
              <c:numCache>
                <c:formatCode>General</c:formatCode>
                <c:ptCount val="8"/>
                <c:pt idx="0">
                  <c:v>7.1</c:v>
                </c:pt>
                <c:pt idx="1">
                  <c:v>4.7</c:v>
                </c:pt>
                <c:pt idx="3">
                  <c:v>5.5</c:v>
                </c:pt>
                <c:pt idx="4">
                  <c:v>4.8</c:v>
                </c:pt>
                <c:pt idx="6" formatCode="0.0">
                  <c:v>5.4029424566760298</c:v>
                </c:pt>
                <c:pt idx="7" formatCode="0.0">
                  <c:v>4.6803993733598501</c:v>
                </c:pt>
              </c:numCache>
            </c:numRef>
          </c:val>
          <c:extLst>
            <c:ext xmlns:c16="http://schemas.microsoft.com/office/drawing/2014/chart" uri="{C3380CC4-5D6E-409C-BE32-E72D297353CC}">
              <c16:uniqueId val="{00000000-87DB-4F78-BDF9-5991E5C68DE1}"/>
            </c:ext>
          </c:extLst>
        </c:ser>
        <c:dLbls>
          <c:showLegendKey val="0"/>
          <c:showVal val="0"/>
          <c:showCatName val="0"/>
          <c:showSerName val="0"/>
          <c:showPercent val="0"/>
          <c:showBubbleSize val="0"/>
        </c:dLbls>
        <c:gapWidth val="219"/>
        <c:overlap val="-27"/>
        <c:axId val="445488512"/>
        <c:axId val="445863040"/>
      </c:barChart>
      <c:catAx>
        <c:axId val="44548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63040"/>
        <c:crosses val="autoZero"/>
        <c:auto val="1"/>
        <c:lblAlgn val="ctr"/>
        <c:lblOffset val="100"/>
        <c:noMultiLvlLbl val="0"/>
      </c:catAx>
      <c:valAx>
        <c:axId val="44586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88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Կառավարության պարտք/ՀՆԱ աճ, %-ային կետ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2009</c:v>
                </c:pt>
                <c:pt idx="1">
                  <c:v>2010</c:v>
                </c:pt>
                <c:pt idx="3">
                  <c:v>2016</c:v>
                </c:pt>
                <c:pt idx="4">
                  <c:v>2017</c:v>
                </c:pt>
                <c:pt idx="6">
                  <c:v>2020</c:v>
                </c:pt>
                <c:pt idx="7">
                  <c:v>2021</c:v>
                </c:pt>
              </c:numCache>
            </c:numRef>
          </c:cat>
          <c:val>
            <c:numRef>
              <c:f>Sheet1!$B$2:$B$9</c:f>
              <c:numCache>
                <c:formatCode>General</c:formatCode>
                <c:ptCount val="8"/>
                <c:pt idx="0">
                  <c:v>18.5</c:v>
                </c:pt>
                <c:pt idx="1">
                  <c:v>-0.5</c:v>
                </c:pt>
                <c:pt idx="3">
                  <c:v>7.8</c:v>
                </c:pt>
                <c:pt idx="4">
                  <c:v>1.8</c:v>
                </c:pt>
                <c:pt idx="6">
                  <c:v>13.5</c:v>
                </c:pt>
                <c:pt idx="7" formatCode="0.0">
                  <c:v>-2.6910277827368532</c:v>
                </c:pt>
              </c:numCache>
            </c:numRef>
          </c:val>
          <c:extLst>
            <c:ext xmlns:c16="http://schemas.microsoft.com/office/drawing/2014/chart" uri="{C3380CC4-5D6E-409C-BE32-E72D297353CC}">
              <c16:uniqueId val="{00000000-581E-4A0F-B3B7-2D8DEB0B056F}"/>
            </c:ext>
          </c:extLst>
        </c:ser>
        <c:dLbls>
          <c:showLegendKey val="0"/>
          <c:showVal val="0"/>
          <c:showCatName val="0"/>
          <c:showSerName val="0"/>
          <c:showPercent val="0"/>
          <c:showBubbleSize val="0"/>
        </c:dLbls>
        <c:gapWidth val="219"/>
        <c:overlap val="-27"/>
        <c:axId val="445499648"/>
        <c:axId val="445849600"/>
      </c:barChart>
      <c:catAx>
        <c:axId val="445499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49600"/>
        <c:crosses val="autoZero"/>
        <c:auto val="1"/>
        <c:lblAlgn val="ctr"/>
        <c:lblOffset val="100"/>
        <c:noMultiLvlLbl val="0"/>
      </c:catAx>
      <c:valAx>
        <c:axId val="44584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99648"/>
        <c:crosses val="autoZero"/>
        <c:crossBetween val="between"/>
      </c:valAx>
      <c:spPr>
        <a:noFill/>
        <a:ln>
          <a:noFill/>
        </a:ln>
        <a:effectLst/>
      </c:spPr>
    </c:plotArea>
    <c:legend>
      <c:legendPos val="b"/>
      <c:layout>
        <c:manualLayout>
          <c:xMode val="edge"/>
          <c:yMode val="edge"/>
          <c:x val="2.3958333333333328E-2"/>
          <c:y val="0.8660704911886028"/>
          <c:w val="0.92604166666666665"/>
          <c:h val="0.11011998500187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Հարկեր և ծախսեր</c:v>
                </c:pt>
              </c:strCache>
            </c:strRef>
          </c:tx>
          <c:spPr>
            <a:solidFill>
              <a:schemeClr val="accent1"/>
            </a:solidFill>
            <a:ln>
              <a:noFill/>
            </a:ln>
            <a:effectLst/>
          </c:spPr>
          <c:invertIfNegative val="0"/>
          <c:cat>
            <c:strRef>
              <c:f>Sheet1!$A$2:$A$28</c:f>
              <c:strCache>
                <c:ptCount val="27"/>
                <c:pt idx="0">
                  <c:v>Իտալիա</c:v>
                </c:pt>
                <c:pt idx="1">
                  <c:v>Ճապոնիա</c:v>
                </c:pt>
                <c:pt idx="2">
                  <c:v>Գերմանիա</c:v>
                </c:pt>
                <c:pt idx="3">
                  <c:v>Մեծ Բրիտանիա</c:v>
                </c:pt>
                <c:pt idx="4">
                  <c:v>ԱՄՆ</c:v>
                </c:pt>
                <c:pt idx="5">
                  <c:v>Ֆրանսիա</c:v>
                </c:pt>
                <c:pt idx="6">
                  <c:v>Իսպանիա</c:v>
                </c:pt>
                <c:pt idx="7">
                  <c:v>Ավստրալիա</c:v>
                </c:pt>
                <c:pt idx="8">
                  <c:v>Կանադա</c:v>
                </c:pt>
                <c:pt idx="9">
                  <c:v>Բրազիլիա</c:v>
                </c:pt>
                <c:pt idx="10">
                  <c:v>Կորեա</c:v>
                </c:pt>
                <c:pt idx="11">
                  <c:v>Թուրքիա</c:v>
                </c:pt>
                <c:pt idx="12">
                  <c:v>Հարավաֆրիկյան Հանրապետություն</c:v>
                </c:pt>
                <c:pt idx="13">
                  <c:v>Հնդկաստան</c:v>
                </c:pt>
                <c:pt idx="14">
                  <c:v>Արգենտինա</c:v>
                </c:pt>
                <c:pt idx="15">
                  <c:v>Չինաստան</c:v>
                </c:pt>
                <c:pt idx="16">
                  <c:v>Ռուսաստան</c:v>
                </c:pt>
                <c:pt idx="17">
                  <c:v>Ինդոնեզիա</c:v>
                </c:pt>
                <c:pt idx="18">
                  <c:v>Հայաստան</c:v>
                </c:pt>
                <c:pt idx="19">
                  <c:v>Սաուդյան Արաբիա</c:v>
                </c:pt>
                <c:pt idx="20">
                  <c:v>Մեքսիկա</c:v>
                </c:pt>
                <c:pt idx="22">
                  <c:v>Ցածր եկամտային</c:v>
                </c:pt>
                <c:pt idx="24">
                  <c:v>Զարգացող</c:v>
                </c:pt>
                <c:pt idx="26">
                  <c:v>Զարգացած երկրներ</c:v>
                </c:pt>
              </c:strCache>
            </c:strRef>
          </c:cat>
          <c:val>
            <c:numRef>
              <c:f>Sheet1!$B$2:$B$28</c:f>
              <c:numCache>
                <c:formatCode>0.0</c:formatCode>
                <c:ptCount val="27"/>
                <c:pt idx="0">
                  <c:v>10.898555638640223</c:v>
                </c:pt>
                <c:pt idx="1">
                  <c:v>16.46834716835404</c:v>
                </c:pt>
                <c:pt idx="2">
                  <c:v>13.638352846668944</c:v>
                </c:pt>
                <c:pt idx="3">
                  <c:v>16.24023041241189</c:v>
                </c:pt>
                <c:pt idx="4">
                  <c:v>25.449751749930151</c:v>
                </c:pt>
                <c:pt idx="5">
                  <c:v>9.583735007772944</c:v>
                </c:pt>
                <c:pt idx="6">
                  <c:v>7.5786887379669032</c:v>
                </c:pt>
                <c:pt idx="7">
                  <c:v>18.373752710725405</c:v>
                </c:pt>
                <c:pt idx="8">
                  <c:v>15.882770459498252</c:v>
                </c:pt>
                <c:pt idx="9">
                  <c:v>9.2362126130761357</c:v>
                </c:pt>
                <c:pt idx="10">
                  <c:v>4.4849024836324336</c:v>
                </c:pt>
                <c:pt idx="11">
                  <c:v>2.7</c:v>
                </c:pt>
                <c:pt idx="12">
                  <c:v>5.8576606558448407</c:v>
                </c:pt>
                <c:pt idx="13">
                  <c:v>3.5079994753280079</c:v>
                </c:pt>
                <c:pt idx="14">
                  <c:v>4.5175576086619849</c:v>
                </c:pt>
                <c:pt idx="15">
                  <c:v>4.7801156546253365</c:v>
                </c:pt>
                <c:pt idx="16">
                  <c:v>4.5378286069427096</c:v>
                </c:pt>
                <c:pt idx="17">
                  <c:v>4.5321570570531771</c:v>
                </c:pt>
                <c:pt idx="18">
                  <c:v>2.4588848171158322</c:v>
                </c:pt>
                <c:pt idx="19">
                  <c:v>2.1939162799420835</c:v>
                </c:pt>
                <c:pt idx="20">
                  <c:v>0.65442396745349374</c:v>
                </c:pt>
              </c:numCache>
            </c:numRef>
          </c:val>
          <c:extLst>
            <c:ext xmlns:c16="http://schemas.microsoft.com/office/drawing/2014/chart" uri="{C3380CC4-5D6E-409C-BE32-E72D297353CC}">
              <c16:uniqueId val="{00000000-49AF-4E19-8D51-6EF0619F6B4F}"/>
            </c:ext>
          </c:extLst>
        </c:ser>
        <c:ser>
          <c:idx val="1"/>
          <c:order val="1"/>
          <c:tx>
            <c:strRef>
              <c:f>Sheet1!$C$1</c:f>
              <c:strCache>
                <c:ptCount val="1"/>
                <c:pt idx="0">
                  <c:v>Պակասուրդի գործառնություններ և պայմ․ պարտավորություններ</c:v>
                </c:pt>
              </c:strCache>
            </c:strRef>
          </c:tx>
          <c:spPr>
            <a:solidFill>
              <a:schemeClr val="accent2"/>
            </a:solidFill>
            <a:ln>
              <a:noFill/>
            </a:ln>
            <a:effectLst/>
          </c:spPr>
          <c:invertIfNegative val="0"/>
          <c:dLbls>
            <c:dLbl>
              <c:idx val="18"/>
              <c:layout>
                <c:manualLayout>
                  <c:x val="-7.8346673280123027E-17"/>
                  <c:y val="-5.3508952459353776E-2"/>
                </c:manualLayout>
              </c:layout>
              <c:tx>
                <c:rich>
                  <a:bodyPr/>
                  <a:lstStyle/>
                  <a:p>
                    <a:r>
                      <a:rPr lang="en-US" b="1">
                        <a:solidFill>
                          <a:srgbClr val="FF0000"/>
                        </a:solidFill>
                        <a:latin typeface="GHEA Grapalat" panose="02000506050000020003" pitchFamily="50" charset="0"/>
                      </a:rPr>
                      <a:t>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9AF-4E19-8D51-6EF0619F6B4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Sheet1!$A$2:$A$28</c:f>
              <c:strCache>
                <c:ptCount val="27"/>
                <c:pt idx="0">
                  <c:v>Իտալիա</c:v>
                </c:pt>
                <c:pt idx="1">
                  <c:v>Ճապոնիա</c:v>
                </c:pt>
                <c:pt idx="2">
                  <c:v>Գերմանիա</c:v>
                </c:pt>
                <c:pt idx="3">
                  <c:v>Մեծ Բրիտանիա</c:v>
                </c:pt>
                <c:pt idx="4">
                  <c:v>ԱՄՆ</c:v>
                </c:pt>
                <c:pt idx="5">
                  <c:v>Ֆրանսիա</c:v>
                </c:pt>
                <c:pt idx="6">
                  <c:v>Իսպանիա</c:v>
                </c:pt>
                <c:pt idx="7">
                  <c:v>Ավստրալիա</c:v>
                </c:pt>
                <c:pt idx="8">
                  <c:v>Կանադա</c:v>
                </c:pt>
                <c:pt idx="9">
                  <c:v>Բրազիլիա</c:v>
                </c:pt>
                <c:pt idx="10">
                  <c:v>Կորեա</c:v>
                </c:pt>
                <c:pt idx="11">
                  <c:v>Թուրքիա</c:v>
                </c:pt>
                <c:pt idx="12">
                  <c:v>Հարավաֆրիկյան Հանրապետություն</c:v>
                </c:pt>
                <c:pt idx="13">
                  <c:v>Հնդկաստան</c:v>
                </c:pt>
                <c:pt idx="14">
                  <c:v>Արգենտինա</c:v>
                </c:pt>
                <c:pt idx="15">
                  <c:v>Չինաստան</c:v>
                </c:pt>
                <c:pt idx="16">
                  <c:v>Ռուսաստան</c:v>
                </c:pt>
                <c:pt idx="17">
                  <c:v>Ինդոնեզիա</c:v>
                </c:pt>
                <c:pt idx="18">
                  <c:v>Հայաստան</c:v>
                </c:pt>
                <c:pt idx="19">
                  <c:v>Սաուդյան Արաբիա</c:v>
                </c:pt>
                <c:pt idx="20">
                  <c:v>Մեքսիկա</c:v>
                </c:pt>
                <c:pt idx="22">
                  <c:v>Ցածր եկամտային</c:v>
                </c:pt>
                <c:pt idx="24">
                  <c:v>Զարգացող</c:v>
                </c:pt>
                <c:pt idx="26">
                  <c:v>Զարգացած երկրներ</c:v>
                </c:pt>
              </c:strCache>
            </c:strRef>
          </c:cat>
          <c:val>
            <c:numRef>
              <c:f>Sheet1!$C$2:$C$28</c:f>
              <c:numCache>
                <c:formatCode>0.0</c:formatCode>
                <c:ptCount val="27"/>
                <c:pt idx="0">
                  <c:v>35.253800114434839</c:v>
                </c:pt>
                <c:pt idx="1">
                  <c:v>28.332241013425325</c:v>
                </c:pt>
                <c:pt idx="2">
                  <c:v>27.786270524971673</c:v>
                </c:pt>
                <c:pt idx="3">
                  <c:v>16.713706517730021</c:v>
                </c:pt>
                <c:pt idx="4">
                  <c:v>2.4359314213659848</c:v>
                </c:pt>
                <c:pt idx="5">
                  <c:v>15.211519588685375</c:v>
                </c:pt>
                <c:pt idx="6">
                  <c:v>14.374546446547997</c:v>
                </c:pt>
                <c:pt idx="7">
                  <c:v>1.7779412354862849</c:v>
                </c:pt>
                <c:pt idx="8">
                  <c:v>3.9502835723081042</c:v>
                </c:pt>
                <c:pt idx="9">
                  <c:v>6.1507617357903444</c:v>
                </c:pt>
                <c:pt idx="10">
                  <c:v>10.133706995889202</c:v>
                </c:pt>
                <c:pt idx="11">
                  <c:v>9.5</c:v>
                </c:pt>
                <c:pt idx="12">
                  <c:v>4.0820635535067034</c:v>
                </c:pt>
                <c:pt idx="13">
                  <c:v>5.2117755437014797</c:v>
                </c:pt>
                <c:pt idx="14">
                  <c:v>1.9984280402043679</c:v>
                </c:pt>
                <c:pt idx="15">
                  <c:v>1.296401676315599</c:v>
                </c:pt>
                <c:pt idx="16">
                  <c:v>1.464931484771163</c:v>
                </c:pt>
                <c:pt idx="17">
                  <c:v>0.87565550573371964</c:v>
                </c:pt>
                <c:pt idx="18">
                  <c:v>1.4559186417133216</c:v>
                </c:pt>
                <c:pt idx="19">
                  <c:v>0.83795413470010138</c:v>
                </c:pt>
                <c:pt idx="20">
                  <c:v>1.1974658424331148</c:v>
                </c:pt>
              </c:numCache>
            </c:numRef>
          </c:val>
          <c:extLst>
            <c:ext xmlns:c16="http://schemas.microsoft.com/office/drawing/2014/chart" uri="{C3380CC4-5D6E-409C-BE32-E72D297353CC}">
              <c16:uniqueId val="{00000002-49AF-4E19-8D51-6EF0619F6B4F}"/>
            </c:ext>
          </c:extLst>
        </c:ser>
        <c:ser>
          <c:idx val="2"/>
          <c:order val="2"/>
          <c:tx>
            <c:strRef>
              <c:f>Sheet1!$D$1</c:f>
              <c:strCache>
                <c:ptCount val="1"/>
                <c:pt idx="0">
                  <c:v>Column2</c:v>
                </c:pt>
              </c:strCache>
            </c:strRef>
          </c:tx>
          <c:spPr>
            <a:solidFill>
              <a:schemeClr val="accent3"/>
            </a:solidFill>
            <a:ln>
              <a:noFill/>
            </a:ln>
            <a:effectLst/>
          </c:spPr>
          <c:invertIfNegative val="0"/>
          <c:dPt>
            <c:idx val="22"/>
            <c:invertIfNegative val="0"/>
            <c:bubble3D val="0"/>
            <c:spPr>
              <a:solidFill>
                <a:schemeClr val="accent1"/>
              </a:solidFill>
              <a:ln>
                <a:noFill/>
              </a:ln>
              <a:effectLst/>
            </c:spPr>
            <c:extLst>
              <c:ext xmlns:c16="http://schemas.microsoft.com/office/drawing/2014/chart" uri="{C3380CC4-5D6E-409C-BE32-E72D297353CC}">
                <c16:uniqueId val="{00000004-49AF-4E19-8D51-6EF0619F6B4F}"/>
              </c:ext>
            </c:extLst>
          </c:dPt>
          <c:dPt>
            <c:idx val="24"/>
            <c:invertIfNegative val="0"/>
            <c:bubble3D val="0"/>
            <c:spPr>
              <a:solidFill>
                <a:schemeClr val="accent1"/>
              </a:solidFill>
              <a:ln>
                <a:noFill/>
              </a:ln>
              <a:effectLst/>
            </c:spPr>
            <c:extLst>
              <c:ext xmlns:c16="http://schemas.microsoft.com/office/drawing/2014/chart" uri="{C3380CC4-5D6E-409C-BE32-E72D297353CC}">
                <c16:uniqueId val="{00000006-49AF-4E19-8D51-6EF0619F6B4F}"/>
              </c:ext>
            </c:extLst>
          </c:dPt>
          <c:dPt>
            <c:idx val="26"/>
            <c:invertIfNegative val="0"/>
            <c:bubble3D val="0"/>
            <c:spPr>
              <a:solidFill>
                <a:schemeClr val="accent1"/>
              </a:solidFill>
              <a:ln>
                <a:noFill/>
              </a:ln>
              <a:effectLst/>
            </c:spPr>
            <c:extLst>
              <c:ext xmlns:c16="http://schemas.microsoft.com/office/drawing/2014/chart" uri="{C3380CC4-5D6E-409C-BE32-E72D297353CC}">
                <c16:uniqueId val="{00000008-49AF-4E19-8D51-6EF0619F6B4F}"/>
              </c:ext>
            </c:extLst>
          </c:dPt>
          <c:cat>
            <c:strRef>
              <c:f>Sheet1!$A$2:$A$28</c:f>
              <c:strCache>
                <c:ptCount val="27"/>
                <c:pt idx="0">
                  <c:v>Իտալիա</c:v>
                </c:pt>
                <c:pt idx="1">
                  <c:v>Ճապոնիա</c:v>
                </c:pt>
                <c:pt idx="2">
                  <c:v>Գերմանիա</c:v>
                </c:pt>
                <c:pt idx="3">
                  <c:v>Մեծ Բրիտանիա</c:v>
                </c:pt>
                <c:pt idx="4">
                  <c:v>ԱՄՆ</c:v>
                </c:pt>
                <c:pt idx="5">
                  <c:v>Ֆրանսիա</c:v>
                </c:pt>
                <c:pt idx="6">
                  <c:v>Իսպանիա</c:v>
                </c:pt>
                <c:pt idx="7">
                  <c:v>Ավստրալիա</c:v>
                </c:pt>
                <c:pt idx="8">
                  <c:v>Կանադա</c:v>
                </c:pt>
                <c:pt idx="9">
                  <c:v>Բրազիլիա</c:v>
                </c:pt>
                <c:pt idx="10">
                  <c:v>Կորեա</c:v>
                </c:pt>
                <c:pt idx="11">
                  <c:v>Թուրքիա</c:v>
                </c:pt>
                <c:pt idx="12">
                  <c:v>Հարավաֆրիկյան Հանրապետություն</c:v>
                </c:pt>
                <c:pt idx="13">
                  <c:v>Հնդկաստան</c:v>
                </c:pt>
                <c:pt idx="14">
                  <c:v>Արգենտինա</c:v>
                </c:pt>
                <c:pt idx="15">
                  <c:v>Չինաստան</c:v>
                </c:pt>
                <c:pt idx="16">
                  <c:v>Ռուսաստան</c:v>
                </c:pt>
                <c:pt idx="17">
                  <c:v>Ինդոնեզիա</c:v>
                </c:pt>
                <c:pt idx="18">
                  <c:v>Հայաստան</c:v>
                </c:pt>
                <c:pt idx="19">
                  <c:v>Սաուդյան Արաբիա</c:v>
                </c:pt>
                <c:pt idx="20">
                  <c:v>Մեքսիկա</c:v>
                </c:pt>
                <c:pt idx="22">
                  <c:v>Ցածր եկամտային</c:v>
                </c:pt>
                <c:pt idx="24">
                  <c:v>Զարգացող</c:v>
                </c:pt>
                <c:pt idx="26">
                  <c:v>Զարգացած երկրներ</c:v>
                </c:pt>
              </c:strCache>
            </c:strRef>
          </c:cat>
          <c:val>
            <c:numRef>
              <c:f>Sheet1!$D$2:$D$28</c:f>
              <c:numCache>
                <c:formatCode>General</c:formatCode>
                <c:ptCount val="27"/>
                <c:pt idx="22" formatCode="0.0">
                  <c:v>2.0479253649651623</c:v>
                </c:pt>
                <c:pt idx="24" formatCode="0.0">
                  <c:v>4.0999999999999996</c:v>
                </c:pt>
                <c:pt idx="26" formatCode="0.0">
                  <c:v>17.306639534787191</c:v>
                </c:pt>
              </c:numCache>
            </c:numRef>
          </c:val>
          <c:extLst>
            <c:ext xmlns:c16="http://schemas.microsoft.com/office/drawing/2014/chart" uri="{C3380CC4-5D6E-409C-BE32-E72D297353CC}">
              <c16:uniqueId val="{00000009-49AF-4E19-8D51-6EF0619F6B4F}"/>
            </c:ext>
          </c:extLst>
        </c:ser>
        <c:ser>
          <c:idx val="3"/>
          <c:order val="3"/>
          <c:tx>
            <c:strRef>
              <c:f>Sheet1!$E$1</c:f>
              <c:strCache>
                <c:ptCount val="1"/>
                <c:pt idx="0">
                  <c:v>Column3</c:v>
                </c:pt>
              </c:strCache>
            </c:strRef>
          </c:tx>
          <c:spPr>
            <a:solidFill>
              <a:schemeClr val="accent4"/>
            </a:solidFill>
            <a:ln>
              <a:noFill/>
            </a:ln>
            <a:effectLst/>
          </c:spPr>
          <c:invertIfNegative val="0"/>
          <c:dPt>
            <c:idx val="22"/>
            <c:invertIfNegative val="0"/>
            <c:bubble3D val="0"/>
            <c:spPr>
              <a:solidFill>
                <a:schemeClr val="accent2"/>
              </a:solidFill>
              <a:ln>
                <a:noFill/>
              </a:ln>
              <a:effectLst/>
            </c:spPr>
            <c:extLst>
              <c:ext xmlns:c16="http://schemas.microsoft.com/office/drawing/2014/chart" uri="{C3380CC4-5D6E-409C-BE32-E72D297353CC}">
                <c16:uniqueId val="{0000000B-49AF-4E19-8D51-6EF0619F6B4F}"/>
              </c:ext>
            </c:extLst>
          </c:dPt>
          <c:dPt>
            <c:idx val="24"/>
            <c:invertIfNegative val="0"/>
            <c:bubble3D val="0"/>
            <c:spPr>
              <a:solidFill>
                <a:schemeClr val="accent2"/>
              </a:solidFill>
              <a:ln>
                <a:noFill/>
              </a:ln>
              <a:effectLst/>
            </c:spPr>
            <c:extLst>
              <c:ext xmlns:c16="http://schemas.microsoft.com/office/drawing/2014/chart" uri="{C3380CC4-5D6E-409C-BE32-E72D297353CC}">
                <c16:uniqueId val="{0000000D-49AF-4E19-8D51-6EF0619F6B4F}"/>
              </c:ext>
            </c:extLst>
          </c:dPt>
          <c:dPt>
            <c:idx val="26"/>
            <c:invertIfNegative val="0"/>
            <c:bubble3D val="0"/>
            <c:spPr>
              <a:solidFill>
                <a:schemeClr val="accent2"/>
              </a:solidFill>
              <a:ln>
                <a:noFill/>
              </a:ln>
              <a:effectLst/>
            </c:spPr>
            <c:extLst>
              <c:ext xmlns:c16="http://schemas.microsoft.com/office/drawing/2014/chart" uri="{C3380CC4-5D6E-409C-BE32-E72D297353CC}">
                <c16:uniqueId val="{0000000F-49AF-4E19-8D51-6EF0619F6B4F}"/>
              </c:ext>
            </c:extLst>
          </c:dPt>
          <c:cat>
            <c:strRef>
              <c:f>Sheet1!$A$2:$A$28</c:f>
              <c:strCache>
                <c:ptCount val="27"/>
                <c:pt idx="0">
                  <c:v>Իտալիա</c:v>
                </c:pt>
                <c:pt idx="1">
                  <c:v>Ճապոնիա</c:v>
                </c:pt>
                <c:pt idx="2">
                  <c:v>Գերմանիա</c:v>
                </c:pt>
                <c:pt idx="3">
                  <c:v>Մեծ Բրիտանիա</c:v>
                </c:pt>
                <c:pt idx="4">
                  <c:v>ԱՄՆ</c:v>
                </c:pt>
                <c:pt idx="5">
                  <c:v>Ֆրանսիա</c:v>
                </c:pt>
                <c:pt idx="6">
                  <c:v>Իսպանիա</c:v>
                </c:pt>
                <c:pt idx="7">
                  <c:v>Ավստրալիա</c:v>
                </c:pt>
                <c:pt idx="8">
                  <c:v>Կանադա</c:v>
                </c:pt>
                <c:pt idx="9">
                  <c:v>Բրազիլիա</c:v>
                </c:pt>
                <c:pt idx="10">
                  <c:v>Կորեա</c:v>
                </c:pt>
                <c:pt idx="11">
                  <c:v>Թուրքիա</c:v>
                </c:pt>
                <c:pt idx="12">
                  <c:v>Հարավաֆրիկյան Հանրապետություն</c:v>
                </c:pt>
                <c:pt idx="13">
                  <c:v>Հնդկաստան</c:v>
                </c:pt>
                <c:pt idx="14">
                  <c:v>Արգենտինա</c:v>
                </c:pt>
                <c:pt idx="15">
                  <c:v>Չինաստան</c:v>
                </c:pt>
                <c:pt idx="16">
                  <c:v>Ռուսաստան</c:v>
                </c:pt>
                <c:pt idx="17">
                  <c:v>Ինդոնեզիա</c:v>
                </c:pt>
                <c:pt idx="18">
                  <c:v>Հայաստան</c:v>
                </c:pt>
                <c:pt idx="19">
                  <c:v>Սաուդյան Արաբիա</c:v>
                </c:pt>
                <c:pt idx="20">
                  <c:v>Մեքսիկա</c:v>
                </c:pt>
                <c:pt idx="22">
                  <c:v>Ցածր եկամտային</c:v>
                </c:pt>
                <c:pt idx="24">
                  <c:v>Զարգացող</c:v>
                </c:pt>
                <c:pt idx="26">
                  <c:v>Զարգացած երկրներ</c:v>
                </c:pt>
              </c:strCache>
            </c:strRef>
          </c:cat>
          <c:val>
            <c:numRef>
              <c:f>Sheet1!$E$2:$E$28</c:f>
              <c:numCache>
                <c:formatCode>General</c:formatCode>
                <c:ptCount val="27"/>
                <c:pt idx="22" formatCode="0.0">
                  <c:v>0.15671063224040413</c:v>
                </c:pt>
                <c:pt idx="24" formatCode="0.0">
                  <c:v>2.6</c:v>
                </c:pt>
                <c:pt idx="26" formatCode="0.0">
                  <c:v>11.385598314278408</c:v>
                </c:pt>
              </c:numCache>
            </c:numRef>
          </c:val>
          <c:extLst>
            <c:ext xmlns:c16="http://schemas.microsoft.com/office/drawing/2014/chart" uri="{C3380CC4-5D6E-409C-BE32-E72D297353CC}">
              <c16:uniqueId val="{00000010-49AF-4E19-8D51-6EF0619F6B4F}"/>
            </c:ext>
          </c:extLst>
        </c:ser>
        <c:dLbls>
          <c:showLegendKey val="0"/>
          <c:showVal val="0"/>
          <c:showCatName val="0"/>
          <c:showSerName val="0"/>
          <c:showPercent val="0"/>
          <c:showBubbleSize val="0"/>
        </c:dLbls>
        <c:gapWidth val="51"/>
        <c:overlap val="100"/>
        <c:axId val="446226432"/>
        <c:axId val="446227968"/>
      </c:barChart>
      <c:catAx>
        <c:axId val="4462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6227968"/>
        <c:crosses val="autoZero"/>
        <c:auto val="1"/>
        <c:lblAlgn val="ctr"/>
        <c:lblOffset val="100"/>
        <c:noMultiLvlLbl val="0"/>
      </c:catAx>
      <c:valAx>
        <c:axId val="4462279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26432"/>
        <c:crosses val="autoZero"/>
        <c:crossBetween val="between"/>
      </c:valAx>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'Budget 22-1'!$B$3</c:f>
              <c:strCache>
                <c:ptCount val="1"/>
              </c:strCache>
            </c:strRef>
          </c:tx>
          <c:spPr>
            <a:no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22-1'!$B$4:$B$87</c:f>
              <c:numCache>
                <c:formatCode>General</c:formatCode>
                <c:ptCount val="10"/>
                <c:pt idx="0">
                  <c:v>16.389092714898766</c:v>
                </c:pt>
                <c:pt idx="1">
                  <c:v>-5.402548022928471</c:v>
                </c:pt>
                <c:pt idx="2">
                  <c:v>-4.6185653302145795</c:v>
                </c:pt>
                <c:pt idx="3">
                  <c:v>10.276758343158804</c:v>
                </c:pt>
                <c:pt idx="4">
                  <c:v>6.8637498858163442</c:v>
                </c:pt>
                <c:pt idx="5">
                  <c:v>8.9159218759493086</c:v>
                </c:pt>
                <c:pt idx="6">
                  <c:v>13.965400948854533</c:v>
                </c:pt>
                <c:pt idx="7">
                  <c:v>12.655008250236627</c:v>
                </c:pt>
                <c:pt idx="8">
                  <c:v>11.715606759866885</c:v>
                </c:pt>
                <c:pt idx="9">
                  <c:v>10.356068377707405</c:v>
                </c:pt>
              </c:numCache>
            </c:numRef>
          </c:val>
          <c:extLst>
            <c:ext xmlns:c16="http://schemas.microsoft.com/office/drawing/2014/chart" uri="{C3380CC4-5D6E-409C-BE32-E72D297353CC}">
              <c16:uniqueId val="{00000000-3A39-401A-96AF-469AE824B53D}"/>
            </c:ext>
          </c:extLst>
        </c:ser>
        <c:ser>
          <c:idx val="1"/>
          <c:order val="1"/>
          <c:tx>
            <c:strRef>
              <c:f>'Budget 22-1'!$C$3</c:f>
              <c:strCache>
                <c:ptCount val="1"/>
              </c:strCache>
            </c:strRef>
          </c:tx>
          <c:spPr>
            <a:solidFill>
              <a:srgbClr val="FF0000">
                <a:alpha val="2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22-1'!$C$4:$C$87</c:f>
              <c:numCache>
                <c:formatCode>General</c:formatCode>
                <c:ptCount val="10"/>
                <c:pt idx="4">
                  <c:v>1.0280506040130417</c:v>
                </c:pt>
                <c:pt idx="5">
                  <c:v>1.152668519855137</c:v>
                </c:pt>
                <c:pt idx="6">
                  <c:v>1.3244188527626228</c:v>
                </c:pt>
                <c:pt idx="7">
                  <c:v>1.3567536646891973</c:v>
                </c:pt>
                <c:pt idx="8">
                  <c:v>1.3745790878384518</c:v>
                </c:pt>
                <c:pt idx="9">
                  <c:v>1.3845422471371762</c:v>
                </c:pt>
              </c:numCache>
            </c:numRef>
          </c:val>
          <c:extLst>
            <c:ext xmlns:c16="http://schemas.microsoft.com/office/drawing/2014/chart" uri="{C3380CC4-5D6E-409C-BE32-E72D297353CC}">
              <c16:uniqueId val="{00000001-3A39-401A-96AF-469AE824B53D}"/>
            </c:ext>
          </c:extLst>
        </c:ser>
        <c:ser>
          <c:idx val="2"/>
          <c:order val="2"/>
          <c:tx>
            <c:strRef>
              <c:f>'Budget 22-1'!$D$3</c:f>
              <c:strCache>
                <c:ptCount val="1"/>
              </c:strCache>
            </c:strRef>
          </c:tx>
          <c:spPr>
            <a:solidFill>
              <a:srgbClr val="FF0000">
                <a:alpha val="3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22-1'!$D$4:$D$87</c:f>
              <c:numCache>
                <c:formatCode>General</c:formatCode>
                <c:ptCount val="10"/>
                <c:pt idx="4">
                  <c:v>0.69362086184641036</c:v>
                </c:pt>
                <c:pt idx="5">
                  <c:v>0.77769997804018764</c:v>
                </c:pt>
                <c:pt idx="6">
                  <c:v>0.89357911226633391</c:v>
                </c:pt>
                <c:pt idx="7">
                  <c:v>0.91539525636333252</c:v>
                </c:pt>
                <c:pt idx="8">
                  <c:v>0.92742198473574611</c:v>
                </c:pt>
                <c:pt idx="9">
                  <c:v>0.93414408101438973</c:v>
                </c:pt>
              </c:numCache>
            </c:numRef>
          </c:val>
          <c:extLst>
            <c:ext xmlns:c16="http://schemas.microsoft.com/office/drawing/2014/chart" uri="{C3380CC4-5D6E-409C-BE32-E72D297353CC}">
              <c16:uniqueId val="{00000002-3A39-401A-96AF-469AE824B53D}"/>
            </c:ext>
          </c:extLst>
        </c:ser>
        <c:ser>
          <c:idx val="3"/>
          <c:order val="3"/>
          <c:tx>
            <c:strRef>
              <c:f>'Budget 22-1'!$E$3</c:f>
              <c:strCache>
                <c:ptCount val="1"/>
              </c:strCache>
            </c:strRef>
          </c:tx>
          <c:spPr>
            <a:solidFill>
              <a:srgbClr val="FF0000">
                <a:alpha val="4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22-1'!$E$4:$E$87</c:f>
              <c:numCache>
                <c:formatCode>General</c:formatCode>
                <c:ptCount val="10"/>
                <c:pt idx="4">
                  <c:v>0.55126787276674172</c:v>
                </c:pt>
                <c:pt idx="5">
                  <c:v>0.61809128895533405</c:v>
                </c:pt>
                <c:pt idx="6">
                  <c:v>0.71018835139496517</c:v>
                </c:pt>
                <c:pt idx="7">
                  <c:v>0.72752713113741407</c:v>
                </c:pt>
                <c:pt idx="8">
                  <c:v>0.73708559359276293</c:v>
                </c:pt>
                <c:pt idx="9">
                  <c:v>0.74242810262024328</c:v>
                </c:pt>
              </c:numCache>
            </c:numRef>
          </c:val>
          <c:extLst>
            <c:ext xmlns:c16="http://schemas.microsoft.com/office/drawing/2014/chart" uri="{C3380CC4-5D6E-409C-BE32-E72D297353CC}">
              <c16:uniqueId val="{00000003-3A39-401A-96AF-469AE824B53D}"/>
            </c:ext>
          </c:extLst>
        </c:ser>
        <c:ser>
          <c:idx val="4"/>
          <c:order val="4"/>
          <c:tx>
            <c:strRef>
              <c:f>'Budget 22-1'!$F$3</c:f>
              <c:strCache>
                <c:ptCount val="1"/>
              </c:strCache>
            </c:strRef>
          </c:tx>
          <c:spPr>
            <a:solidFill>
              <a:srgbClr val="FF0000">
                <a:alpha val="5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22-1'!$F$4:$F$87</c:f>
              <c:numCache>
                <c:formatCode>General</c:formatCode>
                <c:ptCount val="10"/>
                <c:pt idx="4">
                  <c:v>0.47293874901172828</c:v>
                </c:pt>
                <c:pt idx="5">
                  <c:v>0.53026729003174111</c:v>
                </c:pt>
                <c:pt idx="6">
                  <c:v>0.60927836912701139</c:v>
                </c:pt>
                <c:pt idx="7">
                  <c:v>0.62415349827180933</c:v>
                </c:pt>
                <c:pt idx="8">
                  <c:v>0.63235380795686424</c:v>
                </c:pt>
                <c:pt idx="9">
                  <c:v>0.63693720499641415</c:v>
                </c:pt>
              </c:numCache>
            </c:numRef>
          </c:val>
          <c:extLst>
            <c:ext xmlns:c16="http://schemas.microsoft.com/office/drawing/2014/chart" uri="{C3380CC4-5D6E-409C-BE32-E72D297353CC}">
              <c16:uniqueId val="{00000004-3A39-401A-96AF-469AE824B53D}"/>
            </c:ext>
          </c:extLst>
        </c:ser>
        <c:ser>
          <c:idx val="5"/>
          <c:order val="5"/>
          <c:tx>
            <c:strRef>
              <c:f>'Budget 22-1'!$G$3</c:f>
              <c:strCache>
                <c:ptCount val="1"/>
              </c:strCache>
            </c:strRef>
          </c:tx>
          <c:spPr>
            <a:solidFill>
              <a:srgbClr val="FF0000">
                <a:alpha val="6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22-1'!$G$4:$G$87</c:f>
              <c:numCache>
                <c:formatCode>General</c:formatCode>
                <c:ptCount val="10"/>
                <c:pt idx="4">
                  <c:v>0.42471361339905478</c:v>
                </c:pt>
                <c:pt idx="5">
                  <c:v>0.47619641504807042</c:v>
                </c:pt>
                <c:pt idx="6">
                  <c:v>0.54715080601567578</c:v>
                </c:pt>
                <c:pt idx="7">
                  <c:v>0.56050913172290606</c:v>
                </c:pt>
                <c:pt idx="8">
                  <c:v>0.5678732632613066</c:v>
                </c:pt>
                <c:pt idx="9">
                  <c:v>0.57198929545866584</c:v>
                </c:pt>
              </c:numCache>
            </c:numRef>
          </c:val>
          <c:extLst>
            <c:ext xmlns:c16="http://schemas.microsoft.com/office/drawing/2014/chart" uri="{C3380CC4-5D6E-409C-BE32-E72D297353CC}">
              <c16:uniqueId val="{00000005-3A39-401A-96AF-469AE824B53D}"/>
            </c:ext>
          </c:extLst>
        </c:ser>
        <c:ser>
          <c:idx val="6"/>
          <c:order val="6"/>
          <c:tx>
            <c:strRef>
              <c:f>'Budget 22-1'!$H$3</c:f>
              <c:strCache>
                <c:ptCount val="1"/>
              </c:strCache>
            </c:strRef>
          </c:tx>
          <c:spPr>
            <a:solidFill>
              <a:srgbClr val="FF0000">
                <a:alpha val="7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22-1'!$H$4:$H$87</c:f>
              <c:numCache>
                <c:formatCode>General</c:formatCode>
                <c:ptCount val="10"/>
                <c:pt idx="4">
                  <c:v>0.39356045779557114</c:v>
                </c:pt>
                <c:pt idx="5">
                  <c:v>0.44126694599459171</c:v>
                </c:pt>
                <c:pt idx="6">
                  <c:v>0.50701676354418979</c:v>
                </c:pt>
                <c:pt idx="7">
                  <c:v>0.51939524310042984</c:v>
                </c:pt>
                <c:pt idx="8">
                  <c:v>0.52621920844575065</c:v>
                </c:pt>
                <c:pt idx="9">
                  <c:v>0.53003332568802541</c:v>
                </c:pt>
              </c:numCache>
            </c:numRef>
          </c:val>
          <c:extLst>
            <c:ext xmlns:c16="http://schemas.microsoft.com/office/drawing/2014/chart" uri="{C3380CC4-5D6E-409C-BE32-E72D297353CC}">
              <c16:uniqueId val="{00000006-3A39-401A-96AF-469AE824B53D}"/>
            </c:ext>
          </c:extLst>
        </c:ser>
        <c:ser>
          <c:idx val="7"/>
          <c:order val="7"/>
          <c:tx>
            <c:strRef>
              <c:f>'Budget 22-1'!$I$3</c:f>
              <c:strCache>
                <c:ptCount val="1"/>
              </c:strCache>
            </c:strRef>
          </c:tx>
          <c:spPr>
            <a:solidFill>
              <a:srgbClr val="FF0000">
                <a:alpha val="8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22-1'!$I$4:$I$87</c:f>
              <c:numCache>
                <c:formatCode>General</c:formatCode>
                <c:ptCount val="10"/>
                <c:pt idx="4">
                  <c:v>0.37345038808691733</c:v>
                </c:pt>
                <c:pt idx="5">
                  <c:v>0.41871918016013687</c:v>
                </c:pt>
                <c:pt idx="6">
                  <c:v>0.48110932732603118</c:v>
                </c:pt>
                <c:pt idx="7">
                  <c:v>0.49285529393074512</c:v>
                </c:pt>
                <c:pt idx="8">
                  <c:v>0.49933056972642831</c:v>
                </c:pt>
                <c:pt idx="9">
                  <c:v>0.50294979400600859</c:v>
                </c:pt>
              </c:numCache>
            </c:numRef>
          </c:val>
          <c:extLst>
            <c:ext xmlns:c16="http://schemas.microsoft.com/office/drawing/2014/chart" uri="{C3380CC4-5D6E-409C-BE32-E72D297353CC}">
              <c16:uniqueId val="{00000007-3A39-401A-96AF-469AE824B53D}"/>
            </c:ext>
          </c:extLst>
        </c:ser>
        <c:ser>
          <c:idx val="8"/>
          <c:order val="8"/>
          <c:tx>
            <c:strRef>
              <c:f>'Budget 22-1'!$J$3</c:f>
              <c:strCache>
                <c:ptCount val="1"/>
              </c:strCache>
            </c:strRef>
          </c:tx>
          <c:spPr>
            <a:solidFill>
              <a:srgbClr val="FF0000">
                <a:alpha val="9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22-1'!$J$4:$J$87</c:f>
              <c:numCache>
                <c:formatCode>General</c:formatCode>
                <c:ptCount val="10"/>
                <c:pt idx="4">
                  <c:v>0.36131757238022288</c:v>
                </c:pt>
                <c:pt idx="5">
                  <c:v>0.40511565260252524</c:v>
                </c:pt>
                <c:pt idx="6">
                  <c:v>0.46547884202081491</c:v>
                </c:pt>
                <c:pt idx="7">
                  <c:v>0.4768432006458454</c:v>
                </c:pt>
                <c:pt idx="8">
                  <c:v>0.48310810491592449</c:v>
                </c:pt>
                <c:pt idx="9">
                  <c:v>0.486609746291359</c:v>
                </c:pt>
              </c:numCache>
            </c:numRef>
          </c:val>
          <c:extLst>
            <c:ext xmlns:c16="http://schemas.microsoft.com/office/drawing/2014/chart" uri="{C3380CC4-5D6E-409C-BE32-E72D297353CC}">
              <c16:uniqueId val="{00000008-3A39-401A-96AF-469AE824B53D}"/>
            </c:ext>
          </c:extLst>
        </c:ser>
        <c:ser>
          <c:idx val="9"/>
          <c:order val="9"/>
          <c:tx>
            <c:strRef>
              <c:f>'Budget 22-1'!$K$3</c:f>
              <c:strCache>
                <c:ptCount val="1"/>
              </c:strCache>
            </c:strRef>
          </c:tx>
          <c:spPr>
            <a:solidFill>
              <a:srgbClr val="FF0000"/>
            </a:solidFill>
            <a:ln>
              <a:solidFill>
                <a:srgbClr val="FF0000"/>
              </a:solidFill>
              <a:prstDash val="solid"/>
            </a:ln>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22-1'!$K$4:$K$87</c:f>
              <c:numCache>
                <c:formatCode>General</c:formatCode>
                <c:ptCount val="10"/>
                <c:pt idx="4">
                  <c:v>0.50852599670449017</c:v>
                </c:pt>
                <c:pt idx="5">
                  <c:v>0.59473335311941611</c:v>
                </c:pt>
                <c:pt idx="6">
                  <c:v>0.67114130823476614</c:v>
                </c:pt>
                <c:pt idx="7">
                  <c:v>0.69350967025982158</c:v>
                </c:pt>
                <c:pt idx="8">
                  <c:v>0.70584082341938625</c:v>
                </c:pt>
                <c:pt idx="9">
                  <c:v>0.71273307176810619</c:v>
                </c:pt>
              </c:numCache>
            </c:numRef>
          </c:val>
          <c:extLst>
            <c:ext xmlns:c16="http://schemas.microsoft.com/office/drawing/2014/chart" uri="{C3380CC4-5D6E-409C-BE32-E72D297353CC}">
              <c16:uniqueId val="{00000009-3A39-401A-96AF-469AE824B53D}"/>
            </c:ext>
          </c:extLst>
        </c:ser>
        <c:ser>
          <c:idx val="10"/>
          <c:order val="10"/>
          <c:tx>
            <c:strRef>
              <c:f>'Budget 22-1'!$L$3</c:f>
              <c:strCache>
                <c:ptCount val="1"/>
              </c:strCache>
            </c:strRef>
          </c:tx>
          <c:spPr>
            <a:solidFill>
              <a:srgbClr val="FF0000">
                <a:alpha val="9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22-1'!$L$4:$L$87</c:f>
              <c:numCache>
                <c:formatCode>General</c:formatCode>
                <c:ptCount val="10"/>
                <c:pt idx="4">
                  <c:v>0.15540079888240754</c:v>
                </c:pt>
                <c:pt idx="5">
                  <c:v>0.1991988791047099</c:v>
                </c:pt>
                <c:pt idx="6">
                  <c:v>0.21647458007662834</c:v>
                </c:pt>
                <c:pt idx="7">
                  <c:v>0.22783893870165528</c:v>
                </c:pt>
                <c:pt idx="8">
                  <c:v>0.23410384297173437</c:v>
                </c:pt>
                <c:pt idx="9">
                  <c:v>0.23760548434717066</c:v>
                </c:pt>
              </c:numCache>
            </c:numRef>
          </c:val>
          <c:extLst>
            <c:ext xmlns:c16="http://schemas.microsoft.com/office/drawing/2014/chart" uri="{C3380CC4-5D6E-409C-BE32-E72D297353CC}">
              <c16:uniqueId val="{0000000A-3A39-401A-96AF-469AE824B53D}"/>
            </c:ext>
          </c:extLst>
        </c:ser>
        <c:ser>
          <c:idx val="11"/>
          <c:order val="11"/>
          <c:tx>
            <c:strRef>
              <c:f>'Budget 22-1'!$M$3</c:f>
              <c:strCache>
                <c:ptCount val="1"/>
              </c:strCache>
            </c:strRef>
          </c:tx>
          <c:spPr>
            <a:solidFill>
              <a:srgbClr val="FF0000">
                <a:alpha val="8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22-1'!$M$4:$M$87</c:f>
              <c:numCache>
                <c:formatCode>General</c:formatCode>
                <c:ptCount val="10"/>
                <c:pt idx="4">
                  <c:v>0.16061905948648558</c:v>
                </c:pt>
                <c:pt idx="5">
                  <c:v>0.20588785155970335</c:v>
                </c:pt>
                <c:pt idx="6">
                  <c:v>0.22374365965100651</c:v>
                </c:pt>
                <c:pt idx="7">
                  <c:v>0.235489626255724</c:v>
                </c:pt>
                <c:pt idx="8">
                  <c:v>0.24196490205140719</c:v>
                </c:pt>
                <c:pt idx="9">
                  <c:v>0.2455841263309857</c:v>
                </c:pt>
              </c:numCache>
            </c:numRef>
          </c:val>
          <c:extLst>
            <c:ext xmlns:c16="http://schemas.microsoft.com/office/drawing/2014/chart" uri="{C3380CC4-5D6E-409C-BE32-E72D297353CC}">
              <c16:uniqueId val="{0000000B-3A39-401A-96AF-469AE824B53D}"/>
            </c:ext>
          </c:extLst>
        </c:ser>
        <c:ser>
          <c:idx val="12"/>
          <c:order val="12"/>
          <c:tx>
            <c:strRef>
              <c:f>'Budget 22-1'!$N$3</c:f>
              <c:strCache>
                <c:ptCount val="1"/>
              </c:strCache>
            </c:strRef>
          </c:tx>
          <c:spPr>
            <a:solidFill>
              <a:srgbClr val="FF0000">
                <a:alpha val="7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22-1'!$N$4:$N$87</c:f>
              <c:numCache>
                <c:formatCode>General</c:formatCode>
                <c:ptCount val="10"/>
                <c:pt idx="4">
                  <c:v>0.16926829533106158</c:v>
                </c:pt>
                <c:pt idx="5">
                  <c:v>0.21697478353008393</c:v>
                </c:pt>
                <c:pt idx="6">
                  <c:v>0.23579211571367154</c:v>
                </c:pt>
                <c:pt idx="7">
                  <c:v>0.24817059526991514</c:v>
                </c:pt>
                <c:pt idx="8">
                  <c:v>0.25499456061523418</c:v>
                </c:pt>
                <c:pt idx="9">
                  <c:v>0.25880867785750894</c:v>
                </c:pt>
              </c:numCache>
            </c:numRef>
          </c:val>
          <c:extLst>
            <c:ext xmlns:c16="http://schemas.microsoft.com/office/drawing/2014/chart" uri="{C3380CC4-5D6E-409C-BE32-E72D297353CC}">
              <c16:uniqueId val="{0000000C-3A39-401A-96AF-469AE824B53D}"/>
            </c:ext>
          </c:extLst>
        </c:ser>
        <c:ser>
          <c:idx val="13"/>
          <c:order val="13"/>
          <c:tx>
            <c:strRef>
              <c:f>'Budget 22-1'!$O$3</c:f>
              <c:strCache>
                <c:ptCount val="1"/>
              </c:strCache>
            </c:strRef>
          </c:tx>
          <c:spPr>
            <a:solidFill>
              <a:srgbClr val="FF0000">
                <a:alpha val="6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22-1'!$O$4:$O$87</c:f>
              <c:numCache>
                <c:formatCode>General</c:formatCode>
                <c:ptCount val="10"/>
                <c:pt idx="4">
                  <c:v>0.18266710468483005</c:v>
                </c:pt>
                <c:pt idx="5">
                  <c:v>0.23414990633384569</c:v>
                </c:pt>
                <c:pt idx="6">
                  <c:v>0.25445676640558546</c:v>
                </c:pt>
                <c:pt idx="7">
                  <c:v>0.26781509211280863</c:v>
                </c:pt>
                <c:pt idx="8">
                  <c:v>0.27517922365121095</c:v>
                </c:pt>
                <c:pt idx="9">
                  <c:v>0.27929525584857018</c:v>
                </c:pt>
              </c:numCache>
            </c:numRef>
          </c:val>
          <c:extLst>
            <c:ext xmlns:c16="http://schemas.microsoft.com/office/drawing/2014/chart" uri="{C3380CC4-5D6E-409C-BE32-E72D297353CC}">
              <c16:uniqueId val="{0000000D-3A39-401A-96AF-469AE824B53D}"/>
            </c:ext>
          </c:extLst>
        </c:ser>
        <c:ser>
          <c:idx val="14"/>
          <c:order val="14"/>
          <c:tx>
            <c:strRef>
              <c:f>'Budget 22-1'!$P$3</c:f>
              <c:strCache>
                <c:ptCount val="1"/>
              </c:strCache>
            </c:strRef>
          </c:tx>
          <c:spPr>
            <a:solidFill>
              <a:srgbClr val="FF0000">
                <a:alpha val="5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22-1'!$P$4:$P$87</c:f>
              <c:numCache>
                <c:formatCode>General</c:formatCode>
                <c:ptCount val="10"/>
                <c:pt idx="4">
                  <c:v>0.20340848338682171</c:v>
                </c:pt>
                <c:pt idx="5">
                  <c:v>0.26073702440683277</c:v>
                </c:pt>
                <c:pt idx="6">
                  <c:v>0.28334967607538175</c:v>
                </c:pt>
                <c:pt idx="7">
                  <c:v>0.29822480522017969</c:v>
                </c:pt>
                <c:pt idx="8">
                  <c:v>0.30642511490523816</c:v>
                </c:pt>
                <c:pt idx="9">
                  <c:v>0.31100851194478452</c:v>
                </c:pt>
              </c:numCache>
            </c:numRef>
          </c:val>
          <c:extLst>
            <c:ext xmlns:c16="http://schemas.microsoft.com/office/drawing/2014/chart" uri="{C3380CC4-5D6E-409C-BE32-E72D297353CC}">
              <c16:uniqueId val="{0000000E-3A39-401A-96AF-469AE824B53D}"/>
            </c:ext>
          </c:extLst>
        </c:ser>
        <c:ser>
          <c:idx val="15"/>
          <c:order val="15"/>
          <c:tx>
            <c:strRef>
              <c:f>'Budget 22-1'!$Q$3</c:f>
              <c:strCache>
                <c:ptCount val="1"/>
              </c:strCache>
            </c:strRef>
          </c:tx>
          <c:spPr>
            <a:solidFill>
              <a:srgbClr val="FF0000">
                <a:alpha val="4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22-1'!$Q$4:$Q$87</c:f>
              <c:numCache>
                <c:formatCode>General</c:formatCode>
                <c:ptCount val="10"/>
                <c:pt idx="4">
                  <c:v>0.23709743000267558</c:v>
                </c:pt>
                <c:pt idx="5">
                  <c:v>0.30392084619126969</c:v>
                </c:pt>
                <c:pt idx="6">
                  <c:v>0.33027865343160201</c:v>
                </c:pt>
                <c:pt idx="7">
                  <c:v>0.34761743317405447</c:v>
                </c:pt>
                <c:pt idx="8">
                  <c:v>0.35717589562939978</c:v>
                </c:pt>
                <c:pt idx="9">
                  <c:v>0.3625184046568819</c:v>
                </c:pt>
              </c:numCache>
            </c:numRef>
          </c:val>
          <c:extLst>
            <c:ext xmlns:c16="http://schemas.microsoft.com/office/drawing/2014/chart" uri="{C3380CC4-5D6E-409C-BE32-E72D297353CC}">
              <c16:uniqueId val="{0000000F-3A39-401A-96AF-469AE824B53D}"/>
            </c:ext>
          </c:extLst>
        </c:ser>
        <c:ser>
          <c:idx val="16"/>
          <c:order val="16"/>
          <c:tx>
            <c:strRef>
              <c:f>'Budget 22-1'!$R$3</c:f>
              <c:strCache>
                <c:ptCount val="1"/>
              </c:strCache>
            </c:strRef>
          </c:tx>
          <c:spPr>
            <a:solidFill>
              <a:srgbClr val="FF0000">
                <a:alpha val="3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22-1'!$R$4:$R$87</c:f>
              <c:numCache>
                <c:formatCode>General</c:formatCode>
                <c:ptCount val="10"/>
                <c:pt idx="4">
                  <c:v>0.29832270637257174</c:v>
                </c:pt>
                <c:pt idx="5">
                  <c:v>0.3824018225663508</c:v>
                </c:pt>
                <c:pt idx="6">
                  <c:v>0.41556596268332413</c:v>
                </c:pt>
                <c:pt idx="7">
                  <c:v>0.43738210678032274</c:v>
                </c:pt>
                <c:pt idx="8">
                  <c:v>0.44940883515273811</c:v>
                </c:pt>
                <c:pt idx="9">
                  <c:v>0.45613093143138173</c:v>
                </c:pt>
              </c:numCache>
            </c:numRef>
          </c:val>
          <c:extLst>
            <c:ext xmlns:c16="http://schemas.microsoft.com/office/drawing/2014/chart" uri="{C3380CC4-5D6E-409C-BE32-E72D297353CC}">
              <c16:uniqueId val="{00000010-3A39-401A-96AF-469AE824B53D}"/>
            </c:ext>
          </c:extLst>
        </c:ser>
        <c:ser>
          <c:idx val="17"/>
          <c:order val="17"/>
          <c:tx>
            <c:strRef>
              <c:f>'Budget 22-1'!$S$3</c:f>
              <c:strCache>
                <c:ptCount val="1"/>
              </c:strCache>
            </c:strRef>
          </c:tx>
          <c:spPr>
            <a:solidFill>
              <a:srgbClr val="FF0000">
                <a:alpha val="2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22-1'!$S$4:$S$87</c:f>
              <c:numCache>
                <c:formatCode>General</c:formatCode>
                <c:ptCount val="10"/>
                <c:pt idx="4">
                  <c:v>0.44215919005192816</c:v>
                </c:pt>
                <c:pt idx="5">
                  <c:v>0.56677710589402253</c:v>
                </c:pt>
                <c:pt idx="6">
                  <c:v>0.61593135737958349</c:v>
                </c:pt>
                <c:pt idx="7">
                  <c:v>0.64826616930615799</c:v>
                </c:pt>
                <c:pt idx="8">
                  <c:v>0.6660915924554125</c:v>
                </c:pt>
                <c:pt idx="9">
                  <c:v>0.67605475175413332</c:v>
                </c:pt>
              </c:numCache>
            </c:numRef>
          </c:val>
          <c:extLst>
            <c:ext xmlns:c16="http://schemas.microsoft.com/office/drawing/2014/chart" uri="{C3380CC4-5D6E-409C-BE32-E72D297353CC}">
              <c16:uniqueId val="{00000011-3A39-401A-96AF-469AE824B53D}"/>
            </c:ext>
          </c:extLst>
        </c:ser>
        <c:dLbls>
          <c:showLegendKey val="0"/>
          <c:showVal val="0"/>
          <c:showCatName val="0"/>
          <c:showSerName val="0"/>
          <c:showPercent val="0"/>
          <c:showBubbleSize val="0"/>
        </c:dLbls>
        <c:axId val="455201920"/>
        <c:axId val="455203456"/>
      </c:areaChart>
      <c:lineChart>
        <c:grouping val="standard"/>
        <c:varyColors val="0"/>
        <c:ser>
          <c:idx val="19"/>
          <c:order val="18"/>
          <c:tx>
            <c:strRef>
              <c:f>'Budget 22-1'!$U$3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22-1'!$U$4:$U$87</c:f>
              <c:numCache>
                <c:formatCode>General</c:formatCode>
                <c:ptCount val="10"/>
              </c:numCache>
            </c:numRef>
          </c:val>
          <c:smooth val="0"/>
          <c:extLst>
            <c:ext xmlns:c16="http://schemas.microsoft.com/office/drawing/2014/chart" uri="{C3380CC4-5D6E-409C-BE32-E72D297353CC}">
              <c16:uniqueId val="{00000012-3A39-401A-96AF-469AE824B53D}"/>
            </c:ext>
          </c:extLst>
        </c:ser>
        <c:ser>
          <c:idx val="20"/>
          <c:order val="19"/>
          <c:tx>
            <c:strRef>
              <c:f>'Budget 22-1'!$V$3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22-1'!$V$4:$V$87</c:f>
              <c:numCache>
                <c:formatCode>General</c:formatCode>
                <c:ptCount val="10"/>
              </c:numCache>
            </c:numRef>
          </c:val>
          <c:smooth val="0"/>
          <c:extLst>
            <c:ext xmlns:c16="http://schemas.microsoft.com/office/drawing/2014/chart" uri="{C3380CC4-5D6E-409C-BE32-E72D297353CC}">
              <c16:uniqueId val="{00000013-3A39-401A-96AF-469AE824B53D}"/>
            </c:ext>
          </c:extLst>
        </c:ser>
        <c:ser>
          <c:idx val="21"/>
          <c:order val="20"/>
          <c:tx>
            <c:strRef>
              <c:f>'Budget 22-1'!$W$3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22-1'!$W$4:$W$87</c:f>
              <c:numCache>
                <c:formatCode>General</c:formatCode>
                <c:ptCount val="10"/>
              </c:numCache>
            </c:numRef>
          </c:val>
          <c:smooth val="0"/>
          <c:extLst>
            <c:ext xmlns:c16="http://schemas.microsoft.com/office/drawing/2014/chart" uri="{C3380CC4-5D6E-409C-BE32-E72D297353CC}">
              <c16:uniqueId val="{00000014-3A39-401A-96AF-469AE824B53D}"/>
            </c:ext>
          </c:extLst>
        </c:ser>
        <c:ser>
          <c:idx val="22"/>
          <c:order val="21"/>
          <c:tx>
            <c:strRef>
              <c:f>'Budget 22-1'!$X$3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22-1'!$X$4:$X$87</c:f>
              <c:numCache>
                <c:formatCode>General</c:formatCode>
                <c:ptCount val="10"/>
              </c:numCache>
            </c:numRef>
          </c:val>
          <c:smooth val="0"/>
          <c:extLst>
            <c:ext xmlns:c16="http://schemas.microsoft.com/office/drawing/2014/chart" uri="{C3380CC4-5D6E-409C-BE32-E72D297353CC}">
              <c16:uniqueId val="{00000015-3A39-401A-96AF-469AE824B53D}"/>
            </c:ext>
          </c:extLst>
        </c:ser>
        <c:ser>
          <c:idx val="23"/>
          <c:order val="22"/>
          <c:tx>
            <c:strRef>
              <c:f>'Budget 22-1'!$Y$3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22-1'!$Y$4:$Y$87</c:f>
              <c:numCache>
                <c:formatCode>General</c:formatCode>
                <c:ptCount val="10"/>
              </c:numCache>
            </c:numRef>
          </c:val>
          <c:smooth val="0"/>
          <c:extLst>
            <c:ext xmlns:c16="http://schemas.microsoft.com/office/drawing/2014/chart" uri="{C3380CC4-5D6E-409C-BE32-E72D297353CC}">
              <c16:uniqueId val="{00000016-3A39-401A-96AF-469AE824B53D}"/>
            </c:ext>
          </c:extLst>
        </c:ser>
        <c:ser>
          <c:idx val="24"/>
          <c:order val="23"/>
          <c:tx>
            <c:strRef>
              <c:f>'Budget 22-1'!$Z$3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22-1'!$Z$4:$Z$87</c:f>
              <c:numCache>
                <c:formatCode>General</c:formatCode>
                <c:ptCount val="10"/>
              </c:numCache>
            </c:numRef>
          </c:val>
          <c:smooth val="0"/>
          <c:extLst>
            <c:ext xmlns:c16="http://schemas.microsoft.com/office/drawing/2014/chart" uri="{C3380CC4-5D6E-409C-BE32-E72D297353CC}">
              <c16:uniqueId val="{00000017-3A39-401A-96AF-469AE824B53D}"/>
            </c:ext>
          </c:extLst>
        </c:ser>
        <c:dLbls>
          <c:showLegendKey val="0"/>
          <c:showVal val="0"/>
          <c:showCatName val="0"/>
          <c:showSerName val="0"/>
          <c:showPercent val="0"/>
          <c:showBubbleSize val="0"/>
        </c:dLbls>
        <c:marker val="1"/>
        <c:smooth val="0"/>
        <c:axId val="455201920"/>
        <c:axId val="455203456"/>
      </c:lineChart>
      <c:catAx>
        <c:axId val="455201920"/>
        <c:scaling>
          <c:orientation val="minMax"/>
        </c:scaling>
        <c:delete val="0"/>
        <c:axPos val="b"/>
        <c:numFmt formatCode="General" sourceLinked="1"/>
        <c:majorTickMark val="out"/>
        <c:minorTickMark val="none"/>
        <c:tickLblPos val="nextTo"/>
        <c:crossAx val="455203456"/>
        <c:crosses val="autoZero"/>
        <c:auto val="1"/>
        <c:lblAlgn val="ctr"/>
        <c:lblOffset val="100"/>
        <c:noMultiLvlLbl val="0"/>
      </c:catAx>
      <c:valAx>
        <c:axId val="455203456"/>
        <c:scaling>
          <c:orientation val="minMax"/>
        </c:scaling>
        <c:delete val="0"/>
        <c:axPos val="l"/>
        <c:majorGridlines/>
        <c:numFmt formatCode="General" sourceLinked="1"/>
        <c:majorTickMark val="out"/>
        <c:minorTickMark val="none"/>
        <c:tickLblPos val="nextTo"/>
        <c:crossAx val="455201920"/>
        <c:crosses val="autoZero"/>
        <c:crossBetween val="between"/>
      </c:valAx>
    </c:plotArea>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31038709981612"/>
          <c:y val="7.4597024825874922E-2"/>
          <c:w val="0.79223505744416678"/>
          <c:h val="0.57827361283427725"/>
        </c:manualLayout>
      </c:layout>
      <c:lineChart>
        <c:grouping val="standard"/>
        <c:varyColors val="0"/>
        <c:ser>
          <c:idx val="0"/>
          <c:order val="0"/>
          <c:tx>
            <c:strRef>
              <c:f>Sheet1!$B$1</c:f>
              <c:strCache>
                <c:ptCount val="1"/>
                <c:pt idx="0">
                  <c:v>Հայաստան (2025թ.)</c:v>
                </c:pt>
              </c:strCache>
            </c:strRef>
          </c:tx>
          <c:spPr>
            <a:ln w="28575" cap="rnd">
              <a:solidFill>
                <a:schemeClr val="accent1"/>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Sheet1!$B$2:$B$707</c:f>
              <c:numCache>
                <c:formatCode>_(* #,##0_);_(* \(#,##0\);_(* "-"??_);_(@_)</c:formatCode>
                <c:ptCount val="706"/>
                <c:pt idx="0">
                  <c:v>349.47500000000002</c:v>
                </c:pt>
                <c:pt idx="1">
                  <c:v>352.94799999999998</c:v>
                </c:pt>
                <c:pt idx="2">
                  <c:v>360.71100000000001</c:v>
                </c:pt>
                <c:pt idx="3">
                  <c:v>346.64499999999998</c:v>
                </c:pt>
                <c:pt idx="4">
                  <c:v>333.41800000000001</c:v>
                </c:pt>
                <c:pt idx="5">
                  <c:v>327.08300000000003</c:v>
                </c:pt>
                <c:pt idx="6">
                  <c:v>328.05900000000003</c:v>
                </c:pt>
                <c:pt idx="7">
                  <c:v>327.00799999999998</c:v>
                </c:pt>
                <c:pt idx="8">
                  <c:v>328.87900000000002</c:v>
                </c:pt>
                <c:pt idx="9">
                  <c:v>327.29500000000002</c:v>
                </c:pt>
                <c:pt idx="10">
                  <c:v>323.40800000000002</c:v>
                </c:pt>
                <c:pt idx="11">
                  <c:v>317.42200000000003</c:v>
                </c:pt>
                <c:pt idx="12">
                  <c:v>312.34699999999998</c:v>
                </c:pt>
                <c:pt idx="13">
                  <c:v>284.11</c:v>
                </c:pt>
                <c:pt idx="14">
                  <c:v>288.69499999999999</c:v>
                </c:pt>
                <c:pt idx="15">
                  <c:v>285.29399999999998</c:v>
                </c:pt>
                <c:pt idx="16">
                  <c:v>284.07600000000002</c:v>
                </c:pt>
                <c:pt idx="17">
                  <c:v>279.541</c:v>
                </c:pt>
                <c:pt idx="18">
                  <c:v>280.17700000000002</c:v>
                </c:pt>
                <c:pt idx="19">
                  <c:v>285.596</c:v>
                </c:pt>
                <c:pt idx="20">
                  <c:v>292.20100000000002</c:v>
                </c:pt>
                <c:pt idx="21">
                  <c:v>295.45499999999998</c:v>
                </c:pt>
                <c:pt idx="22">
                  <c:v>291.26400000000001</c:v>
                </c:pt>
                <c:pt idx="23">
                  <c:v>284.47000000000003</c:v>
                </c:pt>
                <c:pt idx="24">
                  <c:v>281.05799999999999</c:v>
                </c:pt>
                <c:pt idx="25">
                  <c:v>272.69</c:v>
                </c:pt>
                <c:pt idx="26">
                  <c:v>274.69900000000001</c:v>
                </c:pt>
                <c:pt idx="27">
                  <c:v>274.39999999999998</c:v>
                </c:pt>
                <c:pt idx="28">
                  <c:v>277.911</c:v>
                </c:pt>
                <c:pt idx="29">
                  <c:v>277.22300000000001</c:v>
                </c:pt>
                <c:pt idx="30">
                  <c:v>271.29500000000002</c:v>
                </c:pt>
                <c:pt idx="31">
                  <c:v>264.51299999999998</c:v>
                </c:pt>
                <c:pt idx="32">
                  <c:v>269.43</c:v>
                </c:pt>
                <c:pt idx="33">
                  <c:v>268.61900000000003</c:v>
                </c:pt>
                <c:pt idx="34">
                  <c:v>268.214</c:v>
                </c:pt>
                <c:pt idx="35">
                  <c:v>268.15199999999999</c:v>
                </c:pt>
                <c:pt idx="36">
                  <c:v>265.80200000000002</c:v>
                </c:pt>
                <c:pt idx="37">
                  <c:v>266.00299999999999</c:v>
                </c:pt>
                <c:pt idx="38">
                  <c:v>267.53199999999998</c:v>
                </c:pt>
                <c:pt idx="39">
                  <c:v>265.25</c:v>
                </c:pt>
                <c:pt idx="40">
                  <c:v>267.57799999999997</c:v>
                </c:pt>
                <c:pt idx="41">
                  <c:v>257.74599999999998</c:v>
                </c:pt>
                <c:pt idx="42">
                  <c:v>251.11</c:v>
                </c:pt>
                <c:pt idx="43">
                  <c:v>250.22499999999999</c:v>
                </c:pt>
                <c:pt idx="44">
                  <c:v>251.34700000000001</c:v>
                </c:pt>
                <c:pt idx="45">
                  <c:v>253.07</c:v>
                </c:pt>
                <c:pt idx="46">
                  <c:v>253.52</c:v>
                </c:pt>
                <c:pt idx="47">
                  <c:v>255.77099999999999</c:v>
                </c:pt>
                <c:pt idx="48">
                  <c:v>254.97800000000001</c:v>
                </c:pt>
                <c:pt idx="49">
                  <c:v>253.73599999999999</c:v>
                </c:pt>
                <c:pt idx="50">
                  <c:v>255.499</c:v>
                </c:pt>
                <c:pt idx="51">
                  <c:v>254.63200000000001</c:v>
                </c:pt>
                <c:pt idx="52">
                  <c:v>255.214</c:v>
                </c:pt>
                <c:pt idx="53">
                  <c:v>256.41399999999999</c:v>
                </c:pt>
                <c:pt idx="54">
                  <c:v>254.30799999999999</c:v>
                </c:pt>
                <c:pt idx="55">
                  <c:v>257.048</c:v>
                </c:pt>
                <c:pt idx="56">
                  <c:v>262.00799999999998</c:v>
                </c:pt>
                <c:pt idx="57">
                  <c:v>255.96799999999999</c:v>
                </c:pt>
                <c:pt idx="58">
                  <c:v>264.55500000000001</c:v>
                </c:pt>
                <c:pt idx="59">
                  <c:v>269.7</c:v>
                </c:pt>
                <c:pt idx="60">
                  <c:v>268.01100000000002</c:v>
                </c:pt>
                <c:pt idx="61">
                  <c:v>273.04000000000002</c:v>
                </c:pt>
                <c:pt idx="62">
                  <c:v>270.59699999999998</c:v>
                </c:pt>
                <c:pt idx="63">
                  <c:v>261.90100000000001</c:v>
                </c:pt>
                <c:pt idx="64">
                  <c:v>251.36500000000001</c:v>
                </c:pt>
                <c:pt idx="65">
                  <c:v>255.54</c:v>
                </c:pt>
                <c:pt idx="66">
                  <c:v>253.035</c:v>
                </c:pt>
                <c:pt idx="67">
                  <c:v>253.166</c:v>
                </c:pt>
                <c:pt idx="68">
                  <c:v>254.38</c:v>
                </c:pt>
                <c:pt idx="69">
                  <c:v>251.375</c:v>
                </c:pt>
                <c:pt idx="70">
                  <c:v>252.429</c:v>
                </c:pt>
                <c:pt idx="71">
                  <c:v>257.97300000000001</c:v>
                </c:pt>
                <c:pt idx="72">
                  <c:v>255.78800000000001</c:v>
                </c:pt>
                <c:pt idx="73">
                  <c:v>249.745</c:v>
                </c:pt>
                <c:pt idx="74">
                  <c:v>247.036</c:v>
                </c:pt>
                <c:pt idx="75">
                  <c:v>244.05500000000001</c:v>
                </c:pt>
                <c:pt idx="76">
                  <c:v>242.33600000000001</c:v>
                </c:pt>
                <c:pt idx="77">
                  <c:v>247.244</c:v>
                </c:pt>
                <c:pt idx="78">
                  <c:v>247.244</c:v>
                </c:pt>
                <c:pt idx="79">
                  <c:v>245.321</c:v>
                </c:pt>
                <c:pt idx="80">
                  <c:v>246.20400000000001</c:v>
                </c:pt>
                <c:pt idx="81">
                  <c:v>250.18199999999999</c:v>
                </c:pt>
                <c:pt idx="82">
                  <c:v>248.32400000000001</c:v>
                </c:pt>
                <c:pt idx="83">
                  <c:v>252.935</c:v>
                </c:pt>
                <c:pt idx="84">
                  <c:v>248.447</c:v>
                </c:pt>
                <c:pt idx="85">
                  <c:v>249.13300000000001</c:v>
                </c:pt>
                <c:pt idx="86">
                  <c:v>245.702</c:v>
                </c:pt>
                <c:pt idx="87">
                  <c:v>240.01599999999999</c:v>
                </c:pt>
                <c:pt idx="88">
                  <c:v>240.239</c:v>
                </c:pt>
                <c:pt idx="89">
                  <c:v>243.018</c:v>
                </c:pt>
                <c:pt idx="90">
                  <c:v>246.096</c:v>
                </c:pt>
                <c:pt idx="91">
                  <c:v>240.44200000000001</c:v>
                </c:pt>
                <c:pt idx="92">
                  <c:v>246.167</c:v>
                </c:pt>
                <c:pt idx="93">
                  <c:v>239.13399999999999</c:v>
                </c:pt>
                <c:pt idx="94">
                  <c:v>250.78</c:v>
                </c:pt>
                <c:pt idx="95">
                  <c:v>245.28299999999999</c:v>
                </c:pt>
                <c:pt idx="96">
                  <c:v>248.61199999999999</c:v>
                </c:pt>
                <c:pt idx="97">
                  <c:v>240.10599999999999</c:v>
                </c:pt>
                <c:pt idx="98">
                  <c:v>240.28</c:v>
                </c:pt>
                <c:pt idx="99">
                  <c:v>236.18100000000001</c:v>
                </c:pt>
                <c:pt idx="100">
                  <c:v>233.351</c:v>
                </c:pt>
                <c:pt idx="101">
                  <c:v>236.441</c:v>
                </c:pt>
                <c:pt idx="102">
                  <c:v>244.11799999999999</c:v>
                </c:pt>
                <c:pt idx="103">
                  <c:v>242.44499999999999</c:v>
                </c:pt>
                <c:pt idx="104">
                  <c:v>245.92099999999999</c:v>
                </c:pt>
                <c:pt idx="105">
                  <c:v>245.84800000000001</c:v>
                </c:pt>
                <c:pt idx="106">
                  <c:v>245.02099999999999</c:v>
                </c:pt>
                <c:pt idx="107">
                  <c:v>246.56</c:v>
                </c:pt>
                <c:pt idx="108">
                  <c:v>257.137</c:v>
                </c:pt>
                <c:pt idx="109">
                  <c:v>269.28800000000001</c:v>
                </c:pt>
                <c:pt idx="110">
                  <c:v>258.68299999999999</c:v>
                </c:pt>
                <c:pt idx="111">
                  <c:v>255.99299999999999</c:v>
                </c:pt>
                <c:pt idx="112">
                  <c:v>254.43100000000001</c:v>
                </c:pt>
                <c:pt idx="113">
                  <c:v>253.54599999999999</c:v>
                </c:pt>
                <c:pt idx="114">
                  <c:v>248.25200000000001</c:v>
                </c:pt>
                <c:pt idx="115">
                  <c:v>249.374</c:v>
                </c:pt>
                <c:pt idx="116">
                  <c:v>255.46600000000001</c:v>
                </c:pt>
                <c:pt idx="117">
                  <c:v>259.90199999999999</c:v>
                </c:pt>
                <c:pt idx="118">
                  <c:v>259.697</c:v>
                </c:pt>
                <c:pt idx="119">
                  <c:v>249.31100000000001</c:v>
                </c:pt>
                <c:pt idx="120">
                  <c:v>246.73099999999999</c:v>
                </c:pt>
                <c:pt idx="121">
                  <c:v>249.767</c:v>
                </c:pt>
                <c:pt idx="122">
                  <c:v>234.29499999999999</c:v>
                </c:pt>
                <c:pt idx="123">
                  <c:v>243.559</c:v>
                </c:pt>
                <c:pt idx="124">
                  <c:v>242.59200000000001</c:v>
                </c:pt>
                <c:pt idx="125">
                  <c:v>242.964</c:v>
                </c:pt>
                <c:pt idx="126">
                  <c:v>232.833</c:v>
                </c:pt>
                <c:pt idx="127">
                  <c:v>234.86500000000001</c:v>
                </c:pt>
                <c:pt idx="128">
                  <c:v>231.083</c:v>
                </c:pt>
                <c:pt idx="129">
                  <c:v>221.816</c:v>
                </c:pt>
                <c:pt idx="130">
                  <c:v>227.14</c:v>
                </c:pt>
                <c:pt idx="131">
                  <c:v>227.93799999999999</c:v>
                </c:pt>
                <c:pt idx="132">
                  <c:v>229.422</c:v>
                </c:pt>
                <c:pt idx="133">
                  <c:v>221.08600000000001</c:v>
                </c:pt>
                <c:pt idx="134">
                  <c:v>221.709</c:v>
                </c:pt>
                <c:pt idx="135">
                  <c:v>218.86500000000001</c:v>
                </c:pt>
                <c:pt idx="136">
                  <c:v>218.95400000000001</c:v>
                </c:pt>
                <c:pt idx="137">
                  <c:v>212.48599999999999</c:v>
                </c:pt>
                <c:pt idx="138">
                  <c:v>215.98699999999999</c:v>
                </c:pt>
                <c:pt idx="139">
                  <c:v>218.90700000000001</c:v>
                </c:pt>
                <c:pt idx="140">
                  <c:v>217.34800000000001</c:v>
                </c:pt>
                <c:pt idx="141">
                  <c:v>221.732</c:v>
                </c:pt>
                <c:pt idx="142">
                  <c:v>223.006</c:v>
                </c:pt>
                <c:pt idx="143">
                  <c:v>218.78</c:v>
                </c:pt>
                <c:pt idx="144">
                  <c:v>216.58699999999999</c:v>
                </c:pt>
                <c:pt idx="145">
                  <c:v>213.65600000000001</c:v>
                </c:pt>
                <c:pt idx="146">
                  <c:v>215.03200000000001</c:v>
                </c:pt>
                <c:pt idx="147">
                  <c:v>211.107</c:v>
                </c:pt>
                <c:pt idx="148">
                  <c:v>211.27500000000001</c:v>
                </c:pt>
                <c:pt idx="149">
                  <c:v>212.96600000000001</c:v>
                </c:pt>
                <c:pt idx="150">
                  <c:v>214.77099999999999</c:v>
                </c:pt>
                <c:pt idx="151">
                  <c:v>217.23500000000001</c:v>
                </c:pt>
                <c:pt idx="152">
                  <c:v>235.572</c:v>
                </c:pt>
                <c:pt idx="153">
                  <c:v>237.85</c:v>
                </c:pt>
                <c:pt idx="154">
                  <c:v>261.81799999999998</c:v>
                </c:pt>
                <c:pt idx="155">
                  <c:v>260.96800000000002</c:v>
                </c:pt>
                <c:pt idx="156">
                  <c:v>258.53100000000001</c:v>
                </c:pt>
                <c:pt idx="157">
                  <c:v>254.566</c:v>
                </c:pt>
                <c:pt idx="158">
                  <c:v>249.92</c:v>
                </c:pt>
                <c:pt idx="159">
                  <c:v>259.60300000000001</c:v>
                </c:pt>
                <c:pt idx="160">
                  <c:v>252.15199999999999</c:v>
                </c:pt>
                <c:pt idx="161">
                  <c:v>262.06200000000001</c:v>
                </c:pt>
                <c:pt idx="162">
                  <c:v>270.98099999999999</c:v>
                </c:pt>
                <c:pt idx="163">
                  <c:v>267.11700000000002</c:v>
                </c:pt>
                <c:pt idx="164">
                  <c:v>267.70999999999998</c:v>
                </c:pt>
                <c:pt idx="165">
                  <c:v>269.221</c:v>
                </c:pt>
                <c:pt idx="166">
                  <c:v>264.26900000000001</c:v>
                </c:pt>
                <c:pt idx="167">
                  <c:v>260.98899999999998</c:v>
                </c:pt>
                <c:pt idx="168">
                  <c:v>268.72399999999999</c:v>
                </c:pt>
                <c:pt idx="169">
                  <c:v>269.28500000000003</c:v>
                </c:pt>
                <c:pt idx="170">
                  <c:v>272.11900000000003</c:v>
                </c:pt>
                <c:pt idx="171">
                  <c:v>271.85899999999998</c:v>
                </c:pt>
                <c:pt idx="172">
                  <c:v>272.75400000000002</c:v>
                </c:pt>
                <c:pt idx="173">
                  <c:v>269</c:v>
                </c:pt>
                <c:pt idx="174">
                  <c:v>270.40600000000001</c:v>
                </c:pt>
                <c:pt idx="175">
                  <c:v>274.291</c:v>
                </c:pt>
                <c:pt idx="176">
                  <c:v>273.41199999999998</c:v>
                </c:pt>
                <c:pt idx="177">
                  <c:v>261.69499999999999</c:v>
                </c:pt>
                <c:pt idx="178">
                  <c:v>259.91699999999997</c:v>
                </c:pt>
                <c:pt idx="179">
                  <c:v>253.935</c:v>
                </c:pt>
                <c:pt idx="180">
                  <c:v>245.29900000000001</c:v>
                </c:pt>
                <c:pt idx="181">
                  <c:v>245.154</c:v>
                </c:pt>
                <c:pt idx="182">
                  <c:v>239.91399999999999</c:v>
                </c:pt>
                <c:pt idx="183">
                  <c:v>231.126</c:v>
                </c:pt>
                <c:pt idx="184">
                  <c:v>232.76499999999999</c:v>
                </c:pt>
                <c:pt idx="185">
                  <c:v>236.17599999999999</c:v>
                </c:pt>
                <c:pt idx="186">
                  <c:v>236.648</c:v>
                </c:pt>
                <c:pt idx="187">
                  <c:v>231.07400000000001</c:v>
                </c:pt>
                <c:pt idx="188">
                  <c:v>224.596</c:v>
                </c:pt>
                <c:pt idx="189">
                  <c:v>222.35499999999999</c:v>
                </c:pt>
                <c:pt idx="190">
                  <c:v>222.495</c:v>
                </c:pt>
                <c:pt idx="191">
                  <c:v>222.083</c:v>
                </c:pt>
                <c:pt idx="192">
                  <c:v>220.89</c:v>
                </c:pt>
                <c:pt idx="193">
                  <c:v>222.84399999999999</c:v>
                </c:pt>
                <c:pt idx="194">
                  <c:v>223.047</c:v>
                </c:pt>
                <c:pt idx="195">
                  <c:v>232.994</c:v>
                </c:pt>
                <c:pt idx="196">
                  <c:v>237.73699999999999</c:v>
                </c:pt>
                <c:pt idx="197">
                  <c:v>246.542</c:v>
                </c:pt>
                <c:pt idx="198">
                  <c:v>242.08699999999999</c:v>
                </c:pt>
                <c:pt idx="199">
                  <c:v>238.92099999999999</c:v>
                </c:pt>
                <c:pt idx="200">
                  <c:v>243.477</c:v>
                </c:pt>
                <c:pt idx="201">
                  <c:v>240.05699999999999</c:v>
                </c:pt>
                <c:pt idx="202">
                  <c:v>232.08099999999999</c:v>
                </c:pt>
                <c:pt idx="203">
                  <c:v>223.55099999999999</c:v>
                </c:pt>
                <c:pt idx="204">
                  <c:v>224.25299999999999</c:v>
                </c:pt>
                <c:pt idx="205">
                  <c:v>215.035</c:v>
                </c:pt>
                <c:pt idx="206">
                  <c:v>218.43299999999999</c:v>
                </c:pt>
                <c:pt idx="207">
                  <c:v>217.41399999999999</c:v>
                </c:pt>
                <c:pt idx="208">
                  <c:v>216.53299999999999</c:v>
                </c:pt>
                <c:pt idx="209">
                  <c:v>213.95699999999999</c:v>
                </c:pt>
                <c:pt idx="210">
                  <c:v>217.804</c:v>
                </c:pt>
                <c:pt idx="211">
                  <c:v>214.989</c:v>
                </c:pt>
                <c:pt idx="212">
                  <c:v>215.54300000000001</c:v>
                </c:pt>
                <c:pt idx="213">
                  <c:v>211.44900000000001</c:v>
                </c:pt>
                <c:pt idx="214">
                  <c:v>210.78299999999999</c:v>
                </c:pt>
                <c:pt idx="215">
                  <c:v>208.096</c:v>
                </c:pt>
                <c:pt idx="216">
                  <c:v>213.52600000000001</c:v>
                </c:pt>
                <c:pt idx="217">
                  <c:v>221.202</c:v>
                </c:pt>
                <c:pt idx="218">
                  <c:v>217.607</c:v>
                </c:pt>
                <c:pt idx="219">
                  <c:v>211.15299999999999</c:v>
                </c:pt>
                <c:pt idx="220">
                  <c:v>205.03299999999999</c:v>
                </c:pt>
                <c:pt idx="221">
                  <c:v>210.34299999999999</c:v>
                </c:pt>
                <c:pt idx="222">
                  <c:v>199.965</c:v>
                </c:pt>
                <c:pt idx="223">
                  <c:v>197.458</c:v>
                </c:pt>
                <c:pt idx="224">
                  <c:v>202.96600000000001</c:v>
                </c:pt>
                <c:pt idx="225">
                  <c:v>206.67400000000001</c:v>
                </c:pt>
                <c:pt idx="226">
                  <c:v>207.553</c:v>
                </c:pt>
                <c:pt idx="227">
                  <c:v>206.90100000000001</c:v>
                </c:pt>
                <c:pt idx="228">
                  <c:v>204.25800000000001</c:v>
                </c:pt>
                <c:pt idx="229">
                  <c:v>205.42099999999999</c:v>
                </c:pt>
                <c:pt idx="230">
                  <c:v>209.19200000000001</c:v>
                </c:pt>
                <c:pt idx="231">
                  <c:v>212.11</c:v>
                </c:pt>
                <c:pt idx="232">
                  <c:v>209.578</c:v>
                </c:pt>
                <c:pt idx="233">
                  <c:v>209.81899999999999</c:v>
                </c:pt>
                <c:pt idx="234">
                  <c:v>208.119</c:v>
                </c:pt>
                <c:pt idx="235">
                  <c:v>208.64400000000001</c:v>
                </c:pt>
                <c:pt idx="236">
                  <c:v>203.96100000000001</c:v>
                </c:pt>
                <c:pt idx="237">
                  <c:v>208.065</c:v>
                </c:pt>
                <c:pt idx="238">
                  <c:v>202.946</c:v>
                </c:pt>
                <c:pt idx="239">
                  <c:v>203.149</c:v>
                </c:pt>
                <c:pt idx="240">
                  <c:v>211.66900000000001</c:v>
                </c:pt>
                <c:pt idx="241">
                  <c:v>204.584</c:v>
                </c:pt>
                <c:pt idx="242">
                  <c:v>200.703</c:v>
                </c:pt>
                <c:pt idx="243">
                  <c:v>196.38300000000001</c:v>
                </c:pt>
                <c:pt idx="244">
                  <c:v>195.553</c:v>
                </c:pt>
                <c:pt idx="245">
                  <c:v>195.113</c:v>
                </c:pt>
                <c:pt idx="246">
                  <c:v>198.83199999999999</c:v>
                </c:pt>
                <c:pt idx="247">
                  <c:v>186.376</c:v>
                </c:pt>
                <c:pt idx="248">
                  <c:v>194.458</c:v>
                </c:pt>
                <c:pt idx="249">
                  <c:v>187.04599999999999</c:v>
                </c:pt>
                <c:pt idx="250">
                  <c:v>180.46600000000001</c:v>
                </c:pt>
                <c:pt idx="251">
                  <c:v>180.203</c:v>
                </c:pt>
                <c:pt idx="252">
                  <c:v>177.66200000000001</c:v>
                </c:pt>
                <c:pt idx="253">
                  <c:v>176.982</c:v>
                </c:pt>
                <c:pt idx="254">
                  <c:v>172.048</c:v>
                </c:pt>
                <c:pt idx="255">
                  <c:v>173.309</c:v>
                </c:pt>
                <c:pt idx="256">
                  <c:v>173.309</c:v>
                </c:pt>
                <c:pt idx="257">
                  <c:v>173.309</c:v>
                </c:pt>
                <c:pt idx="258">
                  <c:v>175.804</c:v>
                </c:pt>
                <c:pt idx="259">
                  <c:v>173.416</c:v>
                </c:pt>
                <c:pt idx="260">
                  <c:v>169.86699999999999</c:v>
                </c:pt>
                <c:pt idx="261">
                  <c:v>169.86699999999999</c:v>
                </c:pt>
                <c:pt idx="262">
                  <c:v>174.434</c:v>
                </c:pt>
                <c:pt idx="263">
                  <c:v>182.50399999999999</c:v>
                </c:pt>
                <c:pt idx="264">
                  <c:v>184.16300000000001</c:v>
                </c:pt>
                <c:pt idx="265">
                  <c:v>184.577</c:v>
                </c:pt>
                <c:pt idx="266">
                  <c:v>168.9</c:v>
                </c:pt>
                <c:pt idx="267">
                  <c:v>169.214</c:v>
                </c:pt>
                <c:pt idx="268">
                  <c:v>162.48500000000001</c:v>
                </c:pt>
                <c:pt idx="269">
                  <c:v>162.989</c:v>
                </c:pt>
                <c:pt idx="270">
                  <c:v>160.15899999999999</c:v>
                </c:pt>
                <c:pt idx="271">
                  <c:v>159.863</c:v>
                </c:pt>
                <c:pt idx="272">
                  <c:v>157.845</c:v>
                </c:pt>
                <c:pt idx="273">
                  <c:v>157.14400000000001</c:v>
                </c:pt>
                <c:pt idx="274">
                  <c:v>158.321</c:v>
                </c:pt>
                <c:pt idx="275">
                  <c:v>162.48099999999999</c:v>
                </c:pt>
                <c:pt idx="276">
                  <c:v>162.316</c:v>
                </c:pt>
                <c:pt idx="277">
                  <c:v>165.07400000000001</c:v>
                </c:pt>
                <c:pt idx="278">
                  <c:v>171.49799999999999</c:v>
                </c:pt>
                <c:pt idx="279">
                  <c:v>182.94900000000001</c:v>
                </c:pt>
                <c:pt idx="280">
                  <c:v>176.92500000000001</c:v>
                </c:pt>
                <c:pt idx="281">
                  <c:v>184.255</c:v>
                </c:pt>
                <c:pt idx="282">
                  <c:v>182.691</c:v>
                </c:pt>
                <c:pt idx="283">
                  <c:v>184.55799999999999</c:v>
                </c:pt>
                <c:pt idx="284">
                  <c:v>181.03100000000001</c:v>
                </c:pt>
                <c:pt idx="285">
                  <c:v>179.30199999999999</c:v>
                </c:pt>
                <c:pt idx="286">
                  <c:v>174.99600000000001</c:v>
                </c:pt>
                <c:pt idx="287">
                  <c:v>170.898</c:v>
                </c:pt>
                <c:pt idx="288">
                  <c:v>175.524</c:v>
                </c:pt>
                <c:pt idx="289">
                  <c:v>178.398</c:v>
                </c:pt>
                <c:pt idx="290">
                  <c:v>176.398</c:v>
                </c:pt>
                <c:pt idx="291">
                  <c:v>172.804</c:v>
                </c:pt>
                <c:pt idx="292">
                  <c:v>173.983</c:v>
                </c:pt>
                <c:pt idx="293">
                  <c:v>175.00700000000001</c:v>
                </c:pt>
                <c:pt idx="294">
                  <c:v>174.857</c:v>
                </c:pt>
                <c:pt idx="295">
                  <c:v>175.053</c:v>
                </c:pt>
                <c:pt idx="296">
                  <c:v>172.994</c:v>
                </c:pt>
                <c:pt idx="297">
                  <c:v>173.55199999999999</c:v>
                </c:pt>
                <c:pt idx="298">
                  <c:v>174.70699999999999</c:v>
                </c:pt>
                <c:pt idx="299">
                  <c:v>187.22800000000001</c:v>
                </c:pt>
                <c:pt idx="300">
                  <c:v>191.56</c:v>
                </c:pt>
                <c:pt idx="301">
                  <c:v>198.17</c:v>
                </c:pt>
                <c:pt idx="302">
                  <c:v>214.40199999999999</c:v>
                </c:pt>
                <c:pt idx="303">
                  <c:v>233.96299999999999</c:v>
                </c:pt>
                <c:pt idx="304">
                  <c:v>219.74199999999999</c:v>
                </c:pt>
                <c:pt idx="305">
                  <c:v>233.23</c:v>
                </c:pt>
                <c:pt idx="306">
                  <c:v>233.70500000000001</c:v>
                </c:pt>
                <c:pt idx="307">
                  <c:v>234.01</c:v>
                </c:pt>
                <c:pt idx="308">
                  <c:v>237.929</c:v>
                </c:pt>
                <c:pt idx="309">
                  <c:v>328.05599999999998</c:v>
                </c:pt>
                <c:pt idx="310">
                  <c:v>322.47800000000001</c:v>
                </c:pt>
                <c:pt idx="311">
                  <c:v>334.92399999999998</c:v>
                </c:pt>
                <c:pt idx="312">
                  <c:v>405.69</c:v>
                </c:pt>
                <c:pt idx="313">
                  <c:v>392.029</c:v>
                </c:pt>
                <c:pt idx="314">
                  <c:v>415.37400000000002</c:v>
                </c:pt>
                <c:pt idx="315">
                  <c:v>430.666</c:v>
                </c:pt>
                <c:pt idx="316">
                  <c:v>535.89300000000003</c:v>
                </c:pt>
                <c:pt idx="317">
                  <c:v>571.58299999999997</c:v>
                </c:pt>
                <c:pt idx="318">
                  <c:v>617.51900000000001</c:v>
                </c:pt>
                <c:pt idx="319">
                  <c:v>662.09799999999996</c:v>
                </c:pt>
                <c:pt idx="320">
                  <c:v>644.15200000000004</c:v>
                </c:pt>
                <c:pt idx="321">
                  <c:v>621.154</c:v>
                </c:pt>
                <c:pt idx="322">
                  <c:v>589.59799999999996</c:v>
                </c:pt>
                <c:pt idx="323">
                  <c:v>593.14700000000005</c:v>
                </c:pt>
                <c:pt idx="324">
                  <c:v>601.90599999999995</c:v>
                </c:pt>
                <c:pt idx="325">
                  <c:v>596.14099999999996</c:v>
                </c:pt>
                <c:pt idx="326">
                  <c:v>600.46900000000005</c:v>
                </c:pt>
                <c:pt idx="327">
                  <c:v>595.53200000000004</c:v>
                </c:pt>
                <c:pt idx="328">
                  <c:v>567.79999999999995</c:v>
                </c:pt>
                <c:pt idx="329">
                  <c:v>555.20399999999995</c:v>
                </c:pt>
                <c:pt idx="330">
                  <c:v>555.25300000000004</c:v>
                </c:pt>
                <c:pt idx="331">
                  <c:v>562.673</c:v>
                </c:pt>
                <c:pt idx="332">
                  <c:v>537.58699999999999</c:v>
                </c:pt>
                <c:pt idx="333">
                  <c:v>537.58699999999999</c:v>
                </c:pt>
                <c:pt idx="334">
                  <c:v>537.58699999999999</c:v>
                </c:pt>
                <c:pt idx="335">
                  <c:v>543.88499999999999</c:v>
                </c:pt>
                <c:pt idx="336">
                  <c:v>531.19200000000001</c:v>
                </c:pt>
                <c:pt idx="337">
                  <c:v>534.67200000000003</c:v>
                </c:pt>
                <c:pt idx="338">
                  <c:v>509.017</c:v>
                </c:pt>
                <c:pt idx="339">
                  <c:v>510.82600000000002</c:v>
                </c:pt>
                <c:pt idx="340">
                  <c:v>517.87800000000004</c:v>
                </c:pt>
                <c:pt idx="341">
                  <c:v>516.16099999999994</c:v>
                </c:pt>
                <c:pt idx="342">
                  <c:v>517.26900000000001</c:v>
                </c:pt>
                <c:pt idx="343">
                  <c:v>518.58299999999997</c:v>
                </c:pt>
                <c:pt idx="344">
                  <c:v>517.82799999999997</c:v>
                </c:pt>
                <c:pt idx="345">
                  <c:v>521.07899999999995</c:v>
                </c:pt>
                <c:pt idx="346">
                  <c:v>522.14599999999996</c:v>
                </c:pt>
                <c:pt idx="347">
                  <c:v>514.21400000000006</c:v>
                </c:pt>
                <c:pt idx="348">
                  <c:v>514.01499999999999</c:v>
                </c:pt>
                <c:pt idx="349">
                  <c:v>511.54</c:v>
                </c:pt>
                <c:pt idx="350">
                  <c:v>477.85899999999998</c:v>
                </c:pt>
                <c:pt idx="351">
                  <c:v>471.73399999999998</c:v>
                </c:pt>
                <c:pt idx="352">
                  <c:v>488.00200000000001</c:v>
                </c:pt>
                <c:pt idx="353">
                  <c:v>471.86599999999999</c:v>
                </c:pt>
                <c:pt idx="354">
                  <c:v>435.41899999999998</c:v>
                </c:pt>
                <c:pt idx="355">
                  <c:v>430.75599999999997</c:v>
                </c:pt>
                <c:pt idx="356">
                  <c:v>448.69499999999999</c:v>
                </c:pt>
                <c:pt idx="357">
                  <c:v>367.43</c:v>
                </c:pt>
                <c:pt idx="358">
                  <c:v>355.36399999999998</c:v>
                </c:pt>
                <c:pt idx="359">
                  <c:v>340.87299999999999</c:v>
                </c:pt>
                <c:pt idx="360">
                  <c:v>342.54199999999997</c:v>
                </c:pt>
                <c:pt idx="361">
                  <c:v>332.505</c:v>
                </c:pt>
                <c:pt idx="362">
                  <c:v>333.39299999999997</c:v>
                </c:pt>
                <c:pt idx="363">
                  <c:v>346.08199999999999</c:v>
                </c:pt>
                <c:pt idx="364">
                  <c:v>346.08199999999999</c:v>
                </c:pt>
                <c:pt idx="365">
                  <c:v>329.6</c:v>
                </c:pt>
                <c:pt idx="366">
                  <c:v>330.06200000000001</c:v>
                </c:pt>
                <c:pt idx="367">
                  <c:v>333.80099999999999</c:v>
                </c:pt>
                <c:pt idx="368">
                  <c:v>336.66199999999998</c:v>
                </c:pt>
                <c:pt idx="369">
                  <c:v>334.66899999999998</c:v>
                </c:pt>
                <c:pt idx="370">
                  <c:v>334.40600000000001</c:v>
                </c:pt>
                <c:pt idx="371">
                  <c:v>327.88</c:v>
                </c:pt>
                <c:pt idx="372">
                  <c:v>321.846</c:v>
                </c:pt>
                <c:pt idx="373">
                  <c:v>318.69</c:v>
                </c:pt>
                <c:pt idx="374">
                  <c:v>323.23599999999999</c:v>
                </c:pt>
                <c:pt idx="375">
                  <c:v>323.73399999999998</c:v>
                </c:pt>
                <c:pt idx="376">
                  <c:v>337.99200000000002</c:v>
                </c:pt>
                <c:pt idx="377">
                  <c:v>347.49099999999999</c:v>
                </c:pt>
                <c:pt idx="378">
                  <c:v>344.23200000000003</c:v>
                </c:pt>
                <c:pt idx="379">
                  <c:v>382.98599999999999</c:v>
                </c:pt>
                <c:pt idx="380">
                  <c:v>379.1</c:v>
                </c:pt>
                <c:pt idx="381">
                  <c:v>381.64299999999997</c:v>
                </c:pt>
                <c:pt idx="382">
                  <c:v>380.93799999999999</c:v>
                </c:pt>
                <c:pt idx="383">
                  <c:v>382.47399999999999</c:v>
                </c:pt>
                <c:pt idx="384">
                  <c:v>380.363</c:v>
                </c:pt>
                <c:pt idx="385">
                  <c:v>383.76100000000002</c:v>
                </c:pt>
                <c:pt idx="386">
                  <c:v>384.87200000000001</c:v>
                </c:pt>
                <c:pt idx="387">
                  <c:v>392.12</c:v>
                </c:pt>
                <c:pt idx="388">
                  <c:v>391.44200000000001</c:v>
                </c:pt>
                <c:pt idx="389">
                  <c:v>392.41399999999999</c:v>
                </c:pt>
                <c:pt idx="390">
                  <c:v>388.73099999999999</c:v>
                </c:pt>
                <c:pt idx="391">
                  <c:v>390.685</c:v>
                </c:pt>
                <c:pt idx="392">
                  <c:v>355.42399999999998</c:v>
                </c:pt>
                <c:pt idx="393">
                  <c:v>357.05</c:v>
                </c:pt>
                <c:pt idx="394">
                  <c:v>348.74599999999998</c:v>
                </c:pt>
                <c:pt idx="395">
                  <c:v>349.2</c:v>
                </c:pt>
                <c:pt idx="396">
                  <c:v>348.66899999999998</c:v>
                </c:pt>
                <c:pt idx="397">
                  <c:v>347.697</c:v>
                </c:pt>
                <c:pt idx="398">
                  <c:v>348.19200000000001</c:v>
                </c:pt>
                <c:pt idx="399">
                  <c:v>349.45699999999999</c:v>
                </c:pt>
                <c:pt idx="400">
                  <c:v>358.483</c:v>
                </c:pt>
                <c:pt idx="401">
                  <c:v>357.94200000000001</c:v>
                </c:pt>
                <c:pt idx="402">
                  <c:v>353.91699999999997</c:v>
                </c:pt>
                <c:pt idx="403">
                  <c:v>365.762</c:v>
                </c:pt>
                <c:pt idx="404">
                  <c:v>364.92399999999998</c:v>
                </c:pt>
                <c:pt idx="405">
                  <c:v>364.66399999999999</c:v>
                </c:pt>
                <c:pt idx="406">
                  <c:v>359.858</c:v>
                </c:pt>
                <c:pt idx="407">
                  <c:v>352.33300000000003</c:v>
                </c:pt>
                <c:pt idx="408">
                  <c:v>353.61099999999999</c:v>
                </c:pt>
                <c:pt idx="409">
                  <c:v>346.98700000000002</c:v>
                </c:pt>
                <c:pt idx="410">
                  <c:v>351.40600000000001</c:v>
                </c:pt>
                <c:pt idx="411">
                  <c:v>352.46899999999999</c:v>
                </c:pt>
                <c:pt idx="412">
                  <c:v>354.08699999999999</c:v>
                </c:pt>
                <c:pt idx="413">
                  <c:v>354.89699999999999</c:v>
                </c:pt>
                <c:pt idx="414">
                  <c:v>350.28100000000001</c:v>
                </c:pt>
                <c:pt idx="415">
                  <c:v>347.12</c:v>
                </c:pt>
                <c:pt idx="416">
                  <c:v>342.18799999999999</c:v>
                </c:pt>
                <c:pt idx="417">
                  <c:v>333.137</c:v>
                </c:pt>
                <c:pt idx="418">
                  <c:v>330.66899999999998</c:v>
                </c:pt>
                <c:pt idx="419">
                  <c:v>344.73099999999999</c:v>
                </c:pt>
                <c:pt idx="420">
                  <c:v>330.65699999999998</c:v>
                </c:pt>
                <c:pt idx="421">
                  <c:v>324.10899999999998</c:v>
                </c:pt>
                <c:pt idx="422">
                  <c:v>317.23399999999998</c:v>
                </c:pt>
                <c:pt idx="423">
                  <c:v>315.72000000000003</c:v>
                </c:pt>
                <c:pt idx="424">
                  <c:v>320.93299999999999</c:v>
                </c:pt>
                <c:pt idx="425">
                  <c:v>322.24599999999998</c:v>
                </c:pt>
                <c:pt idx="426">
                  <c:v>321.65499999999997</c:v>
                </c:pt>
                <c:pt idx="427">
                  <c:v>321.19</c:v>
                </c:pt>
                <c:pt idx="428">
                  <c:v>325.399</c:v>
                </c:pt>
                <c:pt idx="429">
                  <c:v>323.69</c:v>
                </c:pt>
                <c:pt idx="430">
                  <c:v>319.76900000000001</c:v>
                </c:pt>
                <c:pt idx="431">
                  <c:v>318.26600000000002</c:v>
                </c:pt>
                <c:pt idx="432">
                  <c:v>314.86799999999999</c:v>
                </c:pt>
                <c:pt idx="433">
                  <c:v>317.95100000000002</c:v>
                </c:pt>
                <c:pt idx="434">
                  <c:v>317.95100000000002</c:v>
                </c:pt>
                <c:pt idx="435">
                  <c:v>317.11599999999999</c:v>
                </c:pt>
                <c:pt idx="436">
                  <c:v>315.95100000000002</c:v>
                </c:pt>
                <c:pt idx="437">
                  <c:v>315.51</c:v>
                </c:pt>
                <c:pt idx="438">
                  <c:v>312.86799999999999</c:v>
                </c:pt>
                <c:pt idx="439">
                  <c:v>316.99599999999998</c:v>
                </c:pt>
                <c:pt idx="440">
                  <c:v>319.82499999999999</c:v>
                </c:pt>
                <c:pt idx="441">
                  <c:v>318.80700000000002</c:v>
                </c:pt>
                <c:pt idx="442">
                  <c:v>315.673</c:v>
                </c:pt>
                <c:pt idx="443">
                  <c:v>315.34199999999998</c:v>
                </c:pt>
                <c:pt idx="444">
                  <c:v>314.92</c:v>
                </c:pt>
                <c:pt idx="445">
                  <c:v>315.03699999999998</c:v>
                </c:pt>
                <c:pt idx="446">
                  <c:v>311.863</c:v>
                </c:pt>
                <c:pt idx="447">
                  <c:v>313.14</c:v>
                </c:pt>
                <c:pt idx="448">
                  <c:v>310.42200000000003</c:v>
                </c:pt>
                <c:pt idx="449">
                  <c:v>314.60000000000002</c:v>
                </c:pt>
                <c:pt idx="450">
                  <c:v>317.09399999999999</c:v>
                </c:pt>
                <c:pt idx="451">
                  <c:v>315.63099999999997</c:v>
                </c:pt>
                <c:pt idx="452">
                  <c:v>333.83499999999998</c:v>
                </c:pt>
                <c:pt idx="453">
                  <c:v>338.11099999999999</c:v>
                </c:pt>
                <c:pt idx="454">
                  <c:v>427.69400000000002</c:v>
                </c:pt>
                <c:pt idx="455">
                  <c:v>441.89400000000001</c:v>
                </c:pt>
                <c:pt idx="456">
                  <c:v>451.44799999999998</c:v>
                </c:pt>
                <c:pt idx="457">
                  <c:v>418.22399999999999</c:v>
                </c:pt>
                <c:pt idx="458">
                  <c:v>407.85399999999998</c:v>
                </c:pt>
                <c:pt idx="459">
                  <c:v>406.00700000000001</c:v>
                </c:pt>
                <c:pt idx="460">
                  <c:v>407.798</c:v>
                </c:pt>
                <c:pt idx="461">
                  <c:v>412.87400000000002</c:v>
                </c:pt>
                <c:pt idx="462">
                  <c:v>405.25</c:v>
                </c:pt>
                <c:pt idx="463">
                  <c:v>400.00299999999999</c:v>
                </c:pt>
                <c:pt idx="464">
                  <c:v>399.94</c:v>
                </c:pt>
                <c:pt idx="465">
                  <c:v>407.50799999999998</c:v>
                </c:pt>
                <c:pt idx="466">
                  <c:v>425.07</c:v>
                </c:pt>
                <c:pt idx="467">
                  <c:v>421.85399999999998</c:v>
                </c:pt>
                <c:pt idx="468">
                  <c:v>418.01600000000002</c:v>
                </c:pt>
                <c:pt idx="469">
                  <c:v>416.30900000000003</c:v>
                </c:pt>
                <c:pt idx="470">
                  <c:v>416.24299999999999</c:v>
                </c:pt>
                <c:pt idx="471">
                  <c:v>425.42899999999997</c:v>
                </c:pt>
                <c:pt idx="472">
                  <c:v>428.18099999999998</c:v>
                </c:pt>
                <c:pt idx="473">
                  <c:v>426.18</c:v>
                </c:pt>
                <c:pt idx="474">
                  <c:v>448.35199999999998</c:v>
                </c:pt>
                <c:pt idx="475">
                  <c:v>459.10899999999998</c:v>
                </c:pt>
                <c:pt idx="476">
                  <c:v>468.923</c:v>
                </c:pt>
                <c:pt idx="477">
                  <c:v>477.05900000000003</c:v>
                </c:pt>
                <c:pt idx="478">
                  <c:v>475.02</c:v>
                </c:pt>
                <c:pt idx="479">
                  <c:v>482.77300000000002</c:v>
                </c:pt>
                <c:pt idx="480">
                  <c:v>453.96600000000001</c:v>
                </c:pt>
                <c:pt idx="481">
                  <c:v>445.10500000000002</c:v>
                </c:pt>
                <c:pt idx="482">
                  <c:v>438.96800000000002</c:v>
                </c:pt>
                <c:pt idx="483">
                  <c:v>440.113</c:v>
                </c:pt>
                <c:pt idx="484">
                  <c:v>406.97899999999998</c:v>
                </c:pt>
                <c:pt idx="485">
                  <c:v>352.84399999999999</c:v>
                </c:pt>
                <c:pt idx="486">
                  <c:v>344.85599999999999</c:v>
                </c:pt>
                <c:pt idx="487">
                  <c:v>348.01900000000001</c:v>
                </c:pt>
                <c:pt idx="488">
                  <c:v>353.39400000000001</c:v>
                </c:pt>
                <c:pt idx="489">
                  <c:v>344.87299999999999</c:v>
                </c:pt>
                <c:pt idx="490">
                  <c:v>360.233</c:v>
                </c:pt>
                <c:pt idx="491">
                  <c:v>355.67399999999998</c:v>
                </c:pt>
                <c:pt idx="492">
                  <c:v>358.399</c:v>
                </c:pt>
                <c:pt idx="493">
                  <c:v>373.67399999999998</c:v>
                </c:pt>
                <c:pt idx="494">
                  <c:v>358.51600000000002</c:v>
                </c:pt>
                <c:pt idx="495">
                  <c:v>348.59399999999999</c:v>
                </c:pt>
                <c:pt idx="496">
                  <c:v>346.04</c:v>
                </c:pt>
                <c:pt idx="497">
                  <c:v>364.27499999999998</c:v>
                </c:pt>
                <c:pt idx="498">
                  <c:v>364.27699999999999</c:v>
                </c:pt>
                <c:pt idx="499">
                  <c:v>364.11</c:v>
                </c:pt>
                <c:pt idx="500">
                  <c:v>363.99400000000003</c:v>
                </c:pt>
                <c:pt idx="501">
                  <c:v>357.44400000000002</c:v>
                </c:pt>
                <c:pt idx="502">
                  <c:v>350.42</c:v>
                </c:pt>
                <c:pt idx="503">
                  <c:v>302.649</c:v>
                </c:pt>
                <c:pt idx="504">
                  <c:v>306.16199999999998</c:v>
                </c:pt>
                <c:pt idx="505">
                  <c:v>323.024</c:v>
                </c:pt>
                <c:pt idx="506">
                  <c:v>308.36</c:v>
                </c:pt>
                <c:pt idx="507">
                  <c:v>326.92500000000001</c:v>
                </c:pt>
                <c:pt idx="508">
                  <c:v>321.99599999999998</c:v>
                </c:pt>
                <c:pt idx="509">
                  <c:v>319.04199999999997</c:v>
                </c:pt>
                <c:pt idx="510">
                  <c:v>313.62400000000002</c:v>
                </c:pt>
                <c:pt idx="511">
                  <c:v>304.41899999999998</c:v>
                </c:pt>
                <c:pt idx="512">
                  <c:v>297.24700000000001</c:v>
                </c:pt>
                <c:pt idx="513">
                  <c:v>308.77699999999999</c:v>
                </c:pt>
                <c:pt idx="514">
                  <c:v>306.41500000000002</c:v>
                </c:pt>
                <c:pt idx="515">
                  <c:v>303.06299999999999</c:v>
                </c:pt>
                <c:pt idx="516">
                  <c:v>298.36200000000002</c:v>
                </c:pt>
                <c:pt idx="517">
                  <c:v>306.60500000000002</c:v>
                </c:pt>
                <c:pt idx="518">
                  <c:v>306.60500000000002</c:v>
                </c:pt>
                <c:pt idx="519">
                  <c:v>306.60500000000002</c:v>
                </c:pt>
                <c:pt idx="520">
                  <c:v>286.26600000000002</c:v>
                </c:pt>
                <c:pt idx="521">
                  <c:v>283.363</c:v>
                </c:pt>
                <c:pt idx="522">
                  <c:v>288.20100000000002</c:v>
                </c:pt>
                <c:pt idx="523">
                  <c:v>288.20100000000002</c:v>
                </c:pt>
                <c:pt idx="524">
                  <c:v>285.505</c:v>
                </c:pt>
                <c:pt idx="525">
                  <c:v>278.84500000000003</c:v>
                </c:pt>
                <c:pt idx="526">
                  <c:v>276.536</c:v>
                </c:pt>
                <c:pt idx="527">
                  <c:v>272.392</c:v>
                </c:pt>
                <c:pt idx="528">
                  <c:v>268.24299999999999</c:v>
                </c:pt>
                <c:pt idx="529">
                  <c:v>267.06400000000002</c:v>
                </c:pt>
                <c:pt idx="530">
                  <c:v>265.79300000000001</c:v>
                </c:pt>
                <c:pt idx="531">
                  <c:v>264.74</c:v>
                </c:pt>
                <c:pt idx="532">
                  <c:v>246.50899999999999</c:v>
                </c:pt>
                <c:pt idx="533">
                  <c:v>242.02199999999999</c:v>
                </c:pt>
                <c:pt idx="534">
                  <c:v>241.97300000000001</c:v>
                </c:pt>
                <c:pt idx="535">
                  <c:v>243.83199999999999</c:v>
                </c:pt>
                <c:pt idx="536">
                  <c:v>241.917</c:v>
                </c:pt>
                <c:pt idx="537">
                  <c:v>247.029</c:v>
                </c:pt>
                <c:pt idx="538">
                  <c:v>247.43199999999999</c:v>
                </c:pt>
                <c:pt idx="539">
                  <c:v>269.02100000000002</c:v>
                </c:pt>
                <c:pt idx="540">
                  <c:v>258.26799999999997</c:v>
                </c:pt>
                <c:pt idx="541">
                  <c:v>272.41199999999998</c:v>
                </c:pt>
                <c:pt idx="542">
                  <c:v>271.565</c:v>
                </c:pt>
                <c:pt idx="543">
                  <c:v>270.577</c:v>
                </c:pt>
                <c:pt idx="544">
                  <c:v>271.00400000000002</c:v>
                </c:pt>
                <c:pt idx="545">
                  <c:v>269.29399999999998</c:v>
                </c:pt>
                <c:pt idx="546">
                  <c:v>263.53100000000001</c:v>
                </c:pt>
                <c:pt idx="547">
                  <c:v>267.99</c:v>
                </c:pt>
                <c:pt idx="548">
                  <c:v>267.49400000000003</c:v>
                </c:pt>
                <c:pt idx="549">
                  <c:v>272.33300000000003</c:v>
                </c:pt>
                <c:pt idx="550">
                  <c:v>274.80099999999999</c:v>
                </c:pt>
                <c:pt idx="551">
                  <c:v>277.76600000000002</c:v>
                </c:pt>
                <c:pt idx="552">
                  <c:v>279.95</c:v>
                </c:pt>
                <c:pt idx="553">
                  <c:v>281.178</c:v>
                </c:pt>
                <c:pt idx="554">
                  <c:v>284.79300000000001</c:v>
                </c:pt>
                <c:pt idx="555">
                  <c:v>286.79199999999997</c:v>
                </c:pt>
                <c:pt idx="556">
                  <c:v>293.79399999999998</c:v>
                </c:pt>
                <c:pt idx="557">
                  <c:v>292.15699999999998</c:v>
                </c:pt>
                <c:pt idx="558">
                  <c:v>288.19799999999998</c:v>
                </c:pt>
                <c:pt idx="559">
                  <c:v>293.81299999999999</c:v>
                </c:pt>
                <c:pt idx="560">
                  <c:v>296.03500000000003</c:v>
                </c:pt>
                <c:pt idx="561">
                  <c:v>291.86799999999999</c:v>
                </c:pt>
                <c:pt idx="562">
                  <c:v>327.18400000000003</c:v>
                </c:pt>
                <c:pt idx="563">
                  <c:v>332.62099999999998</c:v>
                </c:pt>
                <c:pt idx="564">
                  <c:v>326.32499999999999</c:v>
                </c:pt>
                <c:pt idx="565">
                  <c:v>330.596</c:v>
                </c:pt>
                <c:pt idx="566">
                  <c:v>324.22699999999998</c:v>
                </c:pt>
                <c:pt idx="567">
                  <c:v>321.74200000000002</c:v>
                </c:pt>
                <c:pt idx="568">
                  <c:v>326.02300000000002</c:v>
                </c:pt>
                <c:pt idx="569">
                  <c:v>337.60399999999998</c:v>
                </c:pt>
                <c:pt idx="570">
                  <c:v>335.68400000000003</c:v>
                </c:pt>
                <c:pt idx="571">
                  <c:v>337.86200000000002</c:v>
                </c:pt>
                <c:pt idx="572">
                  <c:v>330.03399999999999</c:v>
                </c:pt>
                <c:pt idx="573">
                  <c:v>325.98</c:v>
                </c:pt>
                <c:pt idx="574">
                  <c:v>324.28699999999998</c:v>
                </c:pt>
                <c:pt idx="575">
                  <c:v>327.47699999999998</c:v>
                </c:pt>
                <c:pt idx="576">
                  <c:v>337.73599999999999</c:v>
                </c:pt>
                <c:pt idx="577">
                  <c:v>340.42500000000001</c:v>
                </c:pt>
                <c:pt idx="578">
                  <c:v>340.786</c:v>
                </c:pt>
                <c:pt idx="579">
                  <c:v>343.91399999999999</c:v>
                </c:pt>
                <c:pt idx="580">
                  <c:v>345.10300000000001</c:v>
                </c:pt>
                <c:pt idx="581">
                  <c:v>345.44499999999999</c:v>
                </c:pt>
                <c:pt idx="582">
                  <c:v>344.41800000000001</c:v>
                </c:pt>
                <c:pt idx="583">
                  <c:v>352.47199999999998</c:v>
                </c:pt>
                <c:pt idx="584">
                  <c:v>341.05799999999999</c:v>
                </c:pt>
                <c:pt idx="585">
                  <c:v>343.93400000000003</c:v>
                </c:pt>
                <c:pt idx="586">
                  <c:v>331.88499999999999</c:v>
                </c:pt>
                <c:pt idx="587">
                  <c:v>334.97899999999998</c:v>
                </c:pt>
                <c:pt idx="588">
                  <c:v>332.45400000000001</c:v>
                </c:pt>
                <c:pt idx="589">
                  <c:v>332.45400000000001</c:v>
                </c:pt>
                <c:pt idx="590">
                  <c:v>334.74099999999999</c:v>
                </c:pt>
                <c:pt idx="591">
                  <c:v>337.577</c:v>
                </c:pt>
                <c:pt idx="592">
                  <c:v>339.35199999999998</c:v>
                </c:pt>
                <c:pt idx="593">
                  <c:v>336.92599999999999</c:v>
                </c:pt>
                <c:pt idx="594">
                  <c:v>334.67399999999998</c:v>
                </c:pt>
                <c:pt idx="595">
                  <c:v>338.767</c:v>
                </c:pt>
                <c:pt idx="596">
                  <c:v>335.36099999999999</c:v>
                </c:pt>
                <c:pt idx="597">
                  <c:v>334.31</c:v>
                </c:pt>
                <c:pt idx="598">
                  <c:v>329.27699999999999</c:v>
                </c:pt>
                <c:pt idx="599">
                  <c:v>324.57299999999998</c:v>
                </c:pt>
                <c:pt idx="600">
                  <c:v>328.22199999999998</c:v>
                </c:pt>
                <c:pt idx="601">
                  <c:v>331.34399999999999</c:v>
                </c:pt>
                <c:pt idx="602">
                  <c:v>326.16899999999998</c:v>
                </c:pt>
                <c:pt idx="603">
                  <c:v>324.178</c:v>
                </c:pt>
                <c:pt idx="604">
                  <c:v>322.50799999999998</c:v>
                </c:pt>
                <c:pt idx="605">
                  <c:v>320.12200000000001</c:v>
                </c:pt>
                <c:pt idx="606">
                  <c:v>324.18299999999999</c:v>
                </c:pt>
                <c:pt idx="607">
                  <c:v>326.72399999999999</c:v>
                </c:pt>
                <c:pt idx="608">
                  <c:v>331.70600000000002</c:v>
                </c:pt>
                <c:pt idx="609">
                  <c:v>331.70600000000002</c:v>
                </c:pt>
                <c:pt idx="610">
                  <c:v>325.30700000000002</c:v>
                </c:pt>
                <c:pt idx="611">
                  <c:v>319.47399999999999</c:v>
                </c:pt>
                <c:pt idx="612">
                  <c:v>315.51600000000002</c:v>
                </c:pt>
                <c:pt idx="613">
                  <c:v>325.15800000000002</c:v>
                </c:pt>
                <c:pt idx="614">
                  <c:v>283.49700000000001</c:v>
                </c:pt>
                <c:pt idx="615">
                  <c:v>284.09399999999999</c:v>
                </c:pt>
                <c:pt idx="616">
                  <c:v>280.63799999999998</c:v>
                </c:pt>
                <c:pt idx="617">
                  <c:v>284.59699999999998</c:v>
                </c:pt>
                <c:pt idx="618">
                  <c:v>283.50700000000001</c:v>
                </c:pt>
                <c:pt idx="619">
                  <c:v>291.96499999999997</c:v>
                </c:pt>
                <c:pt idx="620">
                  <c:v>293.892</c:v>
                </c:pt>
                <c:pt idx="621">
                  <c:v>293.33999999999997</c:v>
                </c:pt>
                <c:pt idx="622">
                  <c:v>291.92200000000003</c:v>
                </c:pt>
                <c:pt idx="623">
                  <c:v>289.96699999999998</c:v>
                </c:pt>
                <c:pt idx="624">
                  <c:v>294.25400000000002</c:v>
                </c:pt>
                <c:pt idx="625">
                  <c:v>295.19099999999997</c:v>
                </c:pt>
                <c:pt idx="626">
                  <c:v>295.762</c:v>
                </c:pt>
                <c:pt idx="627">
                  <c:v>293.33199999999999</c:v>
                </c:pt>
                <c:pt idx="628">
                  <c:v>293.15300000000002</c:v>
                </c:pt>
                <c:pt idx="629">
                  <c:v>293.15300000000002</c:v>
                </c:pt>
                <c:pt idx="630">
                  <c:v>293.375</c:v>
                </c:pt>
                <c:pt idx="631">
                  <c:v>293.94099999999997</c:v>
                </c:pt>
                <c:pt idx="632">
                  <c:v>290.35399999999998</c:v>
                </c:pt>
                <c:pt idx="633">
                  <c:v>293.86</c:v>
                </c:pt>
                <c:pt idx="634">
                  <c:v>292.33699999999999</c:v>
                </c:pt>
                <c:pt idx="635">
                  <c:v>288.71199999999999</c:v>
                </c:pt>
                <c:pt idx="636">
                  <c:v>286.59399999999999</c:v>
                </c:pt>
                <c:pt idx="637">
                  <c:v>290.10500000000002</c:v>
                </c:pt>
                <c:pt idx="638">
                  <c:v>284.13400000000001</c:v>
                </c:pt>
                <c:pt idx="639">
                  <c:v>276.67700000000002</c:v>
                </c:pt>
                <c:pt idx="640">
                  <c:v>284.25200000000001</c:v>
                </c:pt>
                <c:pt idx="641">
                  <c:v>271.55799999999999</c:v>
                </c:pt>
                <c:pt idx="642">
                  <c:v>272.57</c:v>
                </c:pt>
                <c:pt idx="643">
                  <c:v>269.72000000000003</c:v>
                </c:pt>
                <c:pt idx="644">
                  <c:v>272.14299999999997</c:v>
                </c:pt>
                <c:pt idx="645">
                  <c:v>271.58199999999999</c:v>
                </c:pt>
                <c:pt idx="646">
                  <c:v>268.52199999999999</c:v>
                </c:pt>
                <c:pt idx="647">
                  <c:v>266.45299999999997</c:v>
                </c:pt>
                <c:pt idx="648">
                  <c:v>265.89400000000001</c:v>
                </c:pt>
                <c:pt idx="649">
                  <c:v>260.85199999999998</c:v>
                </c:pt>
                <c:pt idx="650">
                  <c:v>251.96700000000001</c:v>
                </c:pt>
                <c:pt idx="651">
                  <c:v>250.45099999999999</c:v>
                </c:pt>
                <c:pt idx="652">
                  <c:v>250.435</c:v>
                </c:pt>
                <c:pt idx="653">
                  <c:v>251.03200000000001</c:v>
                </c:pt>
                <c:pt idx="654">
                  <c:v>255.53200000000001</c:v>
                </c:pt>
                <c:pt idx="655">
                  <c:v>248.517</c:v>
                </c:pt>
                <c:pt idx="656">
                  <c:v>238.60599999999999</c:v>
                </c:pt>
                <c:pt idx="657">
                  <c:v>245.02799999999999</c:v>
                </c:pt>
                <c:pt idx="658">
                  <c:v>245.24199999999999</c:v>
                </c:pt>
                <c:pt idx="659">
                  <c:v>241.054</c:v>
                </c:pt>
                <c:pt idx="660">
                  <c:v>235.512</c:v>
                </c:pt>
                <c:pt idx="661">
                  <c:v>241.08099999999999</c:v>
                </c:pt>
                <c:pt idx="662">
                  <c:v>243.59899999999999</c:v>
                </c:pt>
                <c:pt idx="663">
                  <c:v>243.48699999999999</c:v>
                </c:pt>
                <c:pt idx="664">
                  <c:v>250.631</c:v>
                </c:pt>
                <c:pt idx="665">
                  <c:v>253.179</c:v>
                </c:pt>
                <c:pt idx="666">
                  <c:v>249.03700000000001</c:v>
                </c:pt>
                <c:pt idx="667">
                  <c:v>249.08199999999999</c:v>
                </c:pt>
                <c:pt idx="668">
                  <c:v>246.66200000000001</c:v>
                </c:pt>
                <c:pt idx="669">
                  <c:v>244.541</c:v>
                </c:pt>
                <c:pt idx="670">
                  <c:v>248.935</c:v>
                </c:pt>
                <c:pt idx="671">
                  <c:v>249.63499999999999</c:v>
                </c:pt>
                <c:pt idx="672">
                  <c:v>245.501</c:v>
                </c:pt>
                <c:pt idx="673">
                  <c:v>250.88399999999999</c:v>
                </c:pt>
                <c:pt idx="674">
                  <c:v>250.07599999999999</c:v>
                </c:pt>
                <c:pt idx="675">
                  <c:v>245.46899999999999</c:v>
                </c:pt>
                <c:pt idx="676">
                  <c:v>240.66</c:v>
                </c:pt>
                <c:pt idx="677">
                  <c:v>236.35400000000001</c:v>
                </c:pt>
                <c:pt idx="678">
                  <c:v>237.04499999999999</c:v>
                </c:pt>
                <c:pt idx="679">
                  <c:v>229.96199999999999</c:v>
                </c:pt>
                <c:pt idx="680">
                  <c:v>227.423</c:v>
                </c:pt>
                <c:pt idx="681">
                  <c:v>232.5</c:v>
                </c:pt>
                <c:pt idx="682">
                  <c:v>230.17099999999999</c:v>
                </c:pt>
                <c:pt idx="683">
                  <c:v>235.005</c:v>
                </c:pt>
                <c:pt idx="684">
                  <c:v>234.322</c:v>
                </c:pt>
                <c:pt idx="685">
                  <c:v>234.72200000000001</c:v>
                </c:pt>
                <c:pt idx="686">
                  <c:v>232.68799999999999</c:v>
                </c:pt>
                <c:pt idx="687">
                  <c:v>233.54900000000001</c:v>
                </c:pt>
                <c:pt idx="688">
                  <c:v>236.393</c:v>
                </c:pt>
                <c:pt idx="689">
                  <c:v>232.178</c:v>
                </c:pt>
                <c:pt idx="690">
                  <c:v>227.73500000000001</c:v>
                </c:pt>
                <c:pt idx="691">
                  <c:v>224.08099999999999</c:v>
                </c:pt>
                <c:pt idx="692">
                  <c:v>218.54499999999999</c:v>
                </c:pt>
                <c:pt idx="693">
                  <c:v>220.39099999999999</c:v>
                </c:pt>
                <c:pt idx="694">
                  <c:v>220.39099999999999</c:v>
                </c:pt>
                <c:pt idx="695">
                  <c:v>215.48</c:v>
                </c:pt>
                <c:pt idx="696">
                  <c:v>210.92</c:v>
                </c:pt>
                <c:pt idx="697">
                  <c:v>209.095</c:v>
                </c:pt>
                <c:pt idx="698">
                  <c:v>212.62100000000001</c:v>
                </c:pt>
                <c:pt idx="699">
                  <c:v>205.73400000000001</c:v>
                </c:pt>
                <c:pt idx="700">
                  <c:v>202.417</c:v>
                </c:pt>
                <c:pt idx="701">
                  <c:v>201.85900000000001</c:v>
                </c:pt>
                <c:pt idx="702">
                  <c:v>199.756</c:v>
                </c:pt>
                <c:pt idx="703">
                  <c:v>196.97</c:v>
                </c:pt>
                <c:pt idx="704">
                  <c:v>193.59700000000001</c:v>
                </c:pt>
                <c:pt idx="705">
                  <c:v>191.59800000000001</c:v>
                </c:pt>
              </c:numCache>
            </c:numRef>
          </c:val>
          <c:smooth val="0"/>
          <c:extLst>
            <c:ext xmlns:c16="http://schemas.microsoft.com/office/drawing/2014/chart" uri="{C3380CC4-5D6E-409C-BE32-E72D297353CC}">
              <c16:uniqueId val="{00000000-7C05-4062-8901-959CCCC822C5}"/>
            </c:ext>
          </c:extLst>
        </c:ser>
        <c:ser>
          <c:idx val="1"/>
          <c:order val="1"/>
          <c:tx>
            <c:strRef>
              <c:f>Sheet1!$C$1</c:f>
              <c:strCache>
                <c:ptCount val="1"/>
                <c:pt idx="0">
                  <c:v>Ռուսաստան (2026թ.)</c:v>
                </c:pt>
              </c:strCache>
            </c:strRef>
          </c:tx>
          <c:spPr>
            <a:ln w="28575" cap="rnd">
              <a:solidFill>
                <a:schemeClr val="accent2"/>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Sheet1!$C$2:$C$707</c:f>
              <c:numCache>
                <c:formatCode>_(* #,##0_);_(* \(#,##0\);_(* "-"??_);_(@_)</c:formatCode>
                <c:ptCount val="706"/>
                <c:pt idx="0">
                  <c:v>220.47</c:v>
                </c:pt>
                <c:pt idx="1">
                  <c:v>222.61600000000001</c:v>
                </c:pt>
                <c:pt idx="2">
                  <c:v>228.64</c:v>
                </c:pt>
                <c:pt idx="3">
                  <c:v>203.69300000000001</c:v>
                </c:pt>
                <c:pt idx="4">
                  <c:v>194.91399999999999</c:v>
                </c:pt>
                <c:pt idx="5">
                  <c:v>190.78800000000001</c:v>
                </c:pt>
                <c:pt idx="6">
                  <c:v>188.86799999999999</c:v>
                </c:pt>
                <c:pt idx="7">
                  <c:v>190.86099999999999</c:v>
                </c:pt>
                <c:pt idx="8">
                  <c:v>190.322</c:v>
                </c:pt>
                <c:pt idx="9">
                  <c:v>190.33799999999999</c:v>
                </c:pt>
                <c:pt idx="10">
                  <c:v>187.42599999999999</c:v>
                </c:pt>
                <c:pt idx="11">
                  <c:v>184.25200000000001</c:v>
                </c:pt>
                <c:pt idx="12">
                  <c:v>182.411</c:v>
                </c:pt>
                <c:pt idx="13">
                  <c:v>174.941</c:v>
                </c:pt>
                <c:pt idx="14">
                  <c:v>174.941</c:v>
                </c:pt>
                <c:pt idx="15">
                  <c:v>181.71899999999999</c:v>
                </c:pt>
                <c:pt idx="16">
                  <c:v>180.08799999999999</c:v>
                </c:pt>
                <c:pt idx="17">
                  <c:v>179.535</c:v>
                </c:pt>
                <c:pt idx="18">
                  <c:v>180.68899999999999</c:v>
                </c:pt>
                <c:pt idx="19">
                  <c:v>183.042</c:v>
                </c:pt>
                <c:pt idx="20">
                  <c:v>186.56100000000001</c:v>
                </c:pt>
                <c:pt idx="21">
                  <c:v>185.767</c:v>
                </c:pt>
                <c:pt idx="22">
                  <c:v>184.21299999999999</c:v>
                </c:pt>
                <c:pt idx="23">
                  <c:v>187.19800000000001</c:v>
                </c:pt>
                <c:pt idx="24">
                  <c:v>183.68899999999999</c:v>
                </c:pt>
                <c:pt idx="25">
                  <c:v>184.858</c:v>
                </c:pt>
                <c:pt idx="26">
                  <c:v>184.22399999999999</c:v>
                </c:pt>
                <c:pt idx="27">
                  <c:v>188.13</c:v>
                </c:pt>
                <c:pt idx="28">
                  <c:v>195.702</c:v>
                </c:pt>
                <c:pt idx="29">
                  <c:v>192.81</c:v>
                </c:pt>
                <c:pt idx="30">
                  <c:v>190.14099999999999</c:v>
                </c:pt>
                <c:pt idx="31">
                  <c:v>189.18299999999999</c:v>
                </c:pt>
                <c:pt idx="32">
                  <c:v>202.322</c:v>
                </c:pt>
                <c:pt idx="33">
                  <c:v>201.553</c:v>
                </c:pt>
                <c:pt idx="34">
                  <c:v>197.084</c:v>
                </c:pt>
                <c:pt idx="35">
                  <c:v>200.726</c:v>
                </c:pt>
                <c:pt idx="36">
                  <c:v>197.63399999999999</c:v>
                </c:pt>
                <c:pt idx="37">
                  <c:v>195.68</c:v>
                </c:pt>
                <c:pt idx="38">
                  <c:v>197.51300000000001</c:v>
                </c:pt>
                <c:pt idx="39">
                  <c:v>191.53700000000001</c:v>
                </c:pt>
                <c:pt idx="40">
                  <c:v>193.12</c:v>
                </c:pt>
                <c:pt idx="41">
                  <c:v>187.99199999999999</c:v>
                </c:pt>
                <c:pt idx="42">
                  <c:v>181.21299999999999</c:v>
                </c:pt>
                <c:pt idx="43">
                  <c:v>183.69399999999999</c:v>
                </c:pt>
                <c:pt idx="44">
                  <c:v>180.36199999999999</c:v>
                </c:pt>
                <c:pt idx="45">
                  <c:v>181.018</c:v>
                </c:pt>
                <c:pt idx="46">
                  <c:v>182.005</c:v>
                </c:pt>
                <c:pt idx="47">
                  <c:v>185.40299999999999</c:v>
                </c:pt>
                <c:pt idx="48">
                  <c:v>188.215</c:v>
                </c:pt>
                <c:pt idx="49">
                  <c:v>180.041</c:v>
                </c:pt>
                <c:pt idx="50">
                  <c:v>178.89400000000001</c:v>
                </c:pt>
                <c:pt idx="51">
                  <c:v>178.21700000000001</c:v>
                </c:pt>
                <c:pt idx="52">
                  <c:v>177.172</c:v>
                </c:pt>
                <c:pt idx="53">
                  <c:v>182.084</c:v>
                </c:pt>
                <c:pt idx="54">
                  <c:v>178.44300000000001</c:v>
                </c:pt>
                <c:pt idx="55">
                  <c:v>176.13499999999999</c:v>
                </c:pt>
                <c:pt idx="56">
                  <c:v>184.18899999999999</c:v>
                </c:pt>
                <c:pt idx="57">
                  <c:v>181.828</c:v>
                </c:pt>
                <c:pt idx="58">
                  <c:v>190.333</c:v>
                </c:pt>
                <c:pt idx="59">
                  <c:v>194.73</c:v>
                </c:pt>
                <c:pt idx="60">
                  <c:v>187.976</c:v>
                </c:pt>
                <c:pt idx="61">
                  <c:v>195.23500000000001</c:v>
                </c:pt>
                <c:pt idx="62">
                  <c:v>190.71199999999999</c:v>
                </c:pt>
                <c:pt idx="63">
                  <c:v>189.29400000000001</c:v>
                </c:pt>
                <c:pt idx="64">
                  <c:v>180.93299999999999</c:v>
                </c:pt>
                <c:pt idx="65">
                  <c:v>182.21700000000001</c:v>
                </c:pt>
                <c:pt idx="66">
                  <c:v>182.06700000000001</c:v>
                </c:pt>
                <c:pt idx="67">
                  <c:v>182.215</c:v>
                </c:pt>
                <c:pt idx="68">
                  <c:v>179.923</c:v>
                </c:pt>
                <c:pt idx="69">
                  <c:v>178.18299999999999</c:v>
                </c:pt>
                <c:pt idx="70">
                  <c:v>178.82300000000001</c:v>
                </c:pt>
                <c:pt idx="71">
                  <c:v>182.16900000000001</c:v>
                </c:pt>
                <c:pt idx="72">
                  <c:v>178.756</c:v>
                </c:pt>
                <c:pt idx="73">
                  <c:v>177.315</c:v>
                </c:pt>
                <c:pt idx="74">
                  <c:v>175.22</c:v>
                </c:pt>
                <c:pt idx="75">
                  <c:v>171.541</c:v>
                </c:pt>
                <c:pt idx="76">
                  <c:v>168.61500000000001</c:v>
                </c:pt>
                <c:pt idx="77">
                  <c:v>173.81899999999999</c:v>
                </c:pt>
                <c:pt idx="78">
                  <c:v>173.81899999999999</c:v>
                </c:pt>
                <c:pt idx="79">
                  <c:v>173.81899999999999</c:v>
                </c:pt>
                <c:pt idx="80">
                  <c:v>170.02600000000001</c:v>
                </c:pt>
                <c:pt idx="81">
                  <c:v>173.369</c:v>
                </c:pt>
                <c:pt idx="82">
                  <c:v>173.547</c:v>
                </c:pt>
                <c:pt idx="83">
                  <c:v>174.36600000000001</c:v>
                </c:pt>
                <c:pt idx="84">
                  <c:v>169.33099999999999</c:v>
                </c:pt>
                <c:pt idx="85">
                  <c:v>169.196</c:v>
                </c:pt>
                <c:pt idx="86">
                  <c:v>167.797</c:v>
                </c:pt>
                <c:pt idx="87">
                  <c:v>170.71199999999999</c:v>
                </c:pt>
                <c:pt idx="88">
                  <c:v>172.20400000000001</c:v>
                </c:pt>
                <c:pt idx="89">
                  <c:v>172.20400000000001</c:v>
                </c:pt>
                <c:pt idx="90">
                  <c:v>182.655</c:v>
                </c:pt>
                <c:pt idx="91">
                  <c:v>184.08600000000001</c:v>
                </c:pt>
                <c:pt idx="92">
                  <c:v>184.38</c:v>
                </c:pt>
                <c:pt idx="93">
                  <c:v>184.80099999999999</c:v>
                </c:pt>
                <c:pt idx="94">
                  <c:v>191.227</c:v>
                </c:pt>
                <c:pt idx="95">
                  <c:v>189.58500000000001</c:v>
                </c:pt>
                <c:pt idx="96">
                  <c:v>192.88</c:v>
                </c:pt>
                <c:pt idx="97">
                  <c:v>183.01900000000001</c:v>
                </c:pt>
                <c:pt idx="98">
                  <c:v>179.34899999999999</c:v>
                </c:pt>
                <c:pt idx="99">
                  <c:v>175.02600000000001</c:v>
                </c:pt>
                <c:pt idx="100">
                  <c:v>170.119</c:v>
                </c:pt>
                <c:pt idx="101">
                  <c:v>174.001</c:v>
                </c:pt>
                <c:pt idx="102">
                  <c:v>183.63300000000001</c:v>
                </c:pt>
                <c:pt idx="103">
                  <c:v>180.81</c:v>
                </c:pt>
                <c:pt idx="104">
                  <c:v>180.81</c:v>
                </c:pt>
                <c:pt idx="105">
                  <c:v>182.161</c:v>
                </c:pt>
                <c:pt idx="106">
                  <c:v>184.13399999999999</c:v>
                </c:pt>
                <c:pt idx="107">
                  <c:v>186.828</c:v>
                </c:pt>
                <c:pt idx="108">
                  <c:v>192.01900000000001</c:v>
                </c:pt>
                <c:pt idx="109">
                  <c:v>202.62299999999999</c:v>
                </c:pt>
                <c:pt idx="110">
                  <c:v>193.38399999999999</c:v>
                </c:pt>
                <c:pt idx="111">
                  <c:v>185.79900000000001</c:v>
                </c:pt>
                <c:pt idx="112">
                  <c:v>184.20400000000001</c:v>
                </c:pt>
                <c:pt idx="113">
                  <c:v>185.922</c:v>
                </c:pt>
                <c:pt idx="114">
                  <c:v>175.822</c:v>
                </c:pt>
                <c:pt idx="115">
                  <c:v>177.95500000000001</c:v>
                </c:pt>
                <c:pt idx="116">
                  <c:v>182.14400000000001</c:v>
                </c:pt>
                <c:pt idx="117">
                  <c:v>187.02099999999999</c:v>
                </c:pt>
                <c:pt idx="118">
                  <c:v>188.13</c:v>
                </c:pt>
                <c:pt idx="119">
                  <c:v>186.99</c:v>
                </c:pt>
                <c:pt idx="120">
                  <c:v>181.41900000000001</c:v>
                </c:pt>
                <c:pt idx="121">
                  <c:v>182.62899999999999</c:v>
                </c:pt>
                <c:pt idx="122">
                  <c:v>168.601</c:v>
                </c:pt>
                <c:pt idx="123">
                  <c:v>181.87</c:v>
                </c:pt>
                <c:pt idx="124">
                  <c:v>187.42500000000001</c:v>
                </c:pt>
                <c:pt idx="125">
                  <c:v>189.51499999999999</c:v>
                </c:pt>
                <c:pt idx="126">
                  <c:v>190.28399999999999</c:v>
                </c:pt>
                <c:pt idx="127">
                  <c:v>187.233</c:v>
                </c:pt>
                <c:pt idx="128">
                  <c:v>182.886</c:v>
                </c:pt>
                <c:pt idx="129">
                  <c:v>174.417</c:v>
                </c:pt>
                <c:pt idx="130">
                  <c:v>178.922</c:v>
                </c:pt>
                <c:pt idx="131">
                  <c:v>178.666</c:v>
                </c:pt>
                <c:pt idx="132">
                  <c:v>178.80799999999999</c:v>
                </c:pt>
                <c:pt idx="133">
                  <c:v>176.39400000000001</c:v>
                </c:pt>
                <c:pt idx="134">
                  <c:v>171.553</c:v>
                </c:pt>
                <c:pt idx="135">
                  <c:v>174.74700000000001</c:v>
                </c:pt>
                <c:pt idx="136">
                  <c:v>180.143</c:v>
                </c:pt>
                <c:pt idx="137">
                  <c:v>175.655</c:v>
                </c:pt>
                <c:pt idx="138">
                  <c:v>178.364</c:v>
                </c:pt>
                <c:pt idx="139">
                  <c:v>174.33799999999999</c:v>
                </c:pt>
                <c:pt idx="140">
                  <c:v>169.30500000000001</c:v>
                </c:pt>
                <c:pt idx="141">
                  <c:v>171.316</c:v>
                </c:pt>
                <c:pt idx="142">
                  <c:v>173.75200000000001</c:v>
                </c:pt>
                <c:pt idx="143">
                  <c:v>170.12100000000001</c:v>
                </c:pt>
                <c:pt idx="144">
                  <c:v>170.476</c:v>
                </c:pt>
                <c:pt idx="145">
                  <c:v>165.11199999999999</c:v>
                </c:pt>
                <c:pt idx="146">
                  <c:v>167.52199999999999</c:v>
                </c:pt>
                <c:pt idx="147">
                  <c:v>163.04599999999999</c:v>
                </c:pt>
                <c:pt idx="148">
                  <c:v>162.96899999999999</c:v>
                </c:pt>
                <c:pt idx="149">
                  <c:v>162.19399999999999</c:v>
                </c:pt>
                <c:pt idx="150">
                  <c:v>163</c:v>
                </c:pt>
                <c:pt idx="151">
                  <c:v>167.01499999999999</c:v>
                </c:pt>
                <c:pt idx="152">
                  <c:v>183.78899999999999</c:v>
                </c:pt>
                <c:pt idx="153">
                  <c:v>187.166</c:v>
                </c:pt>
                <c:pt idx="154">
                  <c:v>197.922</c:v>
                </c:pt>
                <c:pt idx="155">
                  <c:v>197.68</c:v>
                </c:pt>
                <c:pt idx="156">
                  <c:v>198.76400000000001</c:v>
                </c:pt>
                <c:pt idx="157">
                  <c:v>187.483</c:v>
                </c:pt>
                <c:pt idx="158">
                  <c:v>189.81399999999999</c:v>
                </c:pt>
                <c:pt idx="159">
                  <c:v>195.34100000000001</c:v>
                </c:pt>
                <c:pt idx="160">
                  <c:v>189.38800000000001</c:v>
                </c:pt>
                <c:pt idx="161">
                  <c:v>194.435</c:v>
                </c:pt>
                <c:pt idx="162">
                  <c:v>198.15899999999999</c:v>
                </c:pt>
                <c:pt idx="163">
                  <c:v>197.78299999999999</c:v>
                </c:pt>
                <c:pt idx="164">
                  <c:v>192.083</c:v>
                </c:pt>
                <c:pt idx="165">
                  <c:v>191.72300000000001</c:v>
                </c:pt>
                <c:pt idx="166">
                  <c:v>187.441</c:v>
                </c:pt>
                <c:pt idx="167">
                  <c:v>184.49799999999999</c:v>
                </c:pt>
                <c:pt idx="168">
                  <c:v>193.935</c:v>
                </c:pt>
                <c:pt idx="169">
                  <c:v>193.935</c:v>
                </c:pt>
                <c:pt idx="170">
                  <c:v>188.88</c:v>
                </c:pt>
                <c:pt idx="171">
                  <c:v>188.77199999999999</c:v>
                </c:pt>
                <c:pt idx="172">
                  <c:v>182.72800000000001</c:v>
                </c:pt>
                <c:pt idx="173">
                  <c:v>182.38800000000001</c:v>
                </c:pt>
                <c:pt idx="174">
                  <c:v>182.173</c:v>
                </c:pt>
                <c:pt idx="175">
                  <c:v>181.59899999999999</c:v>
                </c:pt>
                <c:pt idx="176">
                  <c:v>174.374</c:v>
                </c:pt>
                <c:pt idx="177">
                  <c:v>167.85900000000001</c:v>
                </c:pt>
                <c:pt idx="178">
                  <c:v>169.79499999999999</c:v>
                </c:pt>
                <c:pt idx="179">
                  <c:v>165.93199999999999</c:v>
                </c:pt>
                <c:pt idx="180">
                  <c:v>163.298</c:v>
                </c:pt>
                <c:pt idx="181">
                  <c:v>162.18100000000001</c:v>
                </c:pt>
                <c:pt idx="182">
                  <c:v>158.28</c:v>
                </c:pt>
                <c:pt idx="183">
                  <c:v>151.82</c:v>
                </c:pt>
                <c:pt idx="184">
                  <c:v>155.33099999999999</c:v>
                </c:pt>
                <c:pt idx="185">
                  <c:v>156.499</c:v>
                </c:pt>
                <c:pt idx="186">
                  <c:v>153.09200000000001</c:v>
                </c:pt>
                <c:pt idx="187">
                  <c:v>153.56399999999999</c:v>
                </c:pt>
                <c:pt idx="188">
                  <c:v>154.24700000000001</c:v>
                </c:pt>
                <c:pt idx="189">
                  <c:v>149.71600000000001</c:v>
                </c:pt>
                <c:pt idx="190">
                  <c:v>160.53200000000001</c:v>
                </c:pt>
                <c:pt idx="191">
                  <c:v>155.22800000000001</c:v>
                </c:pt>
                <c:pt idx="192">
                  <c:v>161.185</c:v>
                </c:pt>
                <c:pt idx="193">
                  <c:v>163.53800000000001</c:v>
                </c:pt>
                <c:pt idx="194">
                  <c:v>166.42099999999999</c:v>
                </c:pt>
                <c:pt idx="195">
                  <c:v>172.67599999999999</c:v>
                </c:pt>
                <c:pt idx="196">
                  <c:v>179.77</c:v>
                </c:pt>
                <c:pt idx="197">
                  <c:v>182.221</c:v>
                </c:pt>
                <c:pt idx="198">
                  <c:v>180.22900000000001</c:v>
                </c:pt>
                <c:pt idx="199">
                  <c:v>175.11199999999999</c:v>
                </c:pt>
                <c:pt idx="200">
                  <c:v>181.26300000000001</c:v>
                </c:pt>
                <c:pt idx="201">
                  <c:v>176.654</c:v>
                </c:pt>
                <c:pt idx="202">
                  <c:v>172.941</c:v>
                </c:pt>
                <c:pt idx="203">
                  <c:v>160.679</c:v>
                </c:pt>
                <c:pt idx="204">
                  <c:v>164.048</c:v>
                </c:pt>
                <c:pt idx="205">
                  <c:v>156.50299999999999</c:v>
                </c:pt>
                <c:pt idx="206">
                  <c:v>156.898</c:v>
                </c:pt>
                <c:pt idx="207">
                  <c:v>155.65799999999999</c:v>
                </c:pt>
                <c:pt idx="208">
                  <c:v>156.78800000000001</c:v>
                </c:pt>
                <c:pt idx="209">
                  <c:v>150.32599999999999</c:v>
                </c:pt>
                <c:pt idx="210">
                  <c:v>152.09</c:v>
                </c:pt>
                <c:pt idx="211">
                  <c:v>149.357</c:v>
                </c:pt>
                <c:pt idx="212">
                  <c:v>149.01599999999999</c:v>
                </c:pt>
                <c:pt idx="213">
                  <c:v>145.33099999999999</c:v>
                </c:pt>
                <c:pt idx="214">
                  <c:v>143.309</c:v>
                </c:pt>
                <c:pt idx="215">
                  <c:v>143.45099999999999</c:v>
                </c:pt>
                <c:pt idx="216">
                  <c:v>147.46700000000001</c:v>
                </c:pt>
                <c:pt idx="217">
                  <c:v>150.02000000000001</c:v>
                </c:pt>
                <c:pt idx="218">
                  <c:v>143.78800000000001</c:v>
                </c:pt>
                <c:pt idx="219">
                  <c:v>137.36500000000001</c:v>
                </c:pt>
                <c:pt idx="220">
                  <c:v>135.18600000000001</c:v>
                </c:pt>
                <c:pt idx="221">
                  <c:v>136.941</c:v>
                </c:pt>
                <c:pt idx="222">
                  <c:v>131.54300000000001</c:v>
                </c:pt>
                <c:pt idx="223">
                  <c:v>128.46700000000001</c:v>
                </c:pt>
                <c:pt idx="224">
                  <c:v>127.599</c:v>
                </c:pt>
                <c:pt idx="225">
                  <c:v>128.15</c:v>
                </c:pt>
                <c:pt idx="226">
                  <c:v>132.90899999999999</c:v>
                </c:pt>
                <c:pt idx="227">
                  <c:v>134.148</c:v>
                </c:pt>
                <c:pt idx="228">
                  <c:v>133.12299999999999</c:v>
                </c:pt>
                <c:pt idx="229">
                  <c:v>134.541</c:v>
                </c:pt>
                <c:pt idx="230">
                  <c:v>137.90700000000001</c:v>
                </c:pt>
                <c:pt idx="231">
                  <c:v>136.19900000000001</c:v>
                </c:pt>
                <c:pt idx="232">
                  <c:v>131.785</c:v>
                </c:pt>
                <c:pt idx="233">
                  <c:v>131.012</c:v>
                </c:pt>
                <c:pt idx="234">
                  <c:v>131.179</c:v>
                </c:pt>
                <c:pt idx="235">
                  <c:v>132.12799999999999</c:v>
                </c:pt>
                <c:pt idx="236">
                  <c:v>127.896</c:v>
                </c:pt>
                <c:pt idx="237">
                  <c:v>125.325</c:v>
                </c:pt>
                <c:pt idx="238">
                  <c:v>126.52</c:v>
                </c:pt>
                <c:pt idx="239">
                  <c:v>126.017</c:v>
                </c:pt>
                <c:pt idx="240">
                  <c:v>134.637</c:v>
                </c:pt>
                <c:pt idx="241">
                  <c:v>128.36500000000001</c:v>
                </c:pt>
                <c:pt idx="242">
                  <c:v>122.666</c:v>
                </c:pt>
                <c:pt idx="243">
                  <c:v>120.76</c:v>
                </c:pt>
                <c:pt idx="244">
                  <c:v>119.771</c:v>
                </c:pt>
                <c:pt idx="245">
                  <c:v>116.18300000000001</c:v>
                </c:pt>
                <c:pt idx="246">
                  <c:v>113.79</c:v>
                </c:pt>
                <c:pt idx="247">
                  <c:v>103.974</c:v>
                </c:pt>
                <c:pt idx="248">
                  <c:v>110.374</c:v>
                </c:pt>
                <c:pt idx="249">
                  <c:v>99.992000000000004</c:v>
                </c:pt>
                <c:pt idx="250">
                  <c:v>98.933000000000007</c:v>
                </c:pt>
                <c:pt idx="251">
                  <c:v>96.567999999999998</c:v>
                </c:pt>
                <c:pt idx="252">
                  <c:v>101.67100000000001</c:v>
                </c:pt>
                <c:pt idx="253">
                  <c:v>99.706000000000003</c:v>
                </c:pt>
                <c:pt idx="254">
                  <c:v>96.239000000000004</c:v>
                </c:pt>
                <c:pt idx="255">
                  <c:v>100.36799999999999</c:v>
                </c:pt>
                <c:pt idx="256">
                  <c:v>100.36799999999999</c:v>
                </c:pt>
                <c:pt idx="257">
                  <c:v>100.36799999999999</c:v>
                </c:pt>
                <c:pt idx="258">
                  <c:v>101.43</c:v>
                </c:pt>
                <c:pt idx="259">
                  <c:v>98.611999999999995</c:v>
                </c:pt>
                <c:pt idx="260">
                  <c:v>94.194000000000003</c:v>
                </c:pt>
                <c:pt idx="261">
                  <c:v>94.194000000000003</c:v>
                </c:pt>
                <c:pt idx="262">
                  <c:v>100.93600000000001</c:v>
                </c:pt>
                <c:pt idx="263">
                  <c:v>111.648</c:v>
                </c:pt>
                <c:pt idx="264">
                  <c:v>114.494</c:v>
                </c:pt>
                <c:pt idx="265">
                  <c:v>114.39</c:v>
                </c:pt>
                <c:pt idx="266">
                  <c:v>106.19199999999999</c:v>
                </c:pt>
                <c:pt idx="267">
                  <c:v>107.033</c:v>
                </c:pt>
                <c:pt idx="268">
                  <c:v>110.688</c:v>
                </c:pt>
                <c:pt idx="269">
                  <c:v>102.11199999999999</c:v>
                </c:pt>
                <c:pt idx="270">
                  <c:v>103.60599999999999</c:v>
                </c:pt>
                <c:pt idx="271">
                  <c:v>103.291</c:v>
                </c:pt>
                <c:pt idx="272">
                  <c:v>100.496</c:v>
                </c:pt>
                <c:pt idx="273">
                  <c:v>100.22199999999999</c:v>
                </c:pt>
                <c:pt idx="274">
                  <c:v>99.262</c:v>
                </c:pt>
                <c:pt idx="275">
                  <c:v>103.64100000000001</c:v>
                </c:pt>
                <c:pt idx="276">
                  <c:v>102.696</c:v>
                </c:pt>
                <c:pt idx="277">
                  <c:v>105.20099999999999</c:v>
                </c:pt>
                <c:pt idx="278">
                  <c:v>109.562</c:v>
                </c:pt>
                <c:pt idx="279">
                  <c:v>116.07899999999999</c:v>
                </c:pt>
                <c:pt idx="280">
                  <c:v>109.01900000000001</c:v>
                </c:pt>
                <c:pt idx="281">
                  <c:v>114.27</c:v>
                </c:pt>
                <c:pt idx="282">
                  <c:v>107.89</c:v>
                </c:pt>
                <c:pt idx="283">
                  <c:v>111.60299999999999</c:v>
                </c:pt>
                <c:pt idx="284">
                  <c:v>112.84399999999999</c:v>
                </c:pt>
                <c:pt idx="285">
                  <c:v>112.34099999999999</c:v>
                </c:pt>
                <c:pt idx="286">
                  <c:v>106.116</c:v>
                </c:pt>
                <c:pt idx="287">
                  <c:v>107.691</c:v>
                </c:pt>
                <c:pt idx="288">
                  <c:v>113.491</c:v>
                </c:pt>
                <c:pt idx="289">
                  <c:v>115.01900000000001</c:v>
                </c:pt>
                <c:pt idx="290">
                  <c:v>101.31100000000001</c:v>
                </c:pt>
                <c:pt idx="291">
                  <c:v>99.956999999999994</c:v>
                </c:pt>
                <c:pt idx="292">
                  <c:v>100.726</c:v>
                </c:pt>
                <c:pt idx="293">
                  <c:v>101.929</c:v>
                </c:pt>
                <c:pt idx="294">
                  <c:v>98.477000000000004</c:v>
                </c:pt>
                <c:pt idx="295">
                  <c:v>104.703</c:v>
                </c:pt>
                <c:pt idx="296">
                  <c:v>101.744</c:v>
                </c:pt>
                <c:pt idx="297">
                  <c:v>105.26</c:v>
                </c:pt>
                <c:pt idx="298">
                  <c:v>107.235</c:v>
                </c:pt>
                <c:pt idx="299">
                  <c:v>111.428</c:v>
                </c:pt>
                <c:pt idx="300">
                  <c:v>115.85899999999999</c:v>
                </c:pt>
                <c:pt idx="301">
                  <c:v>117.76</c:v>
                </c:pt>
                <c:pt idx="302">
                  <c:v>128.886</c:v>
                </c:pt>
                <c:pt idx="303">
                  <c:v>150.929</c:v>
                </c:pt>
                <c:pt idx="304">
                  <c:v>147.44300000000001</c:v>
                </c:pt>
                <c:pt idx="305">
                  <c:v>145.12</c:v>
                </c:pt>
                <c:pt idx="306">
                  <c:v>151.506</c:v>
                </c:pt>
                <c:pt idx="307">
                  <c:v>151.506</c:v>
                </c:pt>
                <c:pt idx="308">
                  <c:v>159.226</c:v>
                </c:pt>
                <c:pt idx="309">
                  <c:v>204.905</c:v>
                </c:pt>
                <c:pt idx="310">
                  <c:v>187.87100000000001</c:v>
                </c:pt>
                <c:pt idx="311">
                  <c:v>192.14</c:v>
                </c:pt>
                <c:pt idx="312">
                  <c:v>255.07400000000001</c:v>
                </c:pt>
                <c:pt idx="313">
                  <c:v>235.77500000000001</c:v>
                </c:pt>
                <c:pt idx="314">
                  <c:v>276.42700000000002</c:v>
                </c:pt>
                <c:pt idx="315">
                  <c:v>268.709</c:v>
                </c:pt>
                <c:pt idx="316">
                  <c:v>350.71800000000002</c:v>
                </c:pt>
                <c:pt idx="317">
                  <c:v>369.35700000000003</c:v>
                </c:pt>
                <c:pt idx="318">
                  <c:v>373.596</c:v>
                </c:pt>
                <c:pt idx="319">
                  <c:v>391.041</c:v>
                </c:pt>
                <c:pt idx="320">
                  <c:v>391.041</c:v>
                </c:pt>
                <c:pt idx="321">
                  <c:v>300.49799999999999</c:v>
                </c:pt>
                <c:pt idx="322">
                  <c:v>307.61399999999998</c:v>
                </c:pt>
                <c:pt idx="323">
                  <c:v>289.13</c:v>
                </c:pt>
                <c:pt idx="324">
                  <c:v>316.29300000000001</c:v>
                </c:pt>
                <c:pt idx="325">
                  <c:v>302.995</c:v>
                </c:pt>
                <c:pt idx="326">
                  <c:v>304.36200000000002</c:v>
                </c:pt>
                <c:pt idx="327">
                  <c:v>297.51</c:v>
                </c:pt>
                <c:pt idx="328">
                  <c:v>297.51</c:v>
                </c:pt>
                <c:pt idx="329">
                  <c:v>257.024</c:v>
                </c:pt>
                <c:pt idx="330">
                  <c:v>226.33099999999999</c:v>
                </c:pt>
                <c:pt idx="331">
                  <c:v>233.64099999999999</c:v>
                </c:pt>
                <c:pt idx="332">
                  <c:v>226.18899999999999</c:v>
                </c:pt>
                <c:pt idx="333">
                  <c:v>226.18899999999999</c:v>
                </c:pt>
                <c:pt idx="334">
                  <c:v>226.18899999999999</c:v>
                </c:pt>
                <c:pt idx="335">
                  <c:v>223.184</c:v>
                </c:pt>
                <c:pt idx="336">
                  <c:v>240.17099999999999</c:v>
                </c:pt>
                <c:pt idx="337">
                  <c:v>236.28700000000001</c:v>
                </c:pt>
                <c:pt idx="338">
                  <c:v>233.61699999999999</c:v>
                </c:pt>
                <c:pt idx="339">
                  <c:v>241.256</c:v>
                </c:pt>
                <c:pt idx="340">
                  <c:v>253.69</c:v>
                </c:pt>
                <c:pt idx="341">
                  <c:v>249.61199999999999</c:v>
                </c:pt>
                <c:pt idx="342">
                  <c:v>238.85400000000001</c:v>
                </c:pt>
                <c:pt idx="343">
                  <c:v>242.83600000000001</c:v>
                </c:pt>
                <c:pt idx="344">
                  <c:v>238.036</c:v>
                </c:pt>
                <c:pt idx="345">
                  <c:v>243.584</c:v>
                </c:pt>
                <c:pt idx="346">
                  <c:v>240.95099999999999</c:v>
                </c:pt>
                <c:pt idx="347">
                  <c:v>228.006</c:v>
                </c:pt>
                <c:pt idx="348">
                  <c:v>230.893</c:v>
                </c:pt>
                <c:pt idx="349">
                  <c:v>232.702</c:v>
                </c:pt>
                <c:pt idx="350">
                  <c:v>225.27600000000001</c:v>
                </c:pt>
                <c:pt idx="351">
                  <c:v>225.036</c:v>
                </c:pt>
                <c:pt idx="352">
                  <c:v>231.078</c:v>
                </c:pt>
                <c:pt idx="353">
                  <c:v>231.078</c:v>
                </c:pt>
                <c:pt idx="354">
                  <c:v>220.053</c:v>
                </c:pt>
                <c:pt idx="355">
                  <c:v>216.86699999999999</c:v>
                </c:pt>
                <c:pt idx="356">
                  <c:v>219.04400000000001</c:v>
                </c:pt>
                <c:pt idx="357">
                  <c:v>221.32400000000001</c:v>
                </c:pt>
                <c:pt idx="358">
                  <c:v>209.649</c:v>
                </c:pt>
                <c:pt idx="359">
                  <c:v>192.946</c:v>
                </c:pt>
                <c:pt idx="360">
                  <c:v>189.46899999999999</c:v>
                </c:pt>
                <c:pt idx="361">
                  <c:v>175.03200000000001</c:v>
                </c:pt>
                <c:pt idx="362">
                  <c:v>170.89</c:v>
                </c:pt>
                <c:pt idx="363">
                  <c:v>175.52099999999999</c:v>
                </c:pt>
                <c:pt idx="364">
                  <c:v>175.52099999999999</c:v>
                </c:pt>
                <c:pt idx="365">
                  <c:v>169.767</c:v>
                </c:pt>
                <c:pt idx="366">
                  <c:v>171.91300000000001</c:v>
                </c:pt>
                <c:pt idx="367">
                  <c:v>168.52</c:v>
                </c:pt>
                <c:pt idx="368">
                  <c:v>171.929</c:v>
                </c:pt>
                <c:pt idx="369">
                  <c:v>168.64</c:v>
                </c:pt>
                <c:pt idx="370">
                  <c:v>166.846</c:v>
                </c:pt>
                <c:pt idx="371">
                  <c:v>162.49700000000001</c:v>
                </c:pt>
                <c:pt idx="372">
                  <c:v>160.99100000000001</c:v>
                </c:pt>
                <c:pt idx="373">
                  <c:v>162.14099999999999</c:v>
                </c:pt>
                <c:pt idx="374">
                  <c:v>165.70099999999999</c:v>
                </c:pt>
                <c:pt idx="375">
                  <c:v>168.18700000000001</c:v>
                </c:pt>
                <c:pt idx="376">
                  <c:v>174.41300000000001</c:v>
                </c:pt>
                <c:pt idx="377">
                  <c:v>182.74100000000001</c:v>
                </c:pt>
                <c:pt idx="378">
                  <c:v>177.62899999999999</c:v>
                </c:pt>
                <c:pt idx="379">
                  <c:v>176.715</c:v>
                </c:pt>
                <c:pt idx="380">
                  <c:v>161.70699999999999</c:v>
                </c:pt>
                <c:pt idx="381">
                  <c:v>165.25800000000001</c:v>
                </c:pt>
                <c:pt idx="382">
                  <c:v>166.69399999999999</c:v>
                </c:pt>
                <c:pt idx="383">
                  <c:v>165.608</c:v>
                </c:pt>
                <c:pt idx="384">
                  <c:v>163.506</c:v>
                </c:pt>
                <c:pt idx="385">
                  <c:v>165.03200000000001</c:v>
                </c:pt>
                <c:pt idx="386">
                  <c:v>168.82900000000001</c:v>
                </c:pt>
                <c:pt idx="387">
                  <c:v>172.83199999999999</c:v>
                </c:pt>
                <c:pt idx="388">
                  <c:v>172.86</c:v>
                </c:pt>
                <c:pt idx="389">
                  <c:v>178.542</c:v>
                </c:pt>
                <c:pt idx="390">
                  <c:v>179.38399999999999</c:v>
                </c:pt>
                <c:pt idx="391">
                  <c:v>168.65</c:v>
                </c:pt>
                <c:pt idx="392">
                  <c:v>169.613</c:v>
                </c:pt>
                <c:pt idx="393">
                  <c:v>169.94900000000001</c:v>
                </c:pt>
                <c:pt idx="394">
                  <c:v>173.94399999999999</c:v>
                </c:pt>
                <c:pt idx="395">
                  <c:v>176.82499999999999</c:v>
                </c:pt>
                <c:pt idx="396">
                  <c:v>173.47300000000001</c:v>
                </c:pt>
                <c:pt idx="397">
                  <c:v>172.804</c:v>
                </c:pt>
                <c:pt idx="398">
                  <c:v>170.607</c:v>
                </c:pt>
                <c:pt idx="399">
                  <c:v>169.083</c:v>
                </c:pt>
                <c:pt idx="400">
                  <c:v>167.18</c:v>
                </c:pt>
                <c:pt idx="401">
                  <c:v>163.11600000000001</c:v>
                </c:pt>
                <c:pt idx="402">
                  <c:v>162.096</c:v>
                </c:pt>
                <c:pt idx="403">
                  <c:v>162.28800000000001</c:v>
                </c:pt>
                <c:pt idx="404">
                  <c:v>159.21899999999999</c:v>
                </c:pt>
                <c:pt idx="405">
                  <c:v>158.88399999999999</c:v>
                </c:pt>
                <c:pt idx="406">
                  <c:v>158.51300000000001</c:v>
                </c:pt>
                <c:pt idx="407">
                  <c:v>158.09800000000001</c:v>
                </c:pt>
                <c:pt idx="408">
                  <c:v>155.03700000000001</c:v>
                </c:pt>
                <c:pt idx="409">
                  <c:v>152.244</c:v>
                </c:pt>
                <c:pt idx="410">
                  <c:v>155.66800000000001</c:v>
                </c:pt>
                <c:pt idx="411">
                  <c:v>154.691</c:v>
                </c:pt>
                <c:pt idx="412">
                  <c:v>158.30000000000001</c:v>
                </c:pt>
                <c:pt idx="413">
                  <c:v>159.84800000000001</c:v>
                </c:pt>
                <c:pt idx="414">
                  <c:v>155.268</c:v>
                </c:pt>
                <c:pt idx="415">
                  <c:v>152.245</c:v>
                </c:pt>
                <c:pt idx="416">
                  <c:v>142.267</c:v>
                </c:pt>
                <c:pt idx="417">
                  <c:v>137.17400000000001</c:v>
                </c:pt>
                <c:pt idx="418">
                  <c:v>137.17400000000001</c:v>
                </c:pt>
                <c:pt idx="419">
                  <c:v>127.146</c:v>
                </c:pt>
                <c:pt idx="420">
                  <c:v>130.64599999999999</c:v>
                </c:pt>
                <c:pt idx="421">
                  <c:v>129.95599999999999</c:v>
                </c:pt>
                <c:pt idx="422">
                  <c:v>131.44</c:v>
                </c:pt>
                <c:pt idx="423">
                  <c:v>136.256</c:v>
                </c:pt>
                <c:pt idx="424">
                  <c:v>149.66</c:v>
                </c:pt>
                <c:pt idx="425">
                  <c:v>143.90199999999999</c:v>
                </c:pt>
                <c:pt idx="426">
                  <c:v>146.75899999999999</c:v>
                </c:pt>
                <c:pt idx="427">
                  <c:v>152.072</c:v>
                </c:pt>
                <c:pt idx="428">
                  <c:v>150.10300000000001</c:v>
                </c:pt>
                <c:pt idx="429">
                  <c:v>150.47200000000001</c:v>
                </c:pt>
                <c:pt idx="430">
                  <c:v>150.21899999999999</c:v>
                </c:pt>
                <c:pt idx="431">
                  <c:v>153.64500000000001</c:v>
                </c:pt>
                <c:pt idx="432">
                  <c:v>151.291</c:v>
                </c:pt>
                <c:pt idx="433">
                  <c:v>151.63999999999999</c:v>
                </c:pt>
                <c:pt idx="434">
                  <c:v>151.63999999999999</c:v>
                </c:pt>
                <c:pt idx="435">
                  <c:v>148.99299999999999</c:v>
                </c:pt>
                <c:pt idx="436">
                  <c:v>152.291</c:v>
                </c:pt>
                <c:pt idx="437">
                  <c:v>155.12799999999999</c:v>
                </c:pt>
                <c:pt idx="438">
                  <c:v>152.88999999999999</c:v>
                </c:pt>
                <c:pt idx="439">
                  <c:v>158.11799999999999</c:v>
                </c:pt>
                <c:pt idx="440">
                  <c:v>160.483</c:v>
                </c:pt>
                <c:pt idx="441">
                  <c:v>157.26599999999999</c:v>
                </c:pt>
                <c:pt idx="442">
                  <c:v>157.34700000000001</c:v>
                </c:pt>
                <c:pt idx="443">
                  <c:v>159.75700000000001</c:v>
                </c:pt>
                <c:pt idx="444">
                  <c:v>157.69</c:v>
                </c:pt>
                <c:pt idx="445">
                  <c:v>154.07599999999999</c:v>
                </c:pt>
                <c:pt idx="446">
                  <c:v>150.214</c:v>
                </c:pt>
                <c:pt idx="447">
                  <c:v>151.02699999999999</c:v>
                </c:pt>
                <c:pt idx="448">
                  <c:v>150.65899999999999</c:v>
                </c:pt>
                <c:pt idx="449">
                  <c:v>156.999</c:v>
                </c:pt>
                <c:pt idx="450">
                  <c:v>156.04300000000001</c:v>
                </c:pt>
                <c:pt idx="451">
                  <c:v>153.71100000000001</c:v>
                </c:pt>
                <c:pt idx="452">
                  <c:v>158.91999999999999</c:v>
                </c:pt>
                <c:pt idx="453">
                  <c:v>158.51900000000001</c:v>
                </c:pt>
                <c:pt idx="454">
                  <c:v>159.83500000000001</c:v>
                </c:pt>
                <c:pt idx="455">
                  <c:v>160.22499999999999</c:v>
                </c:pt>
                <c:pt idx="456">
                  <c:v>154.822</c:v>
                </c:pt>
                <c:pt idx="457">
                  <c:v>151.76900000000001</c:v>
                </c:pt>
                <c:pt idx="458">
                  <c:v>154.34299999999999</c:v>
                </c:pt>
                <c:pt idx="459">
                  <c:v>152.1</c:v>
                </c:pt>
                <c:pt idx="460">
                  <c:v>153.77799999999999</c:v>
                </c:pt>
                <c:pt idx="461">
                  <c:v>151.489</c:v>
                </c:pt>
                <c:pt idx="462">
                  <c:v>151.374</c:v>
                </c:pt>
                <c:pt idx="463">
                  <c:v>144.625</c:v>
                </c:pt>
                <c:pt idx="464">
                  <c:v>146.09200000000001</c:v>
                </c:pt>
                <c:pt idx="465">
                  <c:v>147.791</c:v>
                </c:pt>
                <c:pt idx="466">
                  <c:v>148.404</c:v>
                </c:pt>
                <c:pt idx="467">
                  <c:v>146.77600000000001</c:v>
                </c:pt>
                <c:pt idx="468">
                  <c:v>143.16499999999999</c:v>
                </c:pt>
                <c:pt idx="469">
                  <c:v>141.09</c:v>
                </c:pt>
                <c:pt idx="470">
                  <c:v>142.01400000000001</c:v>
                </c:pt>
                <c:pt idx="471">
                  <c:v>141.458</c:v>
                </c:pt>
                <c:pt idx="472">
                  <c:v>139.571</c:v>
                </c:pt>
                <c:pt idx="473">
                  <c:v>140.77799999999999</c:v>
                </c:pt>
                <c:pt idx="474">
                  <c:v>144.428</c:v>
                </c:pt>
                <c:pt idx="475">
                  <c:v>145.63499999999999</c:v>
                </c:pt>
                <c:pt idx="476">
                  <c:v>151.10900000000001</c:v>
                </c:pt>
                <c:pt idx="477">
                  <c:v>148.04</c:v>
                </c:pt>
                <c:pt idx="478">
                  <c:v>148.27799999999999</c:v>
                </c:pt>
                <c:pt idx="479">
                  <c:v>153.107</c:v>
                </c:pt>
                <c:pt idx="480">
                  <c:v>147.03299999999999</c:v>
                </c:pt>
                <c:pt idx="481">
                  <c:v>145.39500000000001</c:v>
                </c:pt>
                <c:pt idx="482">
                  <c:v>137.852</c:v>
                </c:pt>
                <c:pt idx="483">
                  <c:v>138.315</c:v>
                </c:pt>
                <c:pt idx="484">
                  <c:v>127.708</c:v>
                </c:pt>
                <c:pt idx="485">
                  <c:v>127.569</c:v>
                </c:pt>
                <c:pt idx="486">
                  <c:v>127.173</c:v>
                </c:pt>
                <c:pt idx="487">
                  <c:v>131.322</c:v>
                </c:pt>
                <c:pt idx="488">
                  <c:v>127.744</c:v>
                </c:pt>
                <c:pt idx="489">
                  <c:v>126.554</c:v>
                </c:pt>
                <c:pt idx="490">
                  <c:v>129.685</c:v>
                </c:pt>
                <c:pt idx="491">
                  <c:v>127.309</c:v>
                </c:pt>
                <c:pt idx="492">
                  <c:v>129.41499999999999</c:v>
                </c:pt>
                <c:pt idx="493">
                  <c:v>128.13499999999999</c:v>
                </c:pt>
                <c:pt idx="494">
                  <c:v>127.89400000000001</c:v>
                </c:pt>
                <c:pt idx="495">
                  <c:v>126.66200000000001</c:v>
                </c:pt>
                <c:pt idx="496">
                  <c:v>126.1</c:v>
                </c:pt>
                <c:pt idx="497">
                  <c:v>126.32299999999999</c:v>
                </c:pt>
                <c:pt idx="498">
                  <c:v>128.32</c:v>
                </c:pt>
                <c:pt idx="499">
                  <c:v>129.20400000000001</c:v>
                </c:pt>
                <c:pt idx="500">
                  <c:v>127.221</c:v>
                </c:pt>
                <c:pt idx="501">
                  <c:v>126.711</c:v>
                </c:pt>
                <c:pt idx="502">
                  <c:v>124.399</c:v>
                </c:pt>
                <c:pt idx="503">
                  <c:v>121.66800000000001</c:v>
                </c:pt>
                <c:pt idx="504">
                  <c:v>125.011</c:v>
                </c:pt>
                <c:pt idx="505">
                  <c:v>124.43300000000001</c:v>
                </c:pt>
                <c:pt idx="506">
                  <c:v>123.916</c:v>
                </c:pt>
                <c:pt idx="507">
                  <c:v>125.762</c:v>
                </c:pt>
                <c:pt idx="508">
                  <c:v>126.91800000000001</c:v>
                </c:pt>
                <c:pt idx="509">
                  <c:v>126.128</c:v>
                </c:pt>
                <c:pt idx="510">
                  <c:v>121.52200000000001</c:v>
                </c:pt>
                <c:pt idx="511">
                  <c:v>119.56100000000001</c:v>
                </c:pt>
                <c:pt idx="512">
                  <c:v>119.361</c:v>
                </c:pt>
                <c:pt idx="513">
                  <c:v>118.624</c:v>
                </c:pt>
                <c:pt idx="514">
                  <c:v>119.672</c:v>
                </c:pt>
                <c:pt idx="515">
                  <c:v>120.91800000000001</c:v>
                </c:pt>
                <c:pt idx="516">
                  <c:v>121.069</c:v>
                </c:pt>
                <c:pt idx="517">
                  <c:v>120.893</c:v>
                </c:pt>
                <c:pt idx="518">
                  <c:v>120.893</c:v>
                </c:pt>
                <c:pt idx="519">
                  <c:v>120.893</c:v>
                </c:pt>
                <c:pt idx="520">
                  <c:v>121.627</c:v>
                </c:pt>
                <c:pt idx="521">
                  <c:v>121.556</c:v>
                </c:pt>
                <c:pt idx="522">
                  <c:v>122.462</c:v>
                </c:pt>
                <c:pt idx="523">
                  <c:v>122.462</c:v>
                </c:pt>
                <c:pt idx="524">
                  <c:v>122.092</c:v>
                </c:pt>
                <c:pt idx="525">
                  <c:v>120.697</c:v>
                </c:pt>
                <c:pt idx="526">
                  <c:v>122.367</c:v>
                </c:pt>
                <c:pt idx="527">
                  <c:v>121.178</c:v>
                </c:pt>
                <c:pt idx="528">
                  <c:v>116.93</c:v>
                </c:pt>
                <c:pt idx="529">
                  <c:v>115.233</c:v>
                </c:pt>
                <c:pt idx="530">
                  <c:v>120.155</c:v>
                </c:pt>
                <c:pt idx="531">
                  <c:v>118.80200000000001</c:v>
                </c:pt>
                <c:pt idx="532">
                  <c:v>113.639</c:v>
                </c:pt>
                <c:pt idx="533">
                  <c:v>118.652</c:v>
                </c:pt>
                <c:pt idx="534">
                  <c:v>117.349</c:v>
                </c:pt>
                <c:pt idx="535">
                  <c:v>114.602</c:v>
                </c:pt>
                <c:pt idx="536">
                  <c:v>113.962</c:v>
                </c:pt>
                <c:pt idx="537">
                  <c:v>113.833</c:v>
                </c:pt>
                <c:pt idx="538">
                  <c:v>122.59</c:v>
                </c:pt>
                <c:pt idx="539">
                  <c:v>121.715</c:v>
                </c:pt>
                <c:pt idx="540">
                  <c:v>121.47199999999999</c:v>
                </c:pt>
                <c:pt idx="541">
                  <c:v>119.295</c:v>
                </c:pt>
                <c:pt idx="542">
                  <c:v>118.70099999999999</c:v>
                </c:pt>
                <c:pt idx="543">
                  <c:v>117.474</c:v>
                </c:pt>
                <c:pt idx="544">
                  <c:v>117.161</c:v>
                </c:pt>
                <c:pt idx="545">
                  <c:v>116.246</c:v>
                </c:pt>
                <c:pt idx="546">
                  <c:v>113.783</c:v>
                </c:pt>
                <c:pt idx="547">
                  <c:v>111.521</c:v>
                </c:pt>
                <c:pt idx="548">
                  <c:v>109.983</c:v>
                </c:pt>
                <c:pt idx="549">
                  <c:v>109.32899999999999</c:v>
                </c:pt>
                <c:pt idx="550">
                  <c:v>110.908</c:v>
                </c:pt>
                <c:pt idx="551">
                  <c:v>112.96299999999999</c:v>
                </c:pt>
                <c:pt idx="552">
                  <c:v>108.36199999999999</c:v>
                </c:pt>
                <c:pt idx="553">
                  <c:v>105.083</c:v>
                </c:pt>
                <c:pt idx="554">
                  <c:v>103.387</c:v>
                </c:pt>
                <c:pt idx="555">
                  <c:v>96.822000000000003</c:v>
                </c:pt>
                <c:pt idx="556">
                  <c:v>101.68</c:v>
                </c:pt>
                <c:pt idx="557">
                  <c:v>97.625</c:v>
                </c:pt>
                <c:pt idx="558">
                  <c:v>95.838999999999999</c:v>
                </c:pt>
                <c:pt idx="559">
                  <c:v>95.531000000000006</c:v>
                </c:pt>
                <c:pt idx="560">
                  <c:v>98.826999999999998</c:v>
                </c:pt>
                <c:pt idx="561">
                  <c:v>96.162000000000006</c:v>
                </c:pt>
                <c:pt idx="562">
                  <c:v>82.981999999999999</c:v>
                </c:pt>
                <c:pt idx="563">
                  <c:v>93.917000000000002</c:v>
                </c:pt>
                <c:pt idx="564">
                  <c:v>88.536000000000001</c:v>
                </c:pt>
                <c:pt idx="565">
                  <c:v>92.936999999999998</c:v>
                </c:pt>
                <c:pt idx="566">
                  <c:v>89.457999999999998</c:v>
                </c:pt>
                <c:pt idx="567">
                  <c:v>83.536000000000001</c:v>
                </c:pt>
                <c:pt idx="568">
                  <c:v>95.515000000000001</c:v>
                </c:pt>
                <c:pt idx="569">
                  <c:v>100.708</c:v>
                </c:pt>
                <c:pt idx="570">
                  <c:v>103.425</c:v>
                </c:pt>
                <c:pt idx="571">
                  <c:v>102.375</c:v>
                </c:pt>
                <c:pt idx="572">
                  <c:v>101.52800000000001</c:v>
                </c:pt>
                <c:pt idx="573">
                  <c:v>103.6</c:v>
                </c:pt>
                <c:pt idx="574">
                  <c:v>102.492</c:v>
                </c:pt>
                <c:pt idx="575">
                  <c:v>100.45099999999999</c:v>
                </c:pt>
                <c:pt idx="576">
                  <c:v>109.556</c:v>
                </c:pt>
                <c:pt idx="577">
                  <c:v>110.834</c:v>
                </c:pt>
                <c:pt idx="578">
                  <c:v>109.669</c:v>
                </c:pt>
                <c:pt idx="579">
                  <c:v>108.864</c:v>
                </c:pt>
                <c:pt idx="580">
                  <c:v>121.41800000000001</c:v>
                </c:pt>
                <c:pt idx="581">
                  <c:v>120.973</c:v>
                </c:pt>
                <c:pt idx="582">
                  <c:v>119.489</c:v>
                </c:pt>
                <c:pt idx="583">
                  <c:v>119.28400000000001</c:v>
                </c:pt>
                <c:pt idx="584">
                  <c:v>115.419</c:v>
                </c:pt>
                <c:pt idx="585">
                  <c:v>118.554</c:v>
                </c:pt>
                <c:pt idx="586">
                  <c:v>109.937</c:v>
                </c:pt>
                <c:pt idx="587">
                  <c:v>116.947</c:v>
                </c:pt>
                <c:pt idx="588">
                  <c:v>116.947</c:v>
                </c:pt>
                <c:pt idx="589">
                  <c:v>116.947</c:v>
                </c:pt>
                <c:pt idx="590">
                  <c:v>121.065</c:v>
                </c:pt>
                <c:pt idx="591">
                  <c:v>129.99799999999999</c:v>
                </c:pt>
                <c:pt idx="592">
                  <c:v>132.691</c:v>
                </c:pt>
                <c:pt idx="593">
                  <c:v>133.53399999999999</c:v>
                </c:pt>
                <c:pt idx="594">
                  <c:v>129.81700000000001</c:v>
                </c:pt>
                <c:pt idx="595">
                  <c:v>137.28</c:v>
                </c:pt>
                <c:pt idx="596">
                  <c:v>128.75299999999999</c:v>
                </c:pt>
                <c:pt idx="597">
                  <c:v>135.261</c:v>
                </c:pt>
                <c:pt idx="598">
                  <c:v>119.63500000000001</c:v>
                </c:pt>
                <c:pt idx="599">
                  <c:v>116.964</c:v>
                </c:pt>
                <c:pt idx="600">
                  <c:v>128.244</c:v>
                </c:pt>
                <c:pt idx="601">
                  <c:v>127.434</c:v>
                </c:pt>
                <c:pt idx="602">
                  <c:v>116.41800000000001</c:v>
                </c:pt>
                <c:pt idx="603">
                  <c:v>114.86</c:v>
                </c:pt>
                <c:pt idx="604">
                  <c:v>114.453</c:v>
                </c:pt>
                <c:pt idx="605">
                  <c:v>111.459</c:v>
                </c:pt>
                <c:pt idx="606">
                  <c:v>112.03100000000001</c:v>
                </c:pt>
                <c:pt idx="607">
                  <c:v>108.943</c:v>
                </c:pt>
                <c:pt idx="608">
                  <c:v>107.096</c:v>
                </c:pt>
                <c:pt idx="609">
                  <c:v>107.096</c:v>
                </c:pt>
                <c:pt idx="610">
                  <c:v>108.99299999999999</c:v>
                </c:pt>
                <c:pt idx="611">
                  <c:v>109.675</c:v>
                </c:pt>
                <c:pt idx="612">
                  <c:v>107.815</c:v>
                </c:pt>
                <c:pt idx="613">
                  <c:v>110.291</c:v>
                </c:pt>
                <c:pt idx="614">
                  <c:v>106.86</c:v>
                </c:pt>
                <c:pt idx="615">
                  <c:v>107.086</c:v>
                </c:pt>
                <c:pt idx="616">
                  <c:v>103.33499999999999</c:v>
                </c:pt>
                <c:pt idx="617">
                  <c:v>108.496</c:v>
                </c:pt>
                <c:pt idx="618">
                  <c:v>102.95399999999999</c:v>
                </c:pt>
                <c:pt idx="619">
                  <c:v>103.215</c:v>
                </c:pt>
                <c:pt idx="620">
                  <c:v>105.309</c:v>
                </c:pt>
                <c:pt idx="621">
                  <c:v>101.657</c:v>
                </c:pt>
                <c:pt idx="622">
                  <c:v>102.438</c:v>
                </c:pt>
                <c:pt idx="623">
                  <c:v>99.977999999999994</c:v>
                </c:pt>
                <c:pt idx="624">
                  <c:v>102.474</c:v>
                </c:pt>
                <c:pt idx="625">
                  <c:v>106.09</c:v>
                </c:pt>
                <c:pt idx="626">
                  <c:v>101.211</c:v>
                </c:pt>
                <c:pt idx="627">
                  <c:v>98.558999999999997</c:v>
                </c:pt>
                <c:pt idx="628">
                  <c:v>98.852999999999994</c:v>
                </c:pt>
                <c:pt idx="629">
                  <c:v>98.852999999999994</c:v>
                </c:pt>
                <c:pt idx="630">
                  <c:v>98.483000000000004</c:v>
                </c:pt>
                <c:pt idx="631">
                  <c:v>100.348</c:v>
                </c:pt>
                <c:pt idx="632">
                  <c:v>97.408000000000001</c:v>
                </c:pt>
                <c:pt idx="633">
                  <c:v>104.502</c:v>
                </c:pt>
                <c:pt idx="634">
                  <c:v>101.596</c:v>
                </c:pt>
                <c:pt idx="635">
                  <c:v>100.517</c:v>
                </c:pt>
                <c:pt idx="636">
                  <c:v>98.906999999999996</c:v>
                </c:pt>
                <c:pt idx="637">
                  <c:v>100.9</c:v>
                </c:pt>
                <c:pt idx="638">
                  <c:v>93.346999999999994</c:v>
                </c:pt>
                <c:pt idx="639">
                  <c:v>90.203000000000003</c:v>
                </c:pt>
                <c:pt idx="640">
                  <c:v>91.790999999999997</c:v>
                </c:pt>
                <c:pt idx="641">
                  <c:v>79.319000000000003</c:v>
                </c:pt>
                <c:pt idx="642">
                  <c:v>83.905000000000001</c:v>
                </c:pt>
                <c:pt idx="643">
                  <c:v>81.022999999999996</c:v>
                </c:pt>
                <c:pt idx="644">
                  <c:v>78.421999999999997</c:v>
                </c:pt>
                <c:pt idx="645">
                  <c:v>83.147999999999996</c:v>
                </c:pt>
                <c:pt idx="646">
                  <c:v>78.191999999999993</c:v>
                </c:pt>
                <c:pt idx="647">
                  <c:v>80.022000000000006</c:v>
                </c:pt>
                <c:pt idx="648">
                  <c:v>78.561999999999998</c:v>
                </c:pt>
                <c:pt idx="649">
                  <c:v>80.802999999999997</c:v>
                </c:pt>
                <c:pt idx="650">
                  <c:v>79.738</c:v>
                </c:pt>
                <c:pt idx="651">
                  <c:v>81.751000000000005</c:v>
                </c:pt>
                <c:pt idx="652">
                  <c:v>81.331000000000003</c:v>
                </c:pt>
                <c:pt idx="653">
                  <c:v>83.222999999999999</c:v>
                </c:pt>
                <c:pt idx="654">
                  <c:v>84.914000000000001</c:v>
                </c:pt>
                <c:pt idx="655">
                  <c:v>88.518000000000001</c:v>
                </c:pt>
                <c:pt idx="656">
                  <c:v>91.04</c:v>
                </c:pt>
                <c:pt idx="657">
                  <c:v>92.513999999999996</c:v>
                </c:pt>
                <c:pt idx="658">
                  <c:v>88.397000000000006</c:v>
                </c:pt>
                <c:pt idx="659">
                  <c:v>86.134</c:v>
                </c:pt>
                <c:pt idx="660">
                  <c:v>82.581000000000003</c:v>
                </c:pt>
                <c:pt idx="661">
                  <c:v>85.706000000000003</c:v>
                </c:pt>
                <c:pt idx="662">
                  <c:v>88.522000000000006</c:v>
                </c:pt>
                <c:pt idx="663">
                  <c:v>87.245999999999995</c:v>
                </c:pt>
                <c:pt idx="664">
                  <c:v>97.072000000000003</c:v>
                </c:pt>
                <c:pt idx="665">
                  <c:v>95.533000000000001</c:v>
                </c:pt>
                <c:pt idx="666">
                  <c:v>87.269000000000005</c:v>
                </c:pt>
                <c:pt idx="667">
                  <c:v>89.204999999999998</c:v>
                </c:pt>
                <c:pt idx="668">
                  <c:v>91.608999999999995</c:v>
                </c:pt>
                <c:pt idx="669">
                  <c:v>88.742000000000004</c:v>
                </c:pt>
                <c:pt idx="670">
                  <c:v>91.747</c:v>
                </c:pt>
                <c:pt idx="671">
                  <c:v>90.468999999999994</c:v>
                </c:pt>
                <c:pt idx="672">
                  <c:v>87.542000000000002</c:v>
                </c:pt>
                <c:pt idx="673">
                  <c:v>92.491</c:v>
                </c:pt>
                <c:pt idx="674">
                  <c:v>94.869</c:v>
                </c:pt>
                <c:pt idx="675">
                  <c:v>94.869</c:v>
                </c:pt>
                <c:pt idx="676">
                  <c:v>94.869</c:v>
                </c:pt>
                <c:pt idx="677">
                  <c:v>84.375</c:v>
                </c:pt>
                <c:pt idx="678">
                  <c:v>81.463999999999999</c:v>
                </c:pt>
                <c:pt idx="679">
                  <c:v>79.62</c:v>
                </c:pt>
                <c:pt idx="680">
                  <c:v>79.42</c:v>
                </c:pt>
                <c:pt idx="681">
                  <c:v>79.42</c:v>
                </c:pt>
                <c:pt idx="682">
                  <c:v>78.948999999999998</c:v>
                </c:pt>
                <c:pt idx="683">
                  <c:v>78.948999999999998</c:v>
                </c:pt>
                <c:pt idx="684">
                  <c:v>78.948999999999998</c:v>
                </c:pt>
                <c:pt idx="685">
                  <c:v>78.948999999999998</c:v>
                </c:pt>
                <c:pt idx="686">
                  <c:v>78.948999999999998</c:v>
                </c:pt>
                <c:pt idx="687">
                  <c:v>78.948999999999998</c:v>
                </c:pt>
                <c:pt idx="688">
                  <c:v>78.948999999999998</c:v>
                </c:pt>
                <c:pt idx="689">
                  <c:v>78.948999999999998</c:v>
                </c:pt>
                <c:pt idx="690">
                  <c:v>78.948999999999998</c:v>
                </c:pt>
                <c:pt idx="691">
                  <c:v>78.948999999999998</c:v>
                </c:pt>
                <c:pt idx="692">
                  <c:v>80.084000000000003</c:v>
                </c:pt>
                <c:pt idx="693">
                  <c:v>86.784000000000006</c:v>
                </c:pt>
                <c:pt idx="694">
                  <c:v>86.784000000000006</c:v>
                </c:pt>
                <c:pt idx="695">
                  <c:v>88.930999999999997</c:v>
                </c:pt>
                <c:pt idx="696">
                  <c:v>87.513999999999996</c:v>
                </c:pt>
                <c:pt idx="697">
                  <c:v>87.385000000000005</c:v>
                </c:pt>
                <c:pt idx="698">
                  <c:v>87.385000000000005</c:v>
                </c:pt>
                <c:pt idx="699">
                  <c:v>87.385000000000005</c:v>
                </c:pt>
                <c:pt idx="700">
                  <c:v>86.100999999999999</c:v>
                </c:pt>
                <c:pt idx="701">
                  <c:v>86.382999999999996</c:v>
                </c:pt>
                <c:pt idx="702">
                  <c:v>86.548000000000002</c:v>
                </c:pt>
                <c:pt idx="703">
                  <c:v>84.051000000000002</c:v>
                </c:pt>
                <c:pt idx="704">
                  <c:v>84.567999999999998</c:v>
                </c:pt>
                <c:pt idx="705">
                  <c:v>84.567999999999998</c:v>
                </c:pt>
              </c:numCache>
            </c:numRef>
          </c:val>
          <c:smooth val="0"/>
          <c:extLst>
            <c:ext xmlns:c16="http://schemas.microsoft.com/office/drawing/2014/chart" uri="{C3380CC4-5D6E-409C-BE32-E72D297353CC}">
              <c16:uniqueId val="{00000001-7C05-4062-8901-959CCCC822C5}"/>
            </c:ext>
          </c:extLst>
        </c:ser>
        <c:ser>
          <c:idx val="2"/>
          <c:order val="2"/>
          <c:tx>
            <c:strRef>
              <c:f>Sheet1!$D$1</c:f>
              <c:strCache>
                <c:ptCount val="1"/>
                <c:pt idx="0">
                  <c:v>Column2</c:v>
                </c:pt>
              </c:strCache>
            </c:strRef>
          </c:tx>
          <c:spPr>
            <a:ln w="28575" cap="rnd">
              <a:solidFill>
                <a:schemeClr val="accent3"/>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Sheet1!$D$2:$D$707</c:f>
            </c:numRef>
          </c:val>
          <c:smooth val="0"/>
          <c:extLst>
            <c:ext xmlns:c16="http://schemas.microsoft.com/office/drawing/2014/chart" uri="{C3380CC4-5D6E-409C-BE32-E72D297353CC}">
              <c16:uniqueId val="{00000002-7C05-4062-8901-959CCCC822C5}"/>
            </c:ext>
          </c:extLst>
        </c:ser>
        <c:ser>
          <c:idx val="3"/>
          <c:order val="3"/>
          <c:tx>
            <c:strRef>
              <c:f>Sheet1!$E$1</c:f>
              <c:strCache>
                <c:ptCount val="1"/>
                <c:pt idx="0">
                  <c:v>Հայաստան (2029թ.)</c:v>
                </c:pt>
              </c:strCache>
            </c:strRef>
          </c:tx>
          <c:spPr>
            <a:ln w="28575" cap="rnd">
              <a:solidFill>
                <a:srgbClr val="C00000"/>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Sheet1!$E$2:$E$707</c:f>
              <c:numCache>
                <c:formatCode>General</c:formatCode>
                <c:ptCount val="706"/>
                <c:pt idx="190" formatCode="_(* #,##0_);_(* \(#,##0\);_(* &quot;-&quot;??_);_(@_)">
                  <c:v>259.19799999999998</c:v>
                </c:pt>
                <c:pt idx="191" formatCode="_(* #,##0_);_(* \(#,##0\);_(* &quot;-&quot;??_);_(@_)">
                  <c:v>256.65100000000001</c:v>
                </c:pt>
                <c:pt idx="192" formatCode="_(* #,##0_);_(* \(#,##0\);_(* &quot;-&quot;??_);_(@_)">
                  <c:v>257.65199999999999</c:v>
                </c:pt>
                <c:pt idx="193" formatCode="_(* #,##0_);_(* \(#,##0\);_(* &quot;-&quot;??_);_(@_)">
                  <c:v>260.23899999999998</c:v>
                </c:pt>
                <c:pt idx="194" formatCode="_(* #,##0_);_(* \(#,##0\);_(* &quot;-&quot;??_);_(@_)">
                  <c:v>260.40100000000001</c:v>
                </c:pt>
                <c:pt idx="195" formatCode="_(* #,##0_);_(* \(#,##0\);_(* &quot;-&quot;??_);_(@_)">
                  <c:v>265.23700000000002</c:v>
                </c:pt>
                <c:pt idx="196" formatCode="_(* #,##0_);_(* \(#,##0\);_(* &quot;-&quot;??_);_(@_)">
                  <c:v>273.62299999999999</c:v>
                </c:pt>
                <c:pt idx="197" formatCode="_(* #,##0_);_(* \(#,##0\);_(* &quot;-&quot;??_);_(@_)">
                  <c:v>278.80599999999998</c:v>
                </c:pt>
                <c:pt idx="198" formatCode="_(* #,##0_);_(* \(#,##0\);_(* &quot;-&quot;??_);_(@_)">
                  <c:v>274.01799999999997</c:v>
                </c:pt>
                <c:pt idx="199" formatCode="_(* #,##0_);_(* \(#,##0\);_(* &quot;-&quot;??_);_(@_)">
                  <c:v>274.16399999999999</c:v>
                </c:pt>
                <c:pt idx="200" formatCode="_(* #,##0_);_(* \(#,##0\);_(* &quot;-&quot;??_);_(@_)">
                  <c:v>279.48500000000001</c:v>
                </c:pt>
                <c:pt idx="201" formatCode="_(* #,##0_);_(* \(#,##0\);_(* &quot;-&quot;??_);_(@_)">
                  <c:v>275.13</c:v>
                </c:pt>
                <c:pt idx="202" formatCode="_(* #,##0_);_(* \(#,##0\);_(* &quot;-&quot;??_);_(@_)">
                  <c:v>267.25900000000001</c:v>
                </c:pt>
                <c:pt idx="203" formatCode="_(* #,##0_);_(* \(#,##0\);_(* &quot;-&quot;??_);_(@_)">
                  <c:v>258.62799999999999</c:v>
                </c:pt>
                <c:pt idx="204" formatCode="_(* #,##0_);_(* \(#,##0\);_(* &quot;-&quot;??_);_(@_)">
                  <c:v>258.62799999999999</c:v>
                </c:pt>
                <c:pt idx="205" formatCode="_(* #,##0_);_(* \(#,##0\);_(* &quot;-&quot;??_);_(@_)">
                  <c:v>252.482</c:v>
                </c:pt>
                <c:pt idx="206" formatCode="_(* #,##0_);_(* \(#,##0\);_(* &quot;-&quot;??_);_(@_)">
                  <c:v>257.404</c:v>
                </c:pt>
                <c:pt idx="207" formatCode="_(* #,##0_);_(* \(#,##0\);_(* &quot;-&quot;??_);_(@_)">
                  <c:v>252.45500000000001</c:v>
                </c:pt>
                <c:pt idx="208" formatCode="_(* #,##0_);_(* \(#,##0\);_(* &quot;-&quot;??_);_(@_)">
                  <c:v>250.827</c:v>
                </c:pt>
                <c:pt idx="209" formatCode="_(* #,##0_);_(* \(#,##0\);_(* &quot;-&quot;??_);_(@_)">
                  <c:v>250.988</c:v>
                </c:pt>
                <c:pt idx="210" formatCode="_(* #,##0_);_(* \(#,##0\);_(* &quot;-&quot;??_);_(@_)">
                  <c:v>255.48099999999999</c:v>
                </c:pt>
                <c:pt idx="211" formatCode="_(* #,##0_);_(* \(#,##0\);_(* &quot;-&quot;??_);_(@_)">
                  <c:v>255.161</c:v>
                </c:pt>
                <c:pt idx="212" formatCode="_(* #,##0_);_(* \(#,##0\);_(* &quot;-&quot;??_);_(@_)">
                  <c:v>254.65899999999999</c:v>
                </c:pt>
                <c:pt idx="213" formatCode="_(* #,##0_);_(* \(#,##0\);_(* &quot;-&quot;??_);_(@_)">
                  <c:v>252.042</c:v>
                </c:pt>
                <c:pt idx="214" formatCode="_(* #,##0_);_(* \(#,##0\);_(* &quot;-&quot;??_);_(@_)">
                  <c:v>249.73500000000001</c:v>
                </c:pt>
                <c:pt idx="215" formatCode="_(* #,##0_);_(* \(#,##0\);_(* &quot;-&quot;??_);_(@_)">
                  <c:v>249.523</c:v>
                </c:pt>
                <c:pt idx="216" formatCode="_(* #,##0_);_(* \(#,##0\);_(* &quot;-&quot;??_);_(@_)">
                  <c:v>256.125</c:v>
                </c:pt>
                <c:pt idx="217" formatCode="_(* #,##0_);_(* \(#,##0\);_(* &quot;-&quot;??_);_(@_)">
                  <c:v>263.428</c:v>
                </c:pt>
                <c:pt idx="218" formatCode="_(* #,##0_);_(* \(#,##0\);_(* &quot;-&quot;??_);_(@_)">
                  <c:v>259.11599999999999</c:v>
                </c:pt>
                <c:pt idx="219" formatCode="_(* #,##0_);_(* \(#,##0\);_(* &quot;-&quot;??_);_(@_)">
                  <c:v>252.64099999999999</c:v>
                </c:pt>
                <c:pt idx="220" formatCode="_(* #,##0_);_(* \(#,##0\);_(* &quot;-&quot;??_);_(@_)">
                  <c:v>247.06399999999999</c:v>
                </c:pt>
                <c:pt idx="221" formatCode="_(* #,##0_);_(* \(#,##0\);_(* &quot;-&quot;??_);_(@_)">
                  <c:v>252.62100000000001</c:v>
                </c:pt>
                <c:pt idx="222" formatCode="_(* #,##0_);_(* \(#,##0\);_(* &quot;-&quot;??_);_(@_)">
                  <c:v>246.07400000000001</c:v>
                </c:pt>
                <c:pt idx="223" formatCode="_(* #,##0_);_(* \(#,##0\);_(* &quot;-&quot;??_);_(@_)">
                  <c:v>244.93899999999999</c:v>
                </c:pt>
                <c:pt idx="224" formatCode="_(* #,##0_);_(* \(#,##0\);_(* &quot;-&quot;??_);_(@_)">
                  <c:v>245.09899999999999</c:v>
                </c:pt>
                <c:pt idx="225" formatCode="_(* #,##0_);_(* \(#,##0\);_(* &quot;-&quot;??_);_(@_)">
                  <c:v>249.73500000000001</c:v>
                </c:pt>
                <c:pt idx="226" formatCode="_(* #,##0_);_(* \(#,##0\);_(* &quot;-&quot;??_);_(@_)">
                  <c:v>253.48</c:v>
                </c:pt>
                <c:pt idx="227" formatCode="_(* #,##0_);_(* \(#,##0\);_(* &quot;-&quot;??_);_(@_)">
                  <c:v>254.90199999999999</c:v>
                </c:pt>
                <c:pt idx="228" formatCode="_(* #,##0_);_(* \(#,##0\);_(* &quot;-&quot;??_);_(@_)">
                  <c:v>249.90299999999999</c:v>
                </c:pt>
                <c:pt idx="229" formatCode="_(* #,##0_);_(* \(#,##0\);_(* &quot;-&quot;??_);_(@_)">
                  <c:v>251.71</c:v>
                </c:pt>
                <c:pt idx="230" formatCode="_(* #,##0_);_(* \(#,##0\);_(* &quot;-&quot;??_);_(@_)">
                  <c:v>255.44200000000001</c:v>
                </c:pt>
                <c:pt idx="231" formatCode="_(* #,##0_);_(* \(#,##0\);_(* &quot;-&quot;??_);_(@_)">
                  <c:v>255.15199999999999</c:v>
                </c:pt>
                <c:pt idx="232" formatCode="_(* #,##0_);_(* \(#,##0\);_(* &quot;-&quot;??_);_(@_)">
                  <c:v>252.173</c:v>
                </c:pt>
                <c:pt idx="233" formatCode="_(* #,##0_);_(* \(#,##0\);_(* &quot;-&quot;??_);_(@_)">
                  <c:v>246.83</c:v>
                </c:pt>
                <c:pt idx="234" formatCode="_(* #,##0_);_(* \(#,##0\);_(* &quot;-&quot;??_);_(@_)">
                  <c:v>244.12799999999999</c:v>
                </c:pt>
                <c:pt idx="235" formatCode="_(* #,##0_);_(* \(#,##0\);_(* &quot;-&quot;??_);_(@_)">
                  <c:v>243.922</c:v>
                </c:pt>
                <c:pt idx="236" formatCode="_(* #,##0_);_(* \(#,##0\);_(* &quot;-&quot;??_);_(@_)">
                  <c:v>240.816</c:v>
                </c:pt>
                <c:pt idx="237" formatCode="_(* #,##0_);_(* \(#,##0\);_(* &quot;-&quot;??_);_(@_)">
                  <c:v>236.803</c:v>
                </c:pt>
                <c:pt idx="238" formatCode="_(* #,##0_);_(* \(#,##0\);_(* &quot;-&quot;??_);_(@_)">
                  <c:v>234.91800000000001</c:v>
                </c:pt>
                <c:pt idx="239" formatCode="_(* #,##0_);_(* \(#,##0\);_(* &quot;-&quot;??_);_(@_)">
                  <c:v>235.54300000000001</c:v>
                </c:pt>
                <c:pt idx="240" formatCode="_(* #,##0_);_(* \(#,##0\);_(* &quot;-&quot;??_);_(@_)">
                  <c:v>245.68799999999999</c:v>
                </c:pt>
                <c:pt idx="241" formatCode="_(* #,##0_);_(* \(#,##0\);_(* &quot;-&quot;??_);_(@_)">
                  <c:v>238.10599999999999</c:v>
                </c:pt>
                <c:pt idx="242" formatCode="_(* #,##0_);_(* \(#,##0\);_(* &quot;-&quot;??_);_(@_)">
                  <c:v>234.346</c:v>
                </c:pt>
                <c:pt idx="243" formatCode="_(* #,##0_);_(* \(#,##0\);_(* &quot;-&quot;??_);_(@_)">
                  <c:v>230.233</c:v>
                </c:pt>
                <c:pt idx="244" formatCode="_(* #,##0_);_(* \(#,##0\);_(* &quot;-&quot;??_);_(@_)">
                  <c:v>232.78200000000001</c:v>
                </c:pt>
                <c:pt idx="245" formatCode="_(* #,##0_);_(* \(#,##0\);_(* &quot;-&quot;??_);_(@_)">
                  <c:v>232.47</c:v>
                </c:pt>
                <c:pt idx="246" formatCode="_(* #,##0_);_(* \(#,##0\);_(* &quot;-&quot;??_);_(@_)">
                  <c:v>236.34</c:v>
                </c:pt>
                <c:pt idx="247" formatCode="_(* #,##0_);_(* \(#,##0\);_(* &quot;-&quot;??_);_(@_)">
                  <c:v>223.37700000000001</c:v>
                </c:pt>
                <c:pt idx="248" formatCode="_(* #,##0_);_(* \(#,##0\);_(* &quot;-&quot;??_);_(@_)">
                  <c:v>232.37899999999999</c:v>
                </c:pt>
                <c:pt idx="249" formatCode="_(* #,##0_);_(* \(#,##0\);_(* &quot;-&quot;??_);_(@_)">
                  <c:v>224.751</c:v>
                </c:pt>
                <c:pt idx="250" formatCode="_(* #,##0_);_(* \(#,##0\);_(* &quot;-&quot;??_);_(@_)">
                  <c:v>220.03800000000001</c:v>
                </c:pt>
                <c:pt idx="251" formatCode="_(* #,##0_);_(* \(#,##0\);_(* &quot;-&quot;??_);_(@_)">
                  <c:v>218.66</c:v>
                </c:pt>
                <c:pt idx="252" formatCode="_(* #,##0_);_(* \(#,##0\);_(* &quot;-&quot;??_);_(@_)">
                  <c:v>216.81899999999999</c:v>
                </c:pt>
                <c:pt idx="253" formatCode="_(* #,##0_);_(* \(#,##0\);_(* &quot;-&quot;??_);_(@_)">
                  <c:v>215.81800000000001</c:v>
                </c:pt>
                <c:pt idx="254" formatCode="_(* #,##0_);_(* \(#,##0\);_(* &quot;-&quot;??_);_(@_)">
                  <c:v>215.92699999999999</c:v>
                </c:pt>
                <c:pt idx="255" formatCode="_(* #,##0_);_(* \(#,##0\);_(* &quot;-&quot;??_);_(@_)">
                  <c:v>217.625</c:v>
                </c:pt>
                <c:pt idx="256" formatCode="_(* #,##0_);_(* \(#,##0\);_(* &quot;-&quot;??_);_(@_)">
                  <c:v>217.625</c:v>
                </c:pt>
                <c:pt idx="257" formatCode="_(* #,##0_);_(* \(#,##0\);_(* &quot;-&quot;??_);_(@_)">
                  <c:v>217.625</c:v>
                </c:pt>
                <c:pt idx="258" formatCode="_(* #,##0_);_(* \(#,##0\);_(* &quot;-&quot;??_);_(@_)">
                  <c:v>219.49299999999999</c:v>
                </c:pt>
                <c:pt idx="259" formatCode="_(* #,##0_);_(* \(#,##0\);_(* &quot;-&quot;??_);_(@_)">
                  <c:v>220.79</c:v>
                </c:pt>
                <c:pt idx="260" formatCode="_(* #,##0_);_(* \(#,##0\);_(* &quot;-&quot;??_);_(@_)">
                  <c:v>215.73500000000001</c:v>
                </c:pt>
                <c:pt idx="261" formatCode="_(* #,##0_);_(* \(#,##0\);_(* &quot;-&quot;??_);_(@_)">
                  <c:v>215.73500000000001</c:v>
                </c:pt>
                <c:pt idx="262" formatCode="_(* #,##0_);_(* \(#,##0\);_(* &quot;-&quot;??_);_(@_)">
                  <c:v>218.01599999999999</c:v>
                </c:pt>
                <c:pt idx="263" formatCode="_(* #,##0_);_(* \(#,##0\);_(* &quot;-&quot;??_);_(@_)">
                  <c:v>227.416</c:v>
                </c:pt>
                <c:pt idx="264" formatCode="_(* #,##0_);_(* \(#,##0\);_(* &quot;-&quot;??_);_(@_)">
                  <c:v>227.48</c:v>
                </c:pt>
                <c:pt idx="265" formatCode="_(* #,##0_);_(* \(#,##0\);_(* &quot;-&quot;??_);_(@_)">
                  <c:v>225.864</c:v>
                </c:pt>
                <c:pt idx="266" formatCode="_(* #,##0_);_(* \(#,##0\);_(* &quot;-&quot;??_);_(@_)">
                  <c:v>212.47900000000001</c:v>
                </c:pt>
                <c:pt idx="267" formatCode="_(* #,##0_);_(* \(#,##0\);_(* &quot;-&quot;??_);_(@_)">
                  <c:v>213.59200000000001</c:v>
                </c:pt>
                <c:pt idx="268" formatCode="_(* #,##0_);_(* \(#,##0\);_(* &quot;-&quot;??_);_(@_)">
                  <c:v>212.102</c:v>
                </c:pt>
                <c:pt idx="269" formatCode="_(* #,##0_);_(* \(#,##0\);_(* &quot;-&quot;??_);_(@_)">
                  <c:v>210.18799999999999</c:v>
                </c:pt>
                <c:pt idx="270" formatCode="_(* #,##0_);_(* \(#,##0\);_(* &quot;-&quot;??_);_(@_)">
                  <c:v>208.06100000000001</c:v>
                </c:pt>
                <c:pt idx="271" formatCode="_(* #,##0_);_(* \(#,##0\);_(* &quot;-&quot;??_);_(@_)">
                  <c:v>210.995</c:v>
                </c:pt>
                <c:pt idx="272" formatCode="_(* #,##0_);_(* \(#,##0\);_(* &quot;-&quot;??_);_(@_)">
                  <c:v>200.47</c:v>
                </c:pt>
                <c:pt idx="273" formatCode="_(* #,##0_);_(* \(#,##0\);_(* &quot;-&quot;??_);_(@_)">
                  <c:v>201.64599999999999</c:v>
                </c:pt>
                <c:pt idx="274" formatCode="_(* #,##0_);_(* \(#,##0\);_(* &quot;-&quot;??_);_(@_)">
                  <c:v>202.673</c:v>
                </c:pt>
                <c:pt idx="275" formatCode="_(* #,##0_);_(* \(#,##0\);_(* &quot;-&quot;??_);_(@_)">
                  <c:v>206.327</c:v>
                </c:pt>
                <c:pt idx="276" formatCode="_(* #,##0_);_(* \(#,##0\);_(* &quot;-&quot;??_);_(@_)">
                  <c:v>207.60599999999999</c:v>
                </c:pt>
                <c:pt idx="277" formatCode="_(* #,##0_);_(* \(#,##0\);_(* &quot;-&quot;??_);_(@_)">
                  <c:v>210.655</c:v>
                </c:pt>
                <c:pt idx="278" formatCode="_(* #,##0_);_(* \(#,##0\);_(* &quot;-&quot;??_);_(@_)">
                  <c:v>216.11</c:v>
                </c:pt>
                <c:pt idx="279" formatCode="_(* #,##0_);_(* \(#,##0\);_(* &quot;-&quot;??_);_(@_)">
                  <c:v>226.17699999999999</c:v>
                </c:pt>
                <c:pt idx="280" formatCode="_(* #,##0_);_(* \(#,##0\);_(* &quot;-&quot;??_);_(@_)">
                  <c:v>219.88</c:v>
                </c:pt>
                <c:pt idx="281" formatCode="_(* #,##0_);_(* \(#,##0\);_(* &quot;-&quot;??_);_(@_)">
                  <c:v>226.971</c:v>
                </c:pt>
                <c:pt idx="282" formatCode="_(* #,##0_);_(* \(#,##0\);_(* &quot;-&quot;??_);_(@_)">
                  <c:v>226.643</c:v>
                </c:pt>
                <c:pt idx="283" formatCode="_(* #,##0_);_(* \(#,##0\);_(* &quot;-&quot;??_);_(@_)">
                  <c:v>233.95</c:v>
                </c:pt>
                <c:pt idx="284" formatCode="_(* #,##0_);_(* \(#,##0\);_(* &quot;-&quot;??_);_(@_)">
                  <c:v>229.86500000000001</c:v>
                </c:pt>
                <c:pt idx="285" formatCode="_(* #,##0_);_(* \(#,##0\);_(* &quot;-&quot;??_);_(@_)">
                  <c:v>224.58600000000001</c:v>
                </c:pt>
                <c:pt idx="286" formatCode="_(* #,##0_);_(* \(#,##0\);_(* &quot;-&quot;??_);_(@_)">
                  <c:v>219.608</c:v>
                </c:pt>
                <c:pt idx="287" formatCode="_(* #,##0_);_(* \(#,##0\);_(* &quot;-&quot;??_);_(@_)">
                  <c:v>218.321</c:v>
                </c:pt>
                <c:pt idx="288" formatCode="_(* #,##0_);_(* \(#,##0\);_(* &quot;-&quot;??_);_(@_)">
                  <c:v>223.73099999999999</c:v>
                </c:pt>
                <c:pt idx="289" formatCode="_(* #,##0_);_(* \(#,##0\);_(* &quot;-&quot;??_);_(@_)">
                  <c:v>226.251</c:v>
                </c:pt>
                <c:pt idx="290" formatCode="_(* #,##0_);_(* \(#,##0\);_(* &quot;-&quot;??_);_(@_)">
                  <c:v>221.453</c:v>
                </c:pt>
                <c:pt idx="291" formatCode="_(* #,##0_);_(* \(#,##0\);_(* &quot;-&quot;??_);_(@_)">
                  <c:v>217.792</c:v>
                </c:pt>
                <c:pt idx="292" formatCode="_(* #,##0_);_(* \(#,##0\);_(* &quot;-&quot;??_);_(@_)">
                  <c:v>219.74100000000001</c:v>
                </c:pt>
                <c:pt idx="293" formatCode="_(* #,##0_);_(* \(#,##0\);_(* &quot;-&quot;??_);_(@_)">
                  <c:v>219.238</c:v>
                </c:pt>
                <c:pt idx="294" formatCode="_(* #,##0_);_(* \(#,##0\);_(* &quot;-&quot;??_);_(@_)">
                  <c:v>217.83099999999999</c:v>
                </c:pt>
                <c:pt idx="295" formatCode="_(* #,##0_);_(* \(#,##0\);_(* &quot;-&quot;??_);_(@_)">
                  <c:v>220.51900000000001</c:v>
                </c:pt>
                <c:pt idx="296" formatCode="_(* #,##0_);_(* \(#,##0\);_(* &quot;-&quot;??_);_(@_)">
                  <c:v>218.62799999999999</c:v>
                </c:pt>
                <c:pt idx="297" formatCode="_(* #,##0_);_(* \(#,##0\);_(* &quot;-&quot;??_);_(@_)">
                  <c:v>219.792</c:v>
                </c:pt>
                <c:pt idx="298" formatCode="_(* #,##0_);_(* \(#,##0\);_(* &quot;-&quot;??_);_(@_)">
                  <c:v>223.03800000000001</c:v>
                </c:pt>
                <c:pt idx="299" formatCode="_(* #,##0_);_(* \(#,##0\);_(* &quot;-&quot;??_);_(@_)">
                  <c:v>235.584</c:v>
                </c:pt>
                <c:pt idx="300" formatCode="_(* #,##0_);_(* \(#,##0\);_(* &quot;-&quot;??_);_(@_)">
                  <c:v>237.24700000000001</c:v>
                </c:pt>
                <c:pt idx="301" formatCode="_(* #,##0_);_(* \(#,##0\);_(* &quot;-&quot;??_);_(@_)">
                  <c:v>237.27199999999999</c:v>
                </c:pt>
                <c:pt idx="302" formatCode="_(* #,##0_);_(* \(#,##0\);_(* &quot;-&quot;??_);_(@_)">
                  <c:v>253.74</c:v>
                </c:pt>
                <c:pt idx="303" formatCode="_(* #,##0_);_(* \(#,##0\);_(* &quot;-&quot;??_);_(@_)">
                  <c:v>282.02499999999998</c:v>
                </c:pt>
                <c:pt idx="304" formatCode="_(* #,##0_);_(* \(#,##0\);_(* &quot;-&quot;??_);_(@_)">
                  <c:v>280.02800000000002</c:v>
                </c:pt>
                <c:pt idx="305" formatCode="_(* #,##0_);_(* \(#,##0\);_(* &quot;-&quot;??_);_(@_)">
                  <c:v>273.78800000000001</c:v>
                </c:pt>
                <c:pt idx="306" formatCode="_(* #,##0_);_(* \(#,##0\);_(* &quot;-&quot;??_);_(@_)">
                  <c:v>270.24799999999999</c:v>
                </c:pt>
                <c:pt idx="307" formatCode="_(* #,##0_);_(* \(#,##0\);_(* &quot;-&quot;??_);_(@_)">
                  <c:v>271.43299999999999</c:v>
                </c:pt>
                <c:pt idx="308" formatCode="_(* #,##0_);_(* \(#,##0\);_(* &quot;-&quot;??_);_(@_)">
                  <c:v>282.71600000000001</c:v>
                </c:pt>
                <c:pt idx="309" formatCode="_(* #,##0_);_(* \(#,##0\);_(* &quot;-&quot;??_);_(@_)">
                  <c:v>361.85399999999998</c:v>
                </c:pt>
                <c:pt idx="310" formatCode="_(* #,##0_);_(* \(#,##0\);_(* &quot;-&quot;??_);_(@_)">
                  <c:v>346.03199999999998</c:v>
                </c:pt>
                <c:pt idx="311" formatCode="_(* #,##0_);_(* \(#,##0\);_(* &quot;-&quot;??_);_(@_)">
                  <c:v>349.685</c:v>
                </c:pt>
                <c:pt idx="312" formatCode="_(* #,##0_);_(* \(#,##0\);_(* &quot;-&quot;??_);_(@_)">
                  <c:v>398.47199999999998</c:v>
                </c:pt>
                <c:pt idx="313" formatCode="_(* #,##0_);_(* \(#,##0\);_(* &quot;-&quot;??_);_(@_)">
                  <c:v>373.23</c:v>
                </c:pt>
                <c:pt idx="314" formatCode="_(* #,##0_);_(* \(#,##0\);_(* &quot;-&quot;??_);_(@_)">
                  <c:v>401.25200000000001</c:v>
                </c:pt>
                <c:pt idx="315" formatCode="_(* #,##0_);_(* \(#,##0\);_(* &quot;-&quot;??_);_(@_)">
                  <c:v>401.57299999999998</c:v>
                </c:pt>
                <c:pt idx="316" formatCode="_(* #,##0_);_(* \(#,##0\);_(* &quot;-&quot;??_);_(@_)">
                  <c:v>481.52600000000001</c:v>
                </c:pt>
                <c:pt idx="317" formatCode="_(* #,##0_);_(* \(#,##0\);_(* &quot;-&quot;??_);_(@_)">
                  <c:v>499.471</c:v>
                </c:pt>
                <c:pt idx="318" formatCode="_(* #,##0_);_(* \(#,##0\);_(* &quot;-&quot;??_);_(@_)">
                  <c:v>512.904</c:v>
                </c:pt>
                <c:pt idx="319" formatCode="_(* #,##0_);_(* \(#,##0\);_(* &quot;-&quot;??_);_(@_)">
                  <c:v>539.40599999999995</c:v>
                </c:pt>
                <c:pt idx="320" formatCode="_(* #,##0_);_(* \(#,##0\);_(* &quot;-&quot;??_);_(@_)">
                  <c:v>526.31899999999996</c:v>
                </c:pt>
                <c:pt idx="321" formatCode="_(* #,##0_);_(* \(#,##0\);_(* &quot;-&quot;??_);_(@_)">
                  <c:v>510.30799999999999</c:v>
                </c:pt>
                <c:pt idx="322" formatCode="_(* #,##0_);_(* \(#,##0\);_(* &quot;-&quot;??_);_(@_)">
                  <c:v>462.43200000000002</c:v>
                </c:pt>
                <c:pt idx="323" formatCode="_(* #,##0_);_(* \(#,##0\);_(* &quot;-&quot;??_);_(@_)">
                  <c:v>484.096</c:v>
                </c:pt>
                <c:pt idx="324" formatCode="_(* #,##0_);_(* \(#,##0\);_(* &quot;-&quot;??_);_(@_)">
                  <c:v>481.55700000000002</c:v>
                </c:pt>
                <c:pt idx="325" formatCode="_(* #,##0_);_(* \(#,##0\);_(* &quot;-&quot;??_);_(@_)">
                  <c:v>482.39499999999998</c:v>
                </c:pt>
                <c:pt idx="326" formatCode="_(* #,##0_);_(* \(#,##0\);_(* &quot;-&quot;??_);_(@_)">
                  <c:v>475.59100000000001</c:v>
                </c:pt>
                <c:pt idx="327" formatCode="_(* #,##0_);_(* \(#,##0\);_(* &quot;-&quot;??_);_(@_)">
                  <c:v>474.512</c:v>
                </c:pt>
                <c:pt idx="328" formatCode="_(* #,##0_);_(* \(#,##0\);_(* &quot;-&quot;??_);_(@_)">
                  <c:v>457.97300000000001</c:v>
                </c:pt>
                <c:pt idx="329" formatCode="_(* #,##0_);_(* \(#,##0\);_(* &quot;-&quot;??_);_(@_)">
                  <c:v>436.721</c:v>
                </c:pt>
                <c:pt idx="330" formatCode="_(* #,##0_);_(* \(#,##0\);_(* &quot;-&quot;??_);_(@_)">
                  <c:v>434.87599999999998</c:v>
                </c:pt>
                <c:pt idx="331" formatCode="_(* #,##0_);_(* \(#,##0\);_(* &quot;-&quot;??_);_(@_)">
                  <c:v>430.399</c:v>
                </c:pt>
                <c:pt idx="332" formatCode="_(* #,##0_);_(* \(#,##0\);_(* &quot;-&quot;??_);_(@_)">
                  <c:v>419.53399999999999</c:v>
                </c:pt>
                <c:pt idx="333" formatCode="_(* #,##0_);_(* \(#,##0\);_(* &quot;-&quot;??_);_(@_)">
                  <c:v>419.53399999999999</c:v>
                </c:pt>
                <c:pt idx="334" formatCode="_(* #,##0_);_(* \(#,##0\);_(* &quot;-&quot;??_);_(@_)">
                  <c:v>419.53399999999999</c:v>
                </c:pt>
                <c:pt idx="335" formatCode="_(* #,##0_);_(* \(#,##0\);_(* &quot;-&quot;??_);_(@_)">
                  <c:v>410.209</c:v>
                </c:pt>
                <c:pt idx="336" formatCode="_(* #,##0_);_(* \(#,##0\);_(* &quot;-&quot;??_);_(@_)">
                  <c:v>422.03800000000001</c:v>
                </c:pt>
                <c:pt idx="337" formatCode="_(* #,##0_);_(* \(#,##0\);_(* &quot;-&quot;??_);_(@_)">
                  <c:v>421.654</c:v>
                </c:pt>
                <c:pt idx="338" formatCode="_(* #,##0_);_(* \(#,##0\);_(* &quot;-&quot;??_);_(@_)">
                  <c:v>412.78699999999998</c:v>
                </c:pt>
                <c:pt idx="339" formatCode="_(* #,##0_);_(* \(#,##0\);_(* &quot;-&quot;??_);_(@_)">
                  <c:v>413.5</c:v>
                </c:pt>
                <c:pt idx="340" formatCode="_(* #,##0_);_(* \(#,##0\);_(* &quot;-&quot;??_);_(@_)">
                  <c:v>421.86599999999999</c:v>
                </c:pt>
                <c:pt idx="341" formatCode="_(* #,##0_);_(* \(#,##0\);_(* &quot;-&quot;??_);_(@_)">
                  <c:v>424.26499999999999</c:v>
                </c:pt>
                <c:pt idx="342" formatCode="_(* #,##0_);_(* \(#,##0\);_(* &quot;-&quot;??_);_(@_)">
                  <c:v>424.06</c:v>
                </c:pt>
                <c:pt idx="343" formatCode="_(* #,##0_);_(* \(#,##0\);_(* &quot;-&quot;??_);_(@_)">
                  <c:v>424.31</c:v>
                </c:pt>
                <c:pt idx="344" formatCode="_(* #,##0_);_(* \(#,##0\);_(* &quot;-&quot;??_);_(@_)">
                  <c:v>421.63</c:v>
                </c:pt>
                <c:pt idx="345" formatCode="_(* #,##0_);_(* \(#,##0\);_(* &quot;-&quot;??_);_(@_)">
                  <c:v>426.274</c:v>
                </c:pt>
                <c:pt idx="346" formatCode="_(* #,##0_);_(* \(#,##0\);_(* &quot;-&quot;??_);_(@_)">
                  <c:v>425.19</c:v>
                </c:pt>
                <c:pt idx="347" formatCode="_(* #,##0_);_(* \(#,##0\);_(* &quot;-&quot;??_);_(@_)">
                  <c:v>411.024</c:v>
                </c:pt>
                <c:pt idx="348" formatCode="_(* #,##0_);_(* \(#,##0\);_(* &quot;-&quot;??_);_(@_)">
                  <c:v>413.30399999999997</c:v>
                </c:pt>
                <c:pt idx="349" formatCode="_(* #,##0_);_(* \(#,##0\);_(* &quot;-&quot;??_);_(@_)">
                  <c:v>413.459</c:v>
                </c:pt>
                <c:pt idx="350" formatCode="_(* #,##0_);_(* \(#,##0\);_(* &quot;-&quot;??_);_(@_)">
                  <c:v>391.9</c:v>
                </c:pt>
                <c:pt idx="351" formatCode="_(* #,##0_);_(* \(#,##0\);_(* &quot;-&quot;??_);_(@_)">
                  <c:v>388.77300000000002</c:v>
                </c:pt>
                <c:pt idx="352" formatCode="_(* #,##0_);_(* \(#,##0\);_(* &quot;-&quot;??_);_(@_)">
                  <c:v>394.33199999999999</c:v>
                </c:pt>
                <c:pt idx="353" formatCode="_(* #,##0_);_(* \(#,##0\);_(* &quot;-&quot;??_);_(@_)">
                  <c:v>394.33199999999999</c:v>
                </c:pt>
                <c:pt idx="354" formatCode="_(* #,##0_);_(* \(#,##0\);_(* &quot;-&quot;??_);_(@_)">
                  <c:v>377.27499999999998</c:v>
                </c:pt>
                <c:pt idx="355" formatCode="_(* #,##0_);_(* \(#,##0\);_(* &quot;-&quot;??_);_(@_)">
                  <c:v>376.28899999999999</c:v>
                </c:pt>
                <c:pt idx="356" formatCode="_(* #,##0_);_(* \(#,##0\);_(* &quot;-&quot;??_);_(@_)">
                  <c:v>373.80599999999998</c:v>
                </c:pt>
                <c:pt idx="357" formatCode="_(* #,##0_);_(* \(#,##0\);_(* &quot;-&quot;??_);_(@_)">
                  <c:v>371.14499999999998</c:v>
                </c:pt>
                <c:pt idx="358" formatCode="_(* #,##0_);_(* \(#,##0\);_(* &quot;-&quot;??_);_(@_)">
                  <c:v>366.56599999999997</c:v>
                </c:pt>
                <c:pt idx="359" formatCode="_(* #,##0_);_(* \(#,##0\);_(* &quot;-&quot;??_);_(@_)">
                  <c:v>347.65100000000001</c:v>
                </c:pt>
                <c:pt idx="360" formatCode="_(* #,##0_);_(* \(#,##0\);_(* &quot;-&quot;??_);_(@_)">
                  <c:v>348.31200000000001</c:v>
                </c:pt>
                <c:pt idx="361" formatCode="_(* #,##0_);_(* \(#,##0\);_(* &quot;-&quot;??_);_(@_)">
                  <c:v>334.72899999999998</c:v>
                </c:pt>
                <c:pt idx="362" formatCode="_(* #,##0_);_(* \(#,##0\);_(* &quot;-&quot;??_);_(@_)">
                  <c:v>331.06599999999997</c:v>
                </c:pt>
                <c:pt idx="363" formatCode="_(* #,##0_);_(* \(#,##0\);_(* &quot;-&quot;??_);_(@_)">
                  <c:v>333.98399999999998</c:v>
                </c:pt>
                <c:pt idx="364" formatCode="_(* #,##0_);_(* \(#,##0\);_(* &quot;-&quot;??_);_(@_)">
                  <c:v>333.98399999999998</c:v>
                </c:pt>
                <c:pt idx="365" formatCode="_(* #,##0_);_(* \(#,##0\);_(* &quot;-&quot;??_);_(@_)">
                  <c:v>325.42399999999998</c:v>
                </c:pt>
                <c:pt idx="366" formatCode="_(* #,##0_);_(* \(#,##0\);_(* &quot;-&quot;??_);_(@_)">
                  <c:v>325.50900000000001</c:v>
                </c:pt>
                <c:pt idx="367" formatCode="_(* #,##0_);_(* \(#,##0\);_(* &quot;-&quot;??_);_(@_)">
                  <c:v>325.95699999999999</c:v>
                </c:pt>
                <c:pt idx="368" formatCode="_(* #,##0_);_(* \(#,##0\);_(* &quot;-&quot;??_);_(@_)">
                  <c:v>329.75299999999999</c:v>
                </c:pt>
                <c:pt idx="369" formatCode="_(* #,##0_);_(* \(#,##0\);_(* &quot;-&quot;??_);_(@_)">
                  <c:v>329.85899999999998</c:v>
                </c:pt>
                <c:pt idx="370" formatCode="_(* #,##0_);_(* \(#,##0\);_(* &quot;-&quot;??_);_(@_)">
                  <c:v>328.5</c:v>
                </c:pt>
                <c:pt idx="371" formatCode="_(* #,##0_);_(* \(#,##0\);_(* &quot;-&quot;??_);_(@_)">
                  <c:v>320.08</c:v>
                </c:pt>
                <c:pt idx="372" formatCode="_(* #,##0_);_(* \(#,##0\);_(* &quot;-&quot;??_);_(@_)">
                  <c:v>314.88099999999997</c:v>
                </c:pt>
                <c:pt idx="373" formatCode="_(* #,##0_);_(* \(#,##0\);_(* &quot;-&quot;??_);_(@_)">
                  <c:v>307.50099999999998</c:v>
                </c:pt>
                <c:pt idx="374" formatCode="_(* #,##0_);_(* \(#,##0\);_(* &quot;-&quot;??_);_(@_)">
                  <c:v>311.76100000000002</c:v>
                </c:pt>
                <c:pt idx="375" formatCode="_(* #,##0_);_(* \(#,##0\);_(* &quot;-&quot;??_);_(@_)">
                  <c:v>316.005</c:v>
                </c:pt>
                <c:pt idx="376" formatCode="_(* #,##0_);_(* \(#,##0\);_(* &quot;-&quot;??_);_(@_)">
                  <c:v>326.05900000000003</c:v>
                </c:pt>
                <c:pt idx="377" formatCode="_(* #,##0_);_(* \(#,##0\);_(* &quot;-&quot;??_);_(@_)">
                  <c:v>345.745</c:v>
                </c:pt>
                <c:pt idx="378" formatCode="_(* #,##0_);_(* \(#,##0\);_(* &quot;-&quot;??_);_(@_)">
                  <c:v>344.85700000000003</c:v>
                </c:pt>
                <c:pt idx="379" formatCode="_(* #,##0_);_(* \(#,##0\);_(* &quot;-&quot;??_);_(@_)">
                  <c:v>373.37900000000002</c:v>
                </c:pt>
                <c:pt idx="380" formatCode="_(* #,##0_);_(* \(#,##0\);_(* &quot;-&quot;??_);_(@_)">
                  <c:v>363.84500000000003</c:v>
                </c:pt>
                <c:pt idx="381" formatCode="_(* #,##0_);_(* \(#,##0\);_(* &quot;-&quot;??_);_(@_)">
                  <c:v>367.94200000000001</c:v>
                </c:pt>
                <c:pt idx="382" formatCode="_(* #,##0_);_(* \(#,##0\);_(* &quot;-&quot;??_);_(@_)">
                  <c:v>371.572</c:v>
                </c:pt>
                <c:pt idx="383" formatCode="_(* #,##0_);_(* \(#,##0\);_(* &quot;-&quot;??_);_(@_)">
                  <c:v>371.51400000000001</c:v>
                </c:pt>
                <c:pt idx="384" formatCode="_(* #,##0_);_(* \(#,##0\);_(* &quot;-&quot;??_);_(@_)">
                  <c:v>371.85899999999998</c:v>
                </c:pt>
                <c:pt idx="385" formatCode="_(* #,##0_);_(* \(#,##0\);_(* &quot;-&quot;??_);_(@_)">
                  <c:v>367.428</c:v>
                </c:pt>
                <c:pt idx="386" formatCode="_(* #,##0_);_(* \(#,##0\);_(* &quot;-&quot;??_);_(@_)">
                  <c:v>369.95</c:v>
                </c:pt>
                <c:pt idx="387" formatCode="_(* #,##0_);_(* \(#,##0\);_(* &quot;-&quot;??_);_(@_)">
                  <c:v>375.85199999999998</c:v>
                </c:pt>
                <c:pt idx="388" formatCode="_(* #,##0_);_(* \(#,##0\);_(* &quot;-&quot;??_);_(@_)">
                  <c:v>380.09800000000001</c:v>
                </c:pt>
                <c:pt idx="389" formatCode="_(* #,##0_);_(* \(#,##0\);_(* &quot;-&quot;??_);_(@_)">
                  <c:v>379.791</c:v>
                </c:pt>
                <c:pt idx="390" formatCode="_(* #,##0_);_(* \(#,##0\);_(* &quot;-&quot;??_);_(@_)">
                  <c:v>377.45100000000002</c:v>
                </c:pt>
                <c:pt idx="391" formatCode="_(* #,##0_);_(* \(#,##0\);_(* &quot;-&quot;??_);_(@_)">
                  <c:v>374.18299999999999</c:v>
                </c:pt>
                <c:pt idx="392" formatCode="_(* #,##0_);_(* \(#,##0\);_(* &quot;-&quot;??_);_(@_)">
                  <c:v>355.012</c:v>
                </c:pt>
                <c:pt idx="393" formatCode="_(* #,##0_);_(* \(#,##0\);_(* &quot;-&quot;??_);_(@_)">
                  <c:v>352.19400000000002</c:v>
                </c:pt>
                <c:pt idx="394" formatCode="_(* #,##0_);_(* \(#,##0\);_(* &quot;-&quot;??_);_(@_)">
                  <c:v>350.17899999999997</c:v>
                </c:pt>
                <c:pt idx="395" formatCode="_(* #,##0_);_(* \(#,##0\);_(* &quot;-&quot;??_);_(@_)">
                  <c:v>353.452</c:v>
                </c:pt>
                <c:pt idx="396" formatCode="_(* #,##0_);_(* \(#,##0\);_(* &quot;-&quot;??_);_(@_)">
                  <c:v>352.303</c:v>
                </c:pt>
                <c:pt idx="397" formatCode="_(* #,##0_);_(* \(#,##0\);_(* &quot;-&quot;??_);_(@_)">
                  <c:v>357.464</c:v>
                </c:pt>
                <c:pt idx="398" formatCode="_(* #,##0_);_(* \(#,##0\);_(* &quot;-&quot;??_);_(@_)">
                  <c:v>354.90800000000002</c:v>
                </c:pt>
                <c:pt idx="399" formatCode="_(* #,##0_);_(* \(#,##0\);_(* &quot;-&quot;??_);_(@_)">
                  <c:v>355.27199999999999</c:v>
                </c:pt>
                <c:pt idx="400" formatCode="_(* #,##0_);_(* \(#,##0\);_(* &quot;-&quot;??_);_(@_)">
                  <c:v>356.63900000000001</c:v>
                </c:pt>
                <c:pt idx="401" formatCode="_(* #,##0_);_(* \(#,##0\);_(* &quot;-&quot;??_);_(@_)">
                  <c:v>357.19499999999999</c:v>
                </c:pt>
                <c:pt idx="402" formatCode="_(* #,##0_);_(* \(#,##0\);_(* &quot;-&quot;??_);_(@_)">
                  <c:v>359.63499999999999</c:v>
                </c:pt>
                <c:pt idx="403" formatCode="_(* #,##0_);_(* \(#,##0\);_(* &quot;-&quot;??_);_(@_)">
                  <c:v>360.61399999999998</c:v>
                </c:pt>
                <c:pt idx="404" formatCode="_(* #,##0_);_(* \(#,##0\);_(* &quot;-&quot;??_);_(@_)">
                  <c:v>361.738</c:v>
                </c:pt>
                <c:pt idx="405" formatCode="_(* #,##0_);_(* \(#,##0\);_(* &quot;-&quot;??_);_(@_)">
                  <c:v>357.80799999999999</c:v>
                </c:pt>
                <c:pt idx="406" formatCode="_(* #,##0_);_(* \(#,##0\);_(* &quot;-&quot;??_);_(@_)">
                  <c:v>355.7</c:v>
                </c:pt>
                <c:pt idx="407" formatCode="_(* #,##0_);_(* \(#,##0\);_(* &quot;-&quot;??_);_(@_)">
                  <c:v>349.12200000000001</c:v>
                </c:pt>
                <c:pt idx="408" formatCode="_(* #,##0_);_(* \(#,##0\);_(* &quot;-&quot;??_);_(@_)">
                  <c:v>346.74400000000003</c:v>
                </c:pt>
                <c:pt idx="409" formatCode="_(* #,##0_);_(* \(#,##0\);_(* &quot;-&quot;??_);_(@_)">
                  <c:v>345.50599999999997</c:v>
                </c:pt>
                <c:pt idx="410" formatCode="_(* #,##0_);_(* \(#,##0\);_(* &quot;-&quot;??_);_(@_)">
                  <c:v>348.62900000000002</c:v>
                </c:pt>
                <c:pt idx="411" formatCode="_(* #,##0_);_(* \(#,##0\);_(* &quot;-&quot;??_);_(@_)">
                  <c:v>347.44</c:v>
                </c:pt>
                <c:pt idx="412" formatCode="_(* #,##0_);_(* \(#,##0\);_(* &quot;-&quot;??_);_(@_)">
                  <c:v>350.67</c:v>
                </c:pt>
                <c:pt idx="413" formatCode="_(* #,##0_);_(* \(#,##0\);_(* &quot;-&quot;??_);_(@_)">
                  <c:v>350.20100000000002</c:v>
                </c:pt>
                <c:pt idx="414" formatCode="_(* #,##0_);_(* \(#,##0\);_(* &quot;-&quot;??_);_(@_)">
                  <c:v>345.55500000000001</c:v>
                </c:pt>
                <c:pt idx="415" formatCode="_(* #,##0_);_(* \(#,##0\);_(* &quot;-&quot;??_);_(@_)">
                  <c:v>346.73700000000002</c:v>
                </c:pt>
                <c:pt idx="416" formatCode="_(* #,##0_);_(* \(#,##0\);_(* &quot;-&quot;??_);_(@_)">
                  <c:v>336.411</c:v>
                </c:pt>
                <c:pt idx="417" formatCode="_(* #,##0_);_(* \(#,##0\);_(* &quot;-&quot;??_);_(@_)">
                  <c:v>329.82299999999998</c:v>
                </c:pt>
                <c:pt idx="418" formatCode="_(* #,##0_);_(* \(#,##0\);_(* &quot;-&quot;??_);_(@_)">
                  <c:v>326.13299999999998</c:v>
                </c:pt>
                <c:pt idx="419" formatCode="_(* #,##0_);_(* \(#,##0\);_(* &quot;-&quot;??_);_(@_)">
                  <c:v>326.36500000000001</c:v>
                </c:pt>
                <c:pt idx="420" formatCode="_(* #,##0_);_(* \(#,##0\);_(* &quot;-&quot;??_);_(@_)">
                  <c:v>319.19</c:v>
                </c:pt>
                <c:pt idx="421" formatCode="_(* #,##0_);_(* \(#,##0\);_(* &quot;-&quot;??_);_(@_)">
                  <c:v>318.37400000000002</c:v>
                </c:pt>
                <c:pt idx="422" formatCode="_(* #,##0_);_(* \(#,##0\);_(* &quot;-&quot;??_);_(@_)">
                  <c:v>312.28500000000003</c:v>
                </c:pt>
                <c:pt idx="423" formatCode="_(* #,##0_);_(* \(#,##0\);_(* &quot;-&quot;??_);_(@_)">
                  <c:v>307.35300000000001</c:v>
                </c:pt>
                <c:pt idx="424" formatCode="_(* #,##0_);_(* \(#,##0\);_(* &quot;-&quot;??_);_(@_)">
                  <c:v>311.26100000000002</c:v>
                </c:pt>
                <c:pt idx="425" formatCode="_(* #,##0_);_(* \(#,##0\);_(* &quot;-&quot;??_);_(@_)">
                  <c:v>311.55900000000003</c:v>
                </c:pt>
                <c:pt idx="426" formatCode="_(* #,##0_);_(* \(#,##0\);_(* &quot;-&quot;??_);_(@_)">
                  <c:v>310.51600000000002</c:v>
                </c:pt>
                <c:pt idx="427" formatCode="_(* #,##0_);_(* \(#,##0\);_(* &quot;-&quot;??_);_(@_)">
                  <c:v>312.947</c:v>
                </c:pt>
                <c:pt idx="428" formatCode="_(* #,##0_);_(* \(#,##0\);_(* &quot;-&quot;??_);_(@_)">
                  <c:v>313.69400000000002</c:v>
                </c:pt>
                <c:pt idx="429" formatCode="_(* #,##0_);_(* \(#,##0\);_(* &quot;-&quot;??_);_(@_)">
                  <c:v>312.56099999999998</c:v>
                </c:pt>
                <c:pt idx="430" formatCode="_(* #,##0_);_(* \(#,##0\);_(* &quot;-&quot;??_);_(@_)">
                  <c:v>309.36799999999999</c:v>
                </c:pt>
                <c:pt idx="431" formatCode="_(* #,##0_);_(* \(#,##0\);_(* &quot;-&quot;??_);_(@_)">
                  <c:v>308.44799999999998</c:v>
                </c:pt>
                <c:pt idx="432" formatCode="_(* #,##0_);_(* \(#,##0\);_(* &quot;-&quot;??_);_(@_)">
                  <c:v>300.69200000000001</c:v>
                </c:pt>
                <c:pt idx="433" formatCode="_(* #,##0_);_(* \(#,##0\);_(* &quot;-&quot;??_);_(@_)">
                  <c:v>302.49099999999999</c:v>
                </c:pt>
                <c:pt idx="434" formatCode="_(* #,##0_);_(* \(#,##0\);_(* &quot;-&quot;??_);_(@_)">
                  <c:v>302.49099999999999</c:v>
                </c:pt>
                <c:pt idx="435" formatCode="_(* #,##0_);_(* \(#,##0\);_(* &quot;-&quot;??_);_(@_)">
                  <c:v>303.13</c:v>
                </c:pt>
                <c:pt idx="436" formatCode="_(* #,##0_);_(* \(#,##0\);_(* &quot;-&quot;??_);_(@_)">
                  <c:v>302.09899999999999</c:v>
                </c:pt>
                <c:pt idx="437" formatCode="_(* #,##0_);_(* \(#,##0\);_(* &quot;-&quot;??_);_(@_)">
                  <c:v>302.24400000000003</c:v>
                </c:pt>
                <c:pt idx="438" formatCode="_(* #,##0_);_(* \(#,##0\);_(* &quot;-&quot;??_);_(@_)">
                  <c:v>296.05700000000002</c:v>
                </c:pt>
                <c:pt idx="439" formatCode="_(* #,##0_);_(* \(#,##0\);_(* &quot;-&quot;??_);_(@_)">
                  <c:v>294.39699999999999</c:v>
                </c:pt>
                <c:pt idx="440" formatCode="_(* #,##0_);_(* \(#,##0\);_(* &quot;-&quot;??_);_(@_)">
                  <c:v>302.226</c:v>
                </c:pt>
                <c:pt idx="441" formatCode="_(* #,##0_);_(* \(#,##0\);_(* &quot;-&quot;??_);_(@_)">
                  <c:v>300.72199999999998</c:v>
                </c:pt>
                <c:pt idx="442" formatCode="_(* #,##0_);_(* \(#,##0\);_(* &quot;-&quot;??_);_(@_)">
                  <c:v>302.45400000000001</c:v>
                </c:pt>
                <c:pt idx="443" formatCode="_(* #,##0_);_(* \(#,##0\);_(* &quot;-&quot;??_);_(@_)">
                  <c:v>303.53100000000001</c:v>
                </c:pt>
                <c:pt idx="444" formatCode="_(* #,##0_);_(* \(#,##0\);_(* &quot;-&quot;??_);_(@_)">
                  <c:v>302.49</c:v>
                </c:pt>
                <c:pt idx="445" formatCode="_(* #,##0_);_(* \(#,##0\);_(* &quot;-&quot;??_);_(@_)">
                  <c:v>301.92599999999999</c:v>
                </c:pt>
                <c:pt idx="446" formatCode="_(* #,##0_);_(* \(#,##0\);_(* &quot;-&quot;??_);_(@_)">
                  <c:v>301.40499999999997</c:v>
                </c:pt>
                <c:pt idx="447" formatCode="_(* #,##0_);_(* \(#,##0\);_(* &quot;-&quot;??_);_(@_)">
                  <c:v>301.904</c:v>
                </c:pt>
                <c:pt idx="448" formatCode="_(* #,##0_);_(* \(#,##0\);_(* &quot;-&quot;??_);_(@_)">
                  <c:v>300.42200000000003</c:v>
                </c:pt>
                <c:pt idx="449" formatCode="_(* #,##0_);_(* \(#,##0\);_(* &quot;-&quot;??_);_(@_)">
                  <c:v>309.45499999999998</c:v>
                </c:pt>
                <c:pt idx="450" formatCode="_(* #,##0_);_(* \(#,##0\);_(* &quot;-&quot;??_);_(@_)">
                  <c:v>309.608</c:v>
                </c:pt>
                <c:pt idx="451" formatCode="_(* #,##0_);_(* \(#,##0\);_(* &quot;-&quot;??_);_(@_)">
                  <c:v>308.13299999999998</c:v>
                </c:pt>
                <c:pt idx="452" formatCode="_(* #,##0_);_(* \(#,##0\);_(* &quot;-&quot;??_);_(@_)">
                  <c:v>316.084</c:v>
                </c:pt>
                <c:pt idx="453" formatCode="_(* #,##0_);_(* \(#,##0\);_(* &quot;-&quot;??_);_(@_)">
                  <c:v>316.70400000000001</c:v>
                </c:pt>
                <c:pt idx="454" formatCode="_(* #,##0_);_(* \(#,##0\);_(* &quot;-&quot;??_);_(@_)">
                  <c:v>365.39100000000002</c:v>
                </c:pt>
                <c:pt idx="455" formatCode="_(* #,##0_);_(* \(#,##0\);_(* &quot;-&quot;??_);_(@_)">
                  <c:v>398.19499999999999</c:v>
                </c:pt>
                <c:pt idx="456" formatCode="_(* #,##0_);_(* \(#,##0\);_(* &quot;-&quot;??_);_(@_)">
                  <c:v>368.70400000000001</c:v>
                </c:pt>
                <c:pt idx="457" formatCode="_(* #,##0_);_(* \(#,##0\);_(* &quot;-&quot;??_);_(@_)">
                  <c:v>345.31599999999997</c:v>
                </c:pt>
                <c:pt idx="458" formatCode="_(* #,##0_);_(* \(#,##0\);_(* &quot;-&quot;??_);_(@_)">
                  <c:v>337.96899999999999</c:v>
                </c:pt>
                <c:pt idx="459" formatCode="_(* #,##0_);_(* \(#,##0\);_(* &quot;-&quot;??_);_(@_)">
                  <c:v>329.43400000000003</c:v>
                </c:pt>
                <c:pt idx="460" formatCode="_(* #,##0_);_(* \(#,##0\);_(* &quot;-&quot;??_);_(@_)">
                  <c:v>335.83199999999999</c:v>
                </c:pt>
                <c:pt idx="461" formatCode="_(* #,##0_);_(* \(#,##0\);_(* &quot;-&quot;??_);_(@_)">
                  <c:v>340.97</c:v>
                </c:pt>
                <c:pt idx="462" formatCode="_(* #,##0_);_(* \(#,##0\);_(* &quot;-&quot;??_);_(@_)">
                  <c:v>338.85899999999998</c:v>
                </c:pt>
                <c:pt idx="463" formatCode="_(* #,##0_);_(* \(#,##0\);_(* &quot;-&quot;??_);_(@_)">
                  <c:v>332.52600000000001</c:v>
                </c:pt>
                <c:pt idx="464" formatCode="_(* #,##0_);_(* \(#,##0\);_(* &quot;-&quot;??_);_(@_)">
                  <c:v>329.69</c:v>
                </c:pt>
                <c:pt idx="465" formatCode="_(* #,##0_);_(* \(#,##0\);_(* &quot;-&quot;??_);_(@_)">
                  <c:v>336.59800000000001</c:v>
                </c:pt>
                <c:pt idx="466" formatCode="_(* #,##0_);_(* \(#,##0\);_(* &quot;-&quot;??_);_(@_)">
                  <c:v>345.73599999999999</c:v>
                </c:pt>
                <c:pt idx="467" formatCode="_(* #,##0_);_(* \(#,##0\);_(* &quot;-&quot;??_);_(@_)">
                  <c:v>357.75299999999999</c:v>
                </c:pt>
                <c:pt idx="468" formatCode="_(* #,##0_);_(* \(#,##0\);_(* &quot;-&quot;??_);_(@_)">
                  <c:v>356.97899999999998</c:v>
                </c:pt>
                <c:pt idx="469" formatCode="_(* #,##0_);_(* \(#,##0\);_(* &quot;-&quot;??_);_(@_)">
                  <c:v>351.63499999999999</c:v>
                </c:pt>
                <c:pt idx="470" formatCode="_(* #,##0_);_(* \(#,##0\);_(* &quot;-&quot;??_);_(@_)">
                  <c:v>350.02499999999998</c:v>
                </c:pt>
                <c:pt idx="471" formatCode="_(* #,##0_);_(* \(#,##0\);_(* &quot;-&quot;??_);_(@_)">
                  <c:v>354.15800000000002</c:v>
                </c:pt>
                <c:pt idx="472" formatCode="_(* #,##0_);_(* \(#,##0\);_(* &quot;-&quot;??_);_(@_)">
                  <c:v>356.82900000000001</c:v>
                </c:pt>
                <c:pt idx="473" formatCode="_(* #,##0_);_(* \(#,##0\);_(* &quot;-&quot;??_);_(@_)">
                  <c:v>359.33</c:v>
                </c:pt>
                <c:pt idx="474" formatCode="_(* #,##0_);_(* \(#,##0\);_(* &quot;-&quot;??_);_(@_)">
                  <c:v>370.40699999999998</c:v>
                </c:pt>
                <c:pt idx="475" formatCode="_(* #,##0_);_(* \(#,##0\);_(* &quot;-&quot;??_);_(@_)">
                  <c:v>381.214</c:v>
                </c:pt>
                <c:pt idx="476" formatCode="_(* #,##0_);_(* \(#,##0\);_(* &quot;-&quot;??_);_(@_)">
                  <c:v>382.733</c:v>
                </c:pt>
                <c:pt idx="477" formatCode="_(* #,##0_);_(* \(#,##0\);_(* &quot;-&quot;??_);_(@_)">
                  <c:v>387.77199999999999</c:v>
                </c:pt>
                <c:pt idx="478" formatCode="_(* #,##0_);_(* \(#,##0\);_(* &quot;-&quot;??_);_(@_)">
                  <c:v>394.327</c:v>
                </c:pt>
                <c:pt idx="479" formatCode="_(* #,##0_);_(* \(#,##0\);_(* &quot;-&quot;??_);_(@_)">
                  <c:v>404.58800000000002</c:v>
                </c:pt>
                <c:pt idx="480" formatCode="_(* #,##0_);_(* \(#,##0\);_(* &quot;-&quot;??_);_(@_)">
                  <c:v>392.512</c:v>
                </c:pt>
                <c:pt idx="481" formatCode="_(* #,##0_);_(* \(#,##0\);_(* &quot;-&quot;??_);_(@_)">
                  <c:v>399.34100000000001</c:v>
                </c:pt>
                <c:pt idx="482" formatCode="_(* #,##0_);_(* \(#,##0\);_(* &quot;-&quot;??_);_(@_)">
                  <c:v>392.74299999999999</c:v>
                </c:pt>
                <c:pt idx="483" formatCode="_(* #,##0_);_(* \(#,##0\);_(* &quot;-&quot;??_);_(@_)">
                  <c:v>387.19299999999998</c:v>
                </c:pt>
                <c:pt idx="484" formatCode="_(* #,##0_);_(* \(#,##0\);_(* &quot;-&quot;??_);_(@_)">
                  <c:v>370.99299999999999</c:v>
                </c:pt>
                <c:pt idx="485" formatCode="_(* #,##0_);_(* \(#,##0\);_(* &quot;-&quot;??_);_(@_)">
                  <c:v>328.339</c:v>
                </c:pt>
                <c:pt idx="486" formatCode="_(* #,##0_);_(* \(#,##0\);_(* &quot;-&quot;??_);_(@_)">
                  <c:v>324.90199999999999</c:v>
                </c:pt>
                <c:pt idx="487" formatCode="_(* #,##0_);_(* \(#,##0\);_(* &quot;-&quot;??_);_(@_)">
                  <c:v>336.65699999999998</c:v>
                </c:pt>
                <c:pt idx="488" formatCode="_(* #,##0_);_(* \(#,##0\);_(* &quot;-&quot;??_);_(@_)">
                  <c:v>338.91800000000001</c:v>
                </c:pt>
                <c:pt idx="489" formatCode="_(* #,##0_);_(* \(#,##0\);_(* &quot;-&quot;??_);_(@_)">
                  <c:v>340.43599999999998</c:v>
                </c:pt>
                <c:pt idx="490" formatCode="_(* #,##0_);_(* \(#,##0\);_(* &quot;-&quot;??_);_(@_)">
                  <c:v>351.02</c:v>
                </c:pt>
                <c:pt idx="491" formatCode="_(* #,##0_);_(* \(#,##0\);_(* &quot;-&quot;??_);_(@_)">
                  <c:v>348.12200000000001</c:v>
                </c:pt>
                <c:pt idx="492" formatCode="_(* #,##0_);_(* \(#,##0\);_(* &quot;-&quot;??_);_(@_)">
                  <c:v>357.29</c:v>
                </c:pt>
                <c:pt idx="493" formatCode="_(* #,##0_);_(* \(#,##0\);_(* &quot;-&quot;??_);_(@_)">
                  <c:v>361.58800000000002</c:v>
                </c:pt>
                <c:pt idx="494" formatCode="_(* #,##0_);_(* \(#,##0\);_(* &quot;-&quot;??_);_(@_)">
                  <c:v>355.66899999999998</c:v>
                </c:pt>
                <c:pt idx="495" formatCode="_(* #,##0_);_(* \(#,##0\);_(* &quot;-&quot;??_);_(@_)">
                  <c:v>349.16899999999998</c:v>
                </c:pt>
                <c:pt idx="496" formatCode="_(* #,##0_);_(* \(#,##0\);_(* &quot;-&quot;??_);_(@_)">
                  <c:v>346.55799999999999</c:v>
                </c:pt>
                <c:pt idx="497" formatCode="_(* #,##0_);_(* \(#,##0\);_(* &quot;-&quot;??_);_(@_)">
                  <c:v>343.58600000000001</c:v>
                </c:pt>
                <c:pt idx="498" formatCode="_(* #,##0_);_(* \(#,##0\);_(* &quot;-&quot;??_);_(@_)">
                  <c:v>353.50599999999997</c:v>
                </c:pt>
                <c:pt idx="499" formatCode="_(* #,##0_);_(* \(#,##0\);_(* &quot;-&quot;??_);_(@_)">
                  <c:v>354.12599999999998</c:v>
                </c:pt>
                <c:pt idx="500" formatCode="_(* #,##0_);_(* \(#,##0\);_(* &quot;-&quot;??_);_(@_)">
                  <c:v>347.87599999999998</c:v>
                </c:pt>
                <c:pt idx="501" formatCode="_(* #,##0_);_(* \(#,##0\);_(* &quot;-&quot;??_);_(@_)">
                  <c:v>346.13099999999997</c:v>
                </c:pt>
                <c:pt idx="502" formatCode="_(* #,##0_);_(* \(#,##0\);_(* &quot;-&quot;??_);_(@_)">
                  <c:v>334.43700000000001</c:v>
                </c:pt>
                <c:pt idx="503" formatCode="_(* #,##0_);_(* \(#,##0\);_(* &quot;-&quot;??_);_(@_)">
                  <c:v>304.19400000000002</c:v>
                </c:pt>
                <c:pt idx="504" formatCode="_(* #,##0_);_(* \(#,##0\);_(* &quot;-&quot;??_);_(@_)">
                  <c:v>308.60500000000002</c:v>
                </c:pt>
                <c:pt idx="505" formatCode="_(* #,##0_);_(* \(#,##0\);_(* &quot;-&quot;??_);_(@_)">
                  <c:v>312.55900000000003</c:v>
                </c:pt>
                <c:pt idx="506" formatCode="_(* #,##0_);_(* \(#,##0\);_(* &quot;-&quot;??_);_(@_)">
                  <c:v>308.55200000000002</c:v>
                </c:pt>
                <c:pt idx="507" formatCode="_(* #,##0_);_(* \(#,##0\);_(* &quot;-&quot;??_);_(@_)">
                  <c:v>311.67599999999999</c:v>
                </c:pt>
                <c:pt idx="508" formatCode="_(* #,##0_);_(* \(#,##0\);_(* &quot;-&quot;??_);_(@_)">
                  <c:v>316.40499999999997</c:v>
                </c:pt>
                <c:pt idx="509" formatCode="_(* #,##0_);_(* \(#,##0\);_(* &quot;-&quot;??_);_(@_)">
                  <c:v>314.76100000000002</c:v>
                </c:pt>
                <c:pt idx="510" formatCode="_(* #,##0_);_(* \(#,##0\);_(* &quot;-&quot;??_);_(@_)">
                  <c:v>309.70999999999998</c:v>
                </c:pt>
                <c:pt idx="511" formatCode="_(* #,##0_);_(* \(#,##0\);_(* &quot;-&quot;??_);_(@_)">
                  <c:v>302.99</c:v>
                </c:pt>
                <c:pt idx="512" formatCode="_(* #,##0_);_(* \(#,##0\);_(* &quot;-&quot;??_);_(@_)">
                  <c:v>299.80799999999999</c:v>
                </c:pt>
                <c:pt idx="513" formatCode="_(* #,##0_);_(* \(#,##0\);_(* &quot;-&quot;??_);_(@_)">
                  <c:v>293.15300000000002</c:v>
                </c:pt>
                <c:pt idx="514" formatCode="_(* #,##0_);_(* \(#,##0\);_(* &quot;-&quot;??_);_(@_)">
                  <c:v>296.85700000000003</c:v>
                </c:pt>
                <c:pt idx="515" formatCode="_(* #,##0_);_(* \(#,##0\);_(* &quot;-&quot;??_);_(@_)">
                  <c:v>298.37</c:v>
                </c:pt>
                <c:pt idx="516" formatCode="_(* #,##0_);_(* \(#,##0\);_(* &quot;-&quot;??_);_(@_)">
                  <c:v>298.48200000000003</c:v>
                </c:pt>
                <c:pt idx="517" formatCode="_(* #,##0_);_(* \(#,##0\);_(* &quot;-&quot;??_);_(@_)">
                  <c:v>302.637</c:v>
                </c:pt>
                <c:pt idx="518" formatCode="_(* #,##0_);_(* \(#,##0\);_(* &quot;-&quot;??_);_(@_)">
                  <c:v>302.637</c:v>
                </c:pt>
                <c:pt idx="519" formatCode="_(* #,##0_);_(* \(#,##0\);_(* &quot;-&quot;??_);_(@_)">
                  <c:v>302.637</c:v>
                </c:pt>
                <c:pt idx="520" formatCode="_(* #,##0_);_(* \(#,##0\);_(* &quot;-&quot;??_);_(@_)">
                  <c:v>302.95499999999998</c:v>
                </c:pt>
                <c:pt idx="521" formatCode="_(* #,##0_);_(* \(#,##0\);_(* &quot;-&quot;??_);_(@_)">
                  <c:v>301.23899999999998</c:v>
                </c:pt>
                <c:pt idx="522" formatCode="_(* #,##0_);_(* \(#,##0\);_(* &quot;-&quot;??_);_(@_)">
                  <c:v>303.363</c:v>
                </c:pt>
                <c:pt idx="523" formatCode="_(* #,##0_);_(* \(#,##0\);_(* &quot;-&quot;??_);_(@_)">
                  <c:v>303.363</c:v>
                </c:pt>
                <c:pt idx="524" formatCode="_(* #,##0_);_(* \(#,##0\);_(* &quot;-&quot;??_);_(@_)">
                  <c:v>296.71899999999999</c:v>
                </c:pt>
                <c:pt idx="525" formatCode="_(* #,##0_);_(* \(#,##0\);_(* &quot;-&quot;??_);_(@_)">
                  <c:v>288.11399999999998</c:v>
                </c:pt>
                <c:pt idx="526" formatCode="_(* #,##0_);_(* \(#,##0\);_(* &quot;-&quot;??_);_(@_)">
                  <c:v>281.07799999999997</c:v>
                </c:pt>
                <c:pt idx="527" formatCode="_(* #,##0_);_(* \(#,##0\);_(* &quot;-&quot;??_);_(@_)">
                  <c:v>275.09399999999999</c:v>
                </c:pt>
                <c:pt idx="528" formatCode="_(* #,##0_);_(* \(#,##0\);_(* &quot;-&quot;??_);_(@_)">
                  <c:v>268.62200000000001</c:v>
                </c:pt>
                <c:pt idx="529" formatCode="_(* #,##0_);_(* \(#,##0\);_(* &quot;-&quot;??_);_(@_)">
                  <c:v>266.89400000000001</c:v>
                </c:pt>
                <c:pt idx="530" formatCode="_(* #,##0_);_(* \(#,##0\);_(* &quot;-&quot;??_);_(@_)">
                  <c:v>269.90100000000001</c:v>
                </c:pt>
                <c:pt idx="531" formatCode="_(* #,##0_);_(* \(#,##0\);_(* &quot;-&quot;??_);_(@_)">
                  <c:v>271.07799999999997</c:v>
                </c:pt>
                <c:pt idx="532" formatCode="_(* #,##0_);_(* \(#,##0\);_(* &quot;-&quot;??_);_(@_)">
                  <c:v>257.02499999999998</c:v>
                </c:pt>
                <c:pt idx="533" formatCode="_(* #,##0_);_(* \(#,##0\);_(* &quot;-&quot;??_);_(@_)">
                  <c:v>258.68299999999999</c:v>
                </c:pt>
                <c:pt idx="534" formatCode="_(* #,##0_);_(* \(#,##0\);_(* &quot;-&quot;??_);_(@_)">
                  <c:v>256.14</c:v>
                </c:pt>
                <c:pt idx="535" formatCode="_(* #,##0_);_(* \(#,##0\);_(* &quot;-&quot;??_);_(@_)">
                  <c:v>259.39100000000002</c:v>
                </c:pt>
                <c:pt idx="536" formatCode="_(* #,##0_);_(* \(#,##0\);_(* &quot;-&quot;??_);_(@_)">
                  <c:v>260.96600000000001</c:v>
                </c:pt>
                <c:pt idx="537" formatCode="_(* #,##0_);_(* \(#,##0\);_(* &quot;-&quot;??_);_(@_)">
                  <c:v>260.63400000000001</c:v>
                </c:pt>
                <c:pt idx="538" formatCode="_(* #,##0_);_(* \(#,##0\);_(* &quot;-&quot;??_);_(@_)">
                  <c:v>261.346</c:v>
                </c:pt>
                <c:pt idx="539" formatCode="_(* #,##0_);_(* \(#,##0\);_(* &quot;-&quot;??_);_(@_)">
                  <c:v>277.77199999999999</c:v>
                </c:pt>
                <c:pt idx="540" formatCode="_(* #,##0_);_(* \(#,##0\);_(* &quot;-&quot;??_);_(@_)">
                  <c:v>271.05099999999999</c:v>
                </c:pt>
                <c:pt idx="541" formatCode="_(* #,##0_);_(* \(#,##0\);_(* &quot;-&quot;??_);_(@_)">
                  <c:v>280.45600000000002</c:v>
                </c:pt>
                <c:pt idx="542" formatCode="_(* #,##0_);_(* \(#,##0\);_(* &quot;-&quot;??_);_(@_)">
                  <c:v>277.577</c:v>
                </c:pt>
                <c:pt idx="543" formatCode="_(* #,##0_);_(* \(#,##0\);_(* &quot;-&quot;??_);_(@_)">
                  <c:v>275.524</c:v>
                </c:pt>
                <c:pt idx="544" formatCode="_(* #,##0_);_(* \(#,##0\);_(* &quot;-&quot;??_);_(@_)">
                  <c:v>273.66199999999998</c:v>
                </c:pt>
                <c:pt idx="545" formatCode="_(* #,##0_);_(* \(#,##0\);_(* &quot;-&quot;??_);_(@_)">
                  <c:v>268.89400000000001</c:v>
                </c:pt>
                <c:pt idx="546" formatCode="_(* #,##0_);_(* \(#,##0\);_(* &quot;-&quot;??_);_(@_)">
                  <c:v>263.73</c:v>
                </c:pt>
                <c:pt idx="547" formatCode="_(* #,##0_);_(* \(#,##0\);_(* &quot;-&quot;??_);_(@_)">
                  <c:v>265.14499999999998</c:v>
                </c:pt>
                <c:pt idx="548" formatCode="_(* #,##0_);_(* \(#,##0\);_(* &quot;-&quot;??_);_(@_)">
                  <c:v>263.94900000000001</c:v>
                </c:pt>
                <c:pt idx="549" formatCode="_(* #,##0_);_(* \(#,##0\);_(* &quot;-&quot;??_);_(@_)">
                  <c:v>267.82900000000001</c:v>
                </c:pt>
                <c:pt idx="550" formatCode="_(* #,##0_);_(* \(#,##0\);_(* &quot;-&quot;??_);_(@_)">
                  <c:v>273.98</c:v>
                </c:pt>
                <c:pt idx="551" formatCode="_(* #,##0_);_(* \(#,##0\);_(* &quot;-&quot;??_);_(@_)">
                  <c:v>276.87799999999999</c:v>
                </c:pt>
                <c:pt idx="552" formatCode="_(* #,##0_);_(* \(#,##0\);_(* &quot;-&quot;??_);_(@_)">
                  <c:v>277.90300000000002</c:v>
                </c:pt>
                <c:pt idx="553" formatCode="_(* #,##0_);_(* \(#,##0\);_(* &quot;-&quot;??_);_(@_)">
                  <c:v>276.46800000000002</c:v>
                </c:pt>
                <c:pt idx="554" formatCode="_(* #,##0_);_(* \(#,##0\);_(* &quot;-&quot;??_);_(@_)">
                  <c:v>287.577</c:v>
                </c:pt>
                <c:pt idx="555" formatCode="_(* #,##0_);_(* \(#,##0\);_(* &quot;-&quot;??_);_(@_)">
                  <c:v>278.822</c:v>
                </c:pt>
                <c:pt idx="556" formatCode="_(* #,##0_);_(* \(#,##0\);_(* &quot;-&quot;??_);_(@_)">
                  <c:v>288.779</c:v>
                </c:pt>
                <c:pt idx="557" formatCode="_(* #,##0_);_(* \(#,##0\);_(* &quot;-&quot;??_);_(@_)">
                  <c:v>284.26799999999997</c:v>
                </c:pt>
                <c:pt idx="558" formatCode="_(* #,##0_);_(* \(#,##0\);_(* &quot;-&quot;??_);_(@_)">
                  <c:v>274.959</c:v>
                </c:pt>
                <c:pt idx="559" formatCode="_(* #,##0_);_(* \(#,##0\);_(* &quot;-&quot;??_);_(@_)">
                  <c:v>274.69900000000001</c:v>
                </c:pt>
                <c:pt idx="560" formatCode="_(* #,##0_);_(* \(#,##0\);_(* &quot;-&quot;??_);_(@_)">
                  <c:v>277.23700000000002</c:v>
                </c:pt>
                <c:pt idx="561" formatCode="_(* #,##0_);_(* \(#,##0\);_(* &quot;-&quot;??_);_(@_)">
                  <c:v>274.98599999999999</c:v>
                </c:pt>
                <c:pt idx="562" formatCode="_(* #,##0_);_(* \(#,##0\);_(* &quot;-&quot;??_);_(@_)">
                  <c:v>294.90100000000001</c:v>
                </c:pt>
                <c:pt idx="563" formatCode="_(* #,##0_);_(* \(#,##0\);_(* &quot;-&quot;??_);_(@_)">
                  <c:v>297.32</c:v>
                </c:pt>
                <c:pt idx="564" formatCode="_(* #,##0_);_(* \(#,##0\);_(* &quot;-&quot;??_);_(@_)">
                  <c:v>289.48399999999998</c:v>
                </c:pt>
                <c:pt idx="565" formatCode="_(* #,##0_);_(* \(#,##0\);_(* &quot;-&quot;??_);_(@_)">
                  <c:v>288.875</c:v>
                </c:pt>
                <c:pt idx="566" formatCode="_(* #,##0_);_(* \(#,##0\);_(* &quot;-&quot;??_);_(@_)">
                  <c:v>282.262</c:v>
                </c:pt>
                <c:pt idx="567" formatCode="_(* #,##0_);_(* \(#,##0\);_(* &quot;-&quot;??_);_(@_)">
                  <c:v>279.16699999999997</c:v>
                </c:pt>
                <c:pt idx="568" formatCode="_(* #,##0_);_(* \(#,##0\);_(* &quot;-&quot;??_);_(@_)">
                  <c:v>287.32799999999997</c:v>
                </c:pt>
                <c:pt idx="569" formatCode="_(* #,##0_);_(* \(#,##0\);_(* &quot;-&quot;??_);_(@_)">
                  <c:v>298.68700000000001</c:v>
                </c:pt>
                <c:pt idx="570" formatCode="_(* #,##0_);_(* \(#,##0\);_(* &quot;-&quot;??_);_(@_)">
                  <c:v>302.77</c:v>
                </c:pt>
                <c:pt idx="571" formatCode="_(* #,##0_);_(* \(#,##0\);_(* &quot;-&quot;??_);_(@_)">
                  <c:v>301.78199999999998</c:v>
                </c:pt>
                <c:pt idx="572" formatCode="_(* #,##0_);_(* \(#,##0\);_(* &quot;-&quot;??_);_(@_)">
                  <c:v>294.89</c:v>
                </c:pt>
                <c:pt idx="573" formatCode="_(* #,##0_);_(* \(#,##0\);_(* &quot;-&quot;??_);_(@_)">
                  <c:v>293.14999999999998</c:v>
                </c:pt>
                <c:pt idx="574" formatCode="_(* #,##0_);_(* \(#,##0\);_(* &quot;-&quot;??_);_(@_)">
                  <c:v>292.05900000000003</c:v>
                </c:pt>
                <c:pt idx="575" formatCode="_(* #,##0_);_(* \(#,##0\);_(* &quot;-&quot;??_);_(@_)">
                  <c:v>296.34399999999999</c:v>
                </c:pt>
                <c:pt idx="576" formatCode="_(* #,##0_);_(* \(#,##0\);_(* &quot;-&quot;??_);_(@_)">
                  <c:v>308.67899999999997</c:v>
                </c:pt>
                <c:pt idx="577" formatCode="_(* #,##0_);_(* \(#,##0\);_(* &quot;-&quot;??_);_(@_)">
                  <c:v>307.815</c:v>
                </c:pt>
                <c:pt idx="578" formatCode="_(* #,##0_);_(* \(#,##0\);_(* &quot;-&quot;??_);_(@_)">
                  <c:v>301.108</c:v>
                </c:pt>
                <c:pt idx="579" formatCode="_(* #,##0_);_(* \(#,##0\);_(* &quot;-&quot;??_);_(@_)">
                  <c:v>310.70699999999999</c:v>
                </c:pt>
                <c:pt idx="580" formatCode="_(* #,##0_);_(* \(#,##0\);_(* &quot;-&quot;??_);_(@_)">
                  <c:v>314.62200000000001</c:v>
                </c:pt>
                <c:pt idx="581" formatCode="_(* #,##0_);_(* \(#,##0\);_(* &quot;-&quot;??_);_(@_)">
                  <c:v>314.01600000000002</c:v>
                </c:pt>
                <c:pt idx="582" formatCode="_(* #,##0_);_(* \(#,##0\);_(* &quot;-&quot;??_);_(@_)">
                  <c:v>313.73399999999998</c:v>
                </c:pt>
                <c:pt idx="583" formatCode="_(* #,##0_);_(* \(#,##0\);_(* &quot;-&quot;??_);_(@_)">
                  <c:v>314.459</c:v>
                </c:pt>
                <c:pt idx="584" formatCode="_(* #,##0_);_(* \(#,##0\);_(* &quot;-&quot;??_);_(@_)">
                  <c:v>302.23200000000003</c:v>
                </c:pt>
                <c:pt idx="585" formatCode="_(* #,##0_);_(* \(#,##0\);_(* &quot;-&quot;??_);_(@_)">
                  <c:v>301.73</c:v>
                </c:pt>
                <c:pt idx="586" formatCode="_(* #,##0_);_(* \(#,##0\);_(* &quot;-&quot;??_);_(@_)">
                  <c:v>302.26100000000002</c:v>
                </c:pt>
                <c:pt idx="587" formatCode="_(* #,##0_);_(* \(#,##0\);_(* &quot;-&quot;??_);_(@_)">
                  <c:v>302.02</c:v>
                </c:pt>
                <c:pt idx="588" formatCode="_(* #,##0_);_(* \(#,##0\);_(* &quot;-&quot;??_);_(@_)">
                  <c:v>302.02</c:v>
                </c:pt>
                <c:pt idx="589" formatCode="_(* #,##0_);_(* \(#,##0\);_(* &quot;-&quot;??_);_(@_)">
                  <c:v>302.02</c:v>
                </c:pt>
                <c:pt idx="590" formatCode="_(* #,##0_);_(* \(#,##0\);_(* &quot;-&quot;??_);_(@_)">
                  <c:v>309.56799999999998</c:v>
                </c:pt>
                <c:pt idx="591" formatCode="_(* #,##0_);_(* \(#,##0\);_(* &quot;-&quot;??_);_(@_)">
                  <c:v>307.75299999999999</c:v>
                </c:pt>
                <c:pt idx="592" formatCode="_(* #,##0_);_(* \(#,##0\);_(* &quot;-&quot;??_);_(@_)">
                  <c:v>311.34899999999999</c:v>
                </c:pt>
                <c:pt idx="593" formatCode="_(* #,##0_);_(* \(#,##0\);_(* &quot;-&quot;??_);_(@_)">
                  <c:v>309.45999999999998</c:v>
                </c:pt>
                <c:pt idx="594" formatCode="_(* #,##0_);_(* \(#,##0\);_(* &quot;-&quot;??_);_(@_)">
                  <c:v>309.755</c:v>
                </c:pt>
                <c:pt idx="595" formatCode="_(* #,##0_);_(* \(#,##0\);_(* &quot;-&quot;??_);_(@_)">
                  <c:v>317.01</c:v>
                </c:pt>
                <c:pt idx="596" formatCode="_(* #,##0_);_(* \(#,##0\);_(* &quot;-&quot;??_);_(@_)">
                  <c:v>314.464</c:v>
                </c:pt>
                <c:pt idx="597" formatCode="_(* #,##0_);_(* \(#,##0\);_(* &quot;-&quot;??_);_(@_)">
                  <c:v>318.48</c:v>
                </c:pt>
                <c:pt idx="598" formatCode="_(* #,##0_);_(* \(#,##0\);_(* &quot;-&quot;??_);_(@_)">
                  <c:v>311.93700000000001</c:v>
                </c:pt>
                <c:pt idx="599" formatCode="_(* #,##0_);_(* \(#,##0\);_(* &quot;-&quot;??_);_(@_)">
                  <c:v>304.48399999999998</c:v>
                </c:pt>
                <c:pt idx="600" formatCode="_(* #,##0_);_(* \(#,##0\);_(* &quot;-&quot;??_);_(@_)">
                  <c:v>307.94900000000001</c:v>
                </c:pt>
                <c:pt idx="601" formatCode="_(* #,##0_);_(* \(#,##0\);_(* &quot;-&quot;??_);_(@_)">
                  <c:v>309.142</c:v>
                </c:pt>
                <c:pt idx="602" formatCode="_(* #,##0_);_(* \(#,##0\);_(* &quot;-&quot;??_);_(@_)">
                  <c:v>309.29199999999997</c:v>
                </c:pt>
                <c:pt idx="603" formatCode="_(* #,##0_);_(* \(#,##0\);_(* &quot;-&quot;??_);_(@_)">
                  <c:v>306.17899999999997</c:v>
                </c:pt>
                <c:pt idx="604" formatCode="_(* #,##0_);_(* \(#,##0\);_(* &quot;-&quot;??_);_(@_)">
                  <c:v>304.72699999999998</c:v>
                </c:pt>
                <c:pt idx="605" formatCode="_(* #,##0_);_(* \(#,##0\);_(* &quot;-&quot;??_);_(@_)">
                  <c:v>303.416</c:v>
                </c:pt>
                <c:pt idx="606" formatCode="_(* #,##0_);_(* \(#,##0\);_(* &quot;-&quot;??_);_(@_)">
                  <c:v>304.35599999999999</c:v>
                </c:pt>
                <c:pt idx="607" formatCode="_(* #,##0_);_(* \(#,##0\);_(* &quot;-&quot;??_);_(@_)">
                  <c:v>302.18799999999999</c:v>
                </c:pt>
                <c:pt idx="608" formatCode="_(* #,##0_);_(* \(#,##0\);_(* &quot;-&quot;??_);_(@_)">
                  <c:v>301.33100000000002</c:v>
                </c:pt>
                <c:pt idx="609" formatCode="_(* #,##0_);_(* \(#,##0\);_(* &quot;-&quot;??_);_(@_)">
                  <c:v>301.33100000000002</c:v>
                </c:pt>
                <c:pt idx="610" formatCode="_(* #,##0_);_(* \(#,##0\);_(* &quot;-&quot;??_);_(@_)">
                  <c:v>304.21600000000001</c:v>
                </c:pt>
                <c:pt idx="611" formatCode="_(* #,##0_);_(* \(#,##0\);_(* &quot;-&quot;??_);_(@_)">
                  <c:v>298.02100000000002</c:v>
                </c:pt>
                <c:pt idx="612" formatCode="_(* #,##0_);_(* \(#,##0\);_(* &quot;-&quot;??_);_(@_)">
                  <c:v>298.74700000000001</c:v>
                </c:pt>
                <c:pt idx="613" formatCode="_(* #,##0_);_(* \(#,##0\);_(* &quot;-&quot;??_);_(@_)">
                  <c:v>289.75200000000001</c:v>
                </c:pt>
                <c:pt idx="614" formatCode="_(* #,##0_);_(* \(#,##0\);_(* &quot;-&quot;??_);_(@_)">
                  <c:v>281.149</c:v>
                </c:pt>
                <c:pt idx="615" formatCode="_(* #,##0_);_(* \(#,##0\);_(* &quot;-&quot;??_);_(@_)">
                  <c:v>280.06099999999998</c:v>
                </c:pt>
                <c:pt idx="616" formatCode="_(* #,##0_);_(* \(#,##0\);_(* &quot;-&quot;??_);_(@_)">
                  <c:v>278.17599999999999</c:v>
                </c:pt>
                <c:pt idx="617" formatCode="_(* #,##0_);_(* \(#,##0\);_(* &quot;-&quot;??_);_(@_)">
                  <c:v>285.87700000000001</c:v>
                </c:pt>
                <c:pt idx="618" formatCode="_(* #,##0_);_(* \(#,##0\);_(* &quot;-&quot;??_);_(@_)">
                  <c:v>287.66699999999997</c:v>
                </c:pt>
                <c:pt idx="619" formatCode="_(* #,##0_);_(* \(#,##0\);_(* &quot;-&quot;??_);_(@_)">
                  <c:v>287.19799999999998</c:v>
                </c:pt>
                <c:pt idx="620" formatCode="_(* #,##0_);_(* \(#,##0\);_(* &quot;-&quot;??_);_(@_)">
                  <c:v>287.738</c:v>
                </c:pt>
                <c:pt idx="621" formatCode="_(* #,##0_);_(* \(#,##0\);_(* &quot;-&quot;??_);_(@_)">
                  <c:v>284.67700000000002</c:v>
                </c:pt>
                <c:pt idx="622" formatCode="_(* #,##0_);_(* \(#,##0\);_(* &quot;-&quot;??_);_(@_)">
                  <c:v>292.10500000000002</c:v>
                </c:pt>
                <c:pt idx="623" formatCode="_(* #,##0_);_(* \(#,##0\);_(* &quot;-&quot;??_);_(@_)">
                  <c:v>291.80900000000003</c:v>
                </c:pt>
                <c:pt idx="624" formatCode="_(* #,##0_);_(* \(#,##0\);_(* &quot;-&quot;??_);_(@_)">
                  <c:v>292.51</c:v>
                </c:pt>
                <c:pt idx="625" formatCode="_(* #,##0_);_(* \(#,##0\);_(* &quot;-&quot;??_);_(@_)">
                  <c:v>297.57100000000003</c:v>
                </c:pt>
                <c:pt idx="626" formatCode="_(* #,##0_);_(* \(#,##0\);_(* &quot;-&quot;??_);_(@_)">
                  <c:v>293.464</c:v>
                </c:pt>
                <c:pt idx="627" formatCode="_(* #,##0_);_(* \(#,##0\);_(* &quot;-&quot;??_);_(@_)">
                  <c:v>294.69200000000001</c:v>
                </c:pt>
                <c:pt idx="628" formatCode="_(* #,##0_);_(* \(#,##0\);_(* &quot;-&quot;??_);_(@_)">
                  <c:v>297.75799999999998</c:v>
                </c:pt>
                <c:pt idx="629" formatCode="_(* #,##0_);_(* \(#,##0\);_(* &quot;-&quot;??_);_(@_)">
                  <c:v>297.75799999999998</c:v>
                </c:pt>
                <c:pt idx="630" formatCode="_(* #,##0_);_(* \(#,##0\);_(* &quot;-&quot;??_);_(@_)">
                  <c:v>294.358</c:v>
                </c:pt>
                <c:pt idx="631" formatCode="_(* #,##0_);_(* \(#,##0\);_(* &quot;-&quot;??_);_(@_)">
                  <c:v>295.54899999999998</c:v>
                </c:pt>
                <c:pt idx="632" formatCode="_(* #,##0_);_(* \(#,##0\);_(* &quot;-&quot;??_);_(@_)">
                  <c:v>291.803</c:v>
                </c:pt>
                <c:pt idx="633" formatCode="_(* #,##0_);_(* \(#,##0\);_(* &quot;-&quot;??_);_(@_)">
                  <c:v>296.608</c:v>
                </c:pt>
                <c:pt idx="634" formatCode="_(* #,##0_);_(* \(#,##0\);_(* &quot;-&quot;??_);_(@_)">
                  <c:v>297.68</c:v>
                </c:pt>
                <c:pt idx="635" formatCode="_(* #,##0_);_(* \(#,##0\);_(* &quot;-&quot;??_);_(@_)">
                  <c:v>295.72399999999999</c:v>
                </c:pt>
                <c:pt idx="636" formatCode="_(* #,##0_);_(* \(#,##0\);_(* &quot;-&quot;??_);_(@_)">
                  <c:v>296.72699999999998</c:v>
                </c:pt>
                <c:pt idx="637" formatCode="_(* #,##0_);_(* \(#,##0\);_(* &quot;-&quot;??_);_(@_)">
                  <c:v>301.459</c:v>
                </c:pt>
                <c:pt idx="638" formatCode="_(* #,##0_);_(* \(#,##0\);_(* &quot;-&quot;??_);_(@_)">
                  <c:v>297.67</c:v>
                </c:pt>
                <c:pt idx="639" formatCode="_(* #,##0_);_(* \(#,##0\);_(* &quot;-&quot;??_);_(@_)">
                  <c:v>292.81799999999998</c:v>
                </c:pt>
                <c:pt idx="640" formatCode="_(* #,##0_);_(* \(#,##0\);_(* &quot;-&quot;??_);_(@_)">
                  <c:v>298.029</c:v>
                </c:pt>
                <c:pt idx="641" formatCode="_(* #,##0_);_(* \(#,##0\);_(* &quot;-&quot;??_);_(@_)">
                  <c:v>289.49099999999999</c:v>
                </c:pt>
                <c:pt idx="642" formatCode="_(* #,##0_);_(* \(#,##0\);_(* &quot;-&quot;??_);_(@_)">
                  <c:v>298.30200000000002</c:v>
                </c:pt>
                <c:pt idx="643" formatCode="_(* #,##0_);_(* \(#,##0\);_(* &quot;-&quot;??_);_(@_)">
                  <c:v>301.678</c:v>
                </c:pt>
                <c:pt idx="644" formatCode="_(* #,##0_);_(* \(#,##0\);_(* &quot;-&quot;??_);_(@_)">
                  <c:v>293.72500000000002</c:v>
                </c:pt>
                <c:pt idx="645" formatCode="_(* #,##0_);_(* \(#,##0\);_(* &quot;-&quot;??_);_(@_)">
                  <c:v>295.25200000000001</c:v>
                </c:pt>
                <c:pt idx="646" formatCode="_(* #,##0_);_(* \(#,##0\);_(* &quot;-&quot;??_);_(@_)">
                  <c:v>289.39400000000001</c:v>
                </c:pt>
                <c:pt idx="647" formatCode="_(* #,##0_);_(* \(#,##0\);_(* &quot;-&quot;??_);_(@_)">
                  <c:v>283.66800000000001</c:v>
                </c:pt>
                <c:pt idx="648" formatCode="_(* #,##0_);_(* \(#,##0\);_(* &quot;-&quot;??_);_(@_)">
                  <c:v>281.68200000000002</c:v>
                </c:pt>
                <c:pt idx="649" formatCode="_(* #,##0_);_(* \(#,##0\);_(* &quot;-&quot;??_);_(@_)">
                  <c:v>277.90699999999998</c:v>
                </c:pt>
                <c:pt idx="650" formatCode="_(* #,##0_);_(* \(#,##0\);_(* &quot;-&quot;??_);_(@_)">
                  <c:v>275.97800000000001</c:v>
                </c:pt>
                <c:pt idx="651" formatCode="_(* #,##0_);_(* \(#,##0\);_(* &quot;-&quot;??_);_(@_)">
                  <c:v>275.84399999999999</c:v>
                </c:pt>
                <c:pt idx="652" formatCode="_(* #,##0_);_(* \(#,##0\);_(* &quot;-&quot;??_);_(@_)">
                  <c:v>276.06</c:v>
                </c:pt>
                <c:pt idx="653" formatCode="_(* #,##0_);_(* \(#,##0\);_(* &quot;-&quot;??_);_(@_)">
                  <c:v>275.80599999999998</c:v>
                </c:pt>
                <c:pt idx="654" formatCode="_(* #,##0_);_(* \(#,##0\);_(* &quot;-&quot;??_);_(@_)">
                  <c:v>276.02999999999997</c:v>
                </c:pt>
                <c:pt idx="655" formatCode="_(* #,##0_);_(* \(#,##0\);_(* &quot;-&quot;??_);_(@_)">
                  <c:v>284.83199999999999</c:v>
                </c:pt>
                <c:pt idx="656" formatCode="_(* #,##0_);_(* \(#,##0\);_(* &quot;-&quot;??_);_(@_)">
                  <c:v>278.94099999999997</c:v>
                </c:pt>
                <c:pt idx="657" formatCode="_(* #,##0_);_(* \(#,##0\);_(* &quot;-&quot;??_);_(@_)">
                  <c:v>283.47800000000001</c:v>
                </c:pt>
                <c:pt idx="658" formatCode="_(* #,##0_);_(* \(#,##0\);_(* &quot;-&quot;??_);_(@_)">
                  <c:v>279.56299999999999</c:v>
                </c:pt>
                <c:pt idx="659" formatCode="_(* #,##0_);_(* \(#,##0\);_(* &quot;-&quot;??_);_(@_)">
                  <c:v>276.17399999999998</c:v>
                </c:pt>
                <c:pt idx="660" formatCode="_(* #,##0_);_(* \(#,##0\);_(* &quot;-&quot;??_);_(@_)">
                  <c:v>269.92599999999999</c:v>
                </c:pt>
                <c:pt idx="661" formatCode="_(* #,##0_);_(* \(#,##0\);_(* &quot;-&quot;??_);_(@_)">
                  <c:v>278.762</c:v>
                </c:pt>
                <c:pt idx="662" formatCode="_(* #,##0_);_(* \(#,##0\);_(* &quot;-&quot;??_);_(@_)">
                  <c:v>282.38799999999998</c:v>
                </c:pt>
                <c:pt idx="663" formatCode="_(* #,##0_);_(* \(#,##0\);_(* &quot;-&quot;??_);_(@_)">
                  <c:v>281.21600000000001</c:v>
                </c:pt>
                <c:pt idx="664" formatCode="_(* #,##0_);_(* \(#,##0\);_(* &quot;-&quot;??_);_(@_)">
                  <c:v>293.93</c:v>
                </c:pt>
                <c:pt idx="665" formatCode="_(* #,##0_);_(* \(#,##0\);_(* &quot;-&quot;??_);_(@_)">
                  <c:v>290.56400000000002</c:v>
                </c:pt>
                <c:pt idx="666" formatCode="_(* #,##0_);_(* \(#,##0\);_(* &quot;-&quot;??_);_(@_)">
                  <c:v>284.21499999999997</c:v>
                </c:pt>
                <c:pt idx="667" formatCode="_(* #,##0_);_(* \(#,##0\);_(* &quot;-&quot;??_);_(@_)">
                  <c:v>286.83699999999999</c:v>
                </c:pt>
                <c:pt idx="668" formatCode="_(* #,##0_);_(* \(#,##0\);_(* &quot;-&quot;??_);_(@_)">
                  <c:v>286.88099999999997</c:v>
                </c:pt>
                <c:pt idx="669" formatCode="_(* #,##0_);_(* \(#,##0\);_(* &quot;-&quot;??_);_(@_)">
                  <c:v>285.16699999999997</c:v>
                </c:pt>
                <c:pt idx="670" formatCode="_(* #,##0_);_(* \(#,##0\);_(* &quot;-&quot;??_);_(@_)">
                  <c:v>290.87</c:v>
                </c:pt>
                <c:pt idx="671" formatCode="_(* #,##0_);_(* \(#,##0\);_(* &quot;-&quot;??_);_(@_)">
                  <c:v>291.24700000000001</c:v>
                </c:pt>
                <c:pt idx="672" formatCode="_(* #,##0_);_(* \(#,##0\);_(* &quot;-&quot;??_);_(@_)">
                  <c:v>287.178</c:v>
                </c:pt>
                <c:pt idx="673" formatCode="_(* #,##0_);_(* \(#,##0\);_(* &quot;-&quot;??_);_(@_)">
                  <c:v>290.976</c:v>
                </c:pt>
                <c:pt idx="674" formatCode="_(* #,##0_);_(* \(#,##0\);_(* &quot;-&quot;??_);_(@_)">
                  <c:v>293.74</c:v>
                </c:pt>
                <c:pt idx="675" formatCode="_(* #,##0_);_(* \(#,##0\);_(* &quot;-&quot;??_);_(@_)">
                  <c:v>297.053</c:v>
                </c:pt>
                <c:pt idx="676" formatCode="_(* #,##0_);_(* \(#,##0\);_(* &quot;-&quot;??_);_(@_)">
                  <c:v>295.66899999999998</c:v>
                </c:pt>
                <c:pt idx="677" formatCode="_(* #,##0_);_(* \(#,##0\);_(* &quot;-&quot;??_);_(@_)">
                  <c:v>291.06299999999999</c:v>
                </c:pt>
                <c:pt idx="678" formatCode="_(* #,##0_);_(* \(#,##0\);_(* &quot;-&quot;??_);_(@_)">
                  <c:v>283.08499999999998</c:v>
                </c:pt>
                <c:pt idx="679" formatCode="_(* #,##0_);_(* \(#,##0\);_(* &quot;-&quot;??_);_(@_)">
                  <c:v>284.63</c:v>
                </c:pt>
                <c:pt idx="680" formatCode="_(* #,##0_);_(* \(#,##0\);_(* &quot;-&quot;??_);_(@_)">
                  <c:v>283.59699999999998</c:v>
                </c:pt>
                <c:pt idx="681" formatCode="_(* #,##0_);_(* \(#,##0\);_(* &quot;-&quot;??_);_(@_)">
                  <c:v>288.065</c:v>
                </c:pt>
                <c:pt idx="682" formatCode="_(* #,##0_);_(* \(#,##0\);_(* &quot;-&quot;??_);_(@_)">
                  <c:v>286.04700000000003</c:v>
                </c:pt>
                <c:pt idx="683" formatCode="_(* #,##0_);_(* \(#,##0\);_(* &quot;-&quot;??_);_(@_)">
                  <c:v>291.27199999999999</c:v>
                </c:pt>
                <c:pt idx="684" formatCode="_(* #,##0_);_(* \(#,##0\);_(* &quot;-&quot;??_);_(@_)">
                  <c:v>294.096</c:v>
                </c:pt>
                <c:pt idx="685" formatCode="_(* #,##0_);_(* \(#,##0\);_(* &quot;-&quot;??_);_(@_)">
                  <c:v>290.17</c:v>
                </c:pt>
                <c:pt idx="686" formatCode="_(* #,##0_);_(* \(#,##0\);_(* &quot;-&quot;??_);_(@_)">
                  <c:v>293.09399999999999</c:v>
                </c:pt>
                <c:pt idx="687" formatCode="_(* #,##0_);_(* \(#,##0\);_(* &quot;-&quot;??_);_(@_)">
                  <c:v>294.84300000000002</c:v>
                </c:pt>
                <c:pt idx="688" formatCode="_(* #,##0_);_(* \(#,##0\);_(* &quot;-&quot;??_);_(@_)">
                  <c:v>290.97899999999998</c:v>
                </c:pt>
                <c:pt idx="689" formatCode="_(* #,##0_);_(* \(#,##0\);_(* &quot;-&quot;??_);_(@_)">
                  <c:v>295.14400000000001</c:v>
                </c:pt>
                <c:pt idx="690" formatCode="_(* #,##0_);_(* \(#,##0\);_(* &quot;-&quot;??_);_(@_)">
                  <c:v>290.20800000000003</c:v>
                </c:pt>
                <c:pt idx="691" formatCode="_(* #,##0_);_(* \(#,##0\);_(* &quot;-&quot;??_);_(@_)">
                  <c:v>284.41500000000002</c:v>
                </c:pt>
                <c:pt idx="692" formatCode="_(* #,##0_);_(* \(#,##0\);_(* &quot;-&quot;??_);_(@_)">
                  <c:v>284.351</c:v>
                </c:pt>
                <c:pt idx="693" formatCode="_(* #,##0_);_(* \(#,##0\);_(* &quot;-&quot;??_);_(@_)">
                  <c:v>286.41899999999998</c:v>
                </c:pt>
                <c:pt idx="694" formatCode="_(* #,##0_);_(* \(#,##0\);_(* &quot;-&quot;??_);_(@_)">
                  <c:v>286.41899999999998</c:v>
                </c:pt>
                <c:pt idx="695" formatCode="_(* #,##0_);_(* \(#,##0\);_(* &quot;-&quot;??_);_(@_)">
                  <c:v>285.10300000000001</c:v>
                </c:pt>
                <c:pt idx="696" formatCode="_(* #,##0_);_(* \(#,##0\);_(* &quot;-&quot;??_);_(@_)">
                  <c:v>284.56200000000001</c:v>
                </c:pt>
                <c:pt idx="697" formatCode="_(* #,##0_);_(* \(#,##0\);_(* &quot;-&quot;??_);_(@_)">
                  <c:v>280.35300000000001</c:v>
                </c:pt>
                <c:pt idx="698" formatCode="_(* #,##0_);_(* \(#,##0\);_(* &quot;-&quot;??_);_(@_)">
                  <c:v>278.48700000000002</c:v>
                </c:pt>
                <c:pt idx="699" formatCode="_(* #,##0_);_(* \(#,##0\);_(* &quot;-&quot;??_);_(@_)">
                  <c:v>277.69299999999998</c:v>
                </c:pt>
                <c:pt idx="700" formatCode="_(* #,##0_);_(* \(#,##0\);_(* &quot;-&quot;??_);_(@_)">
                  <c:v>273.67599999999999</c:v>
                </c:pt>
                <c:pt idx="701" formatCode="_(* #,##0_);_(* \(#,##0\);_(* &quot;-&quot;??_);_(@_)">
                  <c:v>273.88299999999998</c:v>
                </c:pt>
                <c:pt idx="702" formatCode="_(* #,##0_);_(* \(#,##0\);_(* &quot;-&quot;??_);_(@_)">
                  <c:v>275.834</c:v>
                </c:pt>
                <c:pt idx="703" formatCode="_(* #,##0_);_(* \(#,##0\);_(* &quot;-&quot;??_);_(@_)">
                  <c:v>271.024</c:v>
                </c:pt>
                <c:pt idx="704" formatCode="_(* #,##0_);_(* \(#,##0\);_(* &quot;-&quot;??_);_(@_)">
                  <c:v>270.83999999999997</c:v>
                </c:pt>
                <c:pt idx="705" formatCode="_(* #,##0_);_(* \(#,##0\);_(* &quot;-&quot;??_);_(@_)">
                  <c:v>269.709</c:v>
                </c:pt>
              </c:numCache>
            </c:numRef>
          </c:val>
          <c:smooth val="0"/>
          <c:extLst>
            <c:ext xmlns:c16="http://schemas.microsoft.com/office/drawing/2014/chart" uri="{C3380CC4-5D6E-409C-BE32-E72D297353CC}">
              <c16:uniqueId val="{00000003-7C05-4062-8901-959CCCC822C5}"/>
            </c:ext>
          </c:extLst>
        </c:ser>
        <c:ser>
          <c:idx val="4"/>
          <c:order val="4"/>
          <c:tx>
            <c:strRef>
              <c:f>Sheet1!$F$1</c:f>
              <c:strCache>
                <c:ptCount val="1"/>
                <c:pt idx="0">
                  <c:v>Ադրբեջան (2024թ.)</c:v>
                </c:pt>
              </c:strCache>
            </c:strRef>
          </c:tx>
          <c:spPr>
            <a:ln w="28575" cap="rnd">
              <a:solidFill>
                <a:schemeClr val="accent6">
                  <a:lumMod val="75000"/>
                </a:schemeClr>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Sheet1!$F$2:$F$707</c:f>
              <c:numCache>
                <c:formatCode>_(* #,##0_);_(* \(#,##0\);_(* "-"??_);_(@_)</c:formatCode>
                <c:ptCount val="706"/>
                <c:pt idx="0">
                  <c:v>219.73599999999999</c:v>
                </c:pt>
                <c:pt idx="1">
                  <c:v>218.94</c:v>
                </c:pt>
                <c:pt idx="2">
                  <c:v>224.01599999999999</c:v>
                </c:pt>
                <c:pt idx="3">
                  <c:v>208.94</c:v>
                </c:pt>
                <c:pt idx="4">
                  <c:v>193.09700000000001</c:v>
                </c:pt>
                <c:pt idx="5">
                  <c:v>193.083</c:v>
                </c:pt>
                <c:pt idx="6">
                  <c:v>195.28</c:v>
                </c:pt>
                <c:pt idx="7">
                  <c:v>199.90899999999999</c:v>
                </c:pt>
                <c:pt idx="8">
                  <c:v>198.30199999999999</c:v>
                </c:pt>
                <c:pt idx="9">
                  <c:v>199.68299999999999</c:v>
                </c:pt>
                <c:pt idx="10">
                  <c:v>196.39699999999999</c:v>
                </c:pt>
                <c:pt idx="11">
                  <c:v>188.75299999999999</c:v>
                </c:pt>
                <c:pt idx="12">
                  <c:v>183.23099999999999</c:v>
                </c:pt>
                <c:pt idx="13">
                  <c:v>166.274</c:v>
                </c:pt>
                <c:pt idx="14">
                  <c:v>165.505</c:v>
                </c:pt>
                <c:pt idx="15">
                  <c:v>170.036</c:v>
                </c:pt>
                <c:pt idx="16">
                  <c:v>170.88200000000001</c:v>
                </c:pt>
                <c:pt idx="17">
                  <c:v>169.494</c:v>
                </c:pt>
                <c:pt idx="18">
                  <c:v>170.256</c:v>
                </c:pt>
                <c:pt idx="19">
                  <c:v>187.989</c:v>
                </c:pt>
                <c:pt idx="20">
                  <c:v>188.595</c:v>
                </c:pt>
                <c:pt idx="21">
                  <c:v>187.114</c:v>
                </c:pt>
                <c:pt idx="22">
                  <c:v>178.70099999999999</c:v>
                </c:pt>
                <c:pt idx="23">
                  <c:v>168.60599999999999</c:v>
                </c:pt>
                <c:pt idx="24">
                  <c:v>162.84299999999999</c:v>
                </c:pt>
                <c:pt idx="25">
                  <c:v>155.25899999999999</c:v>
                </c:pt>
                <c:pt idx="26">
                  <c:v>157.43700000000001</c:v>
                </c:pt>
                <c:pt idx="27">
                  <c:v>168.221</c:v>
                </c:pt>
                <c:pt idx="28">
                  <c:v>171.32499999999999</c:v>
                </c:pt>
                <c:pt idx="29">
                  <c:v>169.00399999999999</c:v>
                </c:pt>
                <c:pt idx="30">
                  <c:v>170.24199999999999</c:v>
                </c:pt>
                <c:pt idx="31">
                  <c:v>158.999</c:v>
                </c:pt>
                <c:pt idx="32">
                  <c:v>171.011</c:v>
                </c:pt>
                <c:pt idx="33">
                  <c:v>167.767</c:v>
                </c:pt>
                <c:pt idx="34">
                  <c:v>162.86500000000001</c:v>
                </c:pt>
                <c:pt idx="35">
                  <c:v>163.285</c:v>
                </c:pt>
                <c:pt idx="36">
                  <c:v>163.30500000000001</c:v>
                </c:pt>
                <c:pt idx="37">
                  <c:v>164.51</c:v>
                </c:pt>
                <c:pt idx="38">
                  <c:v>166.04300000000001</c:v>
                </c:pt>
                <c:pt idx="39">
                  <c:v>164.506</c:v>
                </c:pt>
                <c:pt idx="40">
                  <c:v>171.60599999999999</c:v>
                </c:pt>
                <c:pt idx="41">
                  <c:v>165.965</c:v>
                </c:pt>
                <c:pt idx="42">
                  <c:v>163.94200000000001</c:v>
                </c:pt>
                <c:pt idx="43">
                  <c:v>165.49299999999999</c:v>
                </c:pt>
                <c:pt idx="44">
                  <c:v>171.113</c:v>
                </c:pt>
                <c:pt idx="45">
                  <c:v>171.459</c:v>
                </c:pt>
                <c:pt idx="46">
                  <c:v>170.43</c:v>
                </c:pt>
                <c:pt idx="47">
                  <c:v>175.98099999999999</c:v>
                </c:pt>
                <c:pt idx="48">
                  <c:v>176.87</c:v>
                </c:pt>
                <c:pt idx="49">
                  <c:v>169.27</c:v>
                </c:pt>
                <c:pt idx="50">
                  <c:v>167.91399999999999</c:v>
                </c:pt>
                <c:pt idx="51">
                  <c:v>165.22</c:v>
                </c:pt>
                <c:pt idx="52">
                  <c:v>161.077</c:v>
                </c:pt>
                <c:pt idx="53">
                  <c:v>157.70500000000001</c:v>
                </c:pt>
                <c:pt idx="54">
                  <c:v>149.16</c:v>
                </c:pt>
                <c:pt idx="55">
                  <c:v>146.678</c:v>
                </c:pt>
                <c:pt idx="56">
                  <c:v>152.33699999999999</c:v>
                </c:pt>
                <c:pt idx="57">
                  <c:v>149.56200000000001</c:v>
                </c:pt>
                <c:pt idx="58">
                  <c:v>161.197</c:v>
                </c:pt>
                <c:pt idx="59">
                  <c:v>165.84899999999999</c:v>
                </c:pt>
                <c:pt idx="60">
                  <c:v>158.72</c:v>
                </c:pt>
                <c:pt idx="61">
                  <c:v>164.21</c:v>
                </c:pt>
                <c:pt idx="62">
                  <c:v>161.392</c:v>
                </c:pt>
                <c:pt idx="63">
                  <c:v>162.15700000000001</c:v>
                </c:pt>
                <c:pt idx="64">
                  <c:v>154.858</c:v>
                </c:pt>
                <c:pt idx="65">
                  <c:v>157.18299999999999</c:v>
                </c:pt>
                <c:pt idx="66">
                  <c:v>161.26300000000001</c:v>
                </c:pt>
                <c:pt idx="67">
                  <c:v>163.934</c:v>
                </c:pt>
                <c:pt idx="68">
                  <c:v>166.33</c:v>
                </c:pt>
                <c:pt idx="69">
                  <c:v>164.37799999999999</c:v>
                </c:pt>
                <c:pt idx="70">
                  <c:v>164.01499999999999</c:v>
                </c:pt>
                <c:pt idx="71">
                  <c:v>170.708</c:v>
                </c:pt>
                <c:pt idx="72">
                  <c:v>174.86</c:v>
                </c:pt>
                <c:pt idx="73">
                  <c:v>171.548</c:v>
                </c:pt>
                <c:pt idx="74">
                  <c:v>166.76300000000001</c:v>
                </c:pt>
                <c:pt idx="75">
                  <c:v>163.15600000000001</c:v>
                </c:pt>
                <c:pt idx="76">
                  <c:v>162.44999999999999</c:v>
                </c:pt>
                <c:pt idx="77">
                  <c:v>163.345</c:v>
                </c:pt>
                <c:pt idx="78">
                  <c:v>163.345</c:v>
                </c:pt>
                <c:pt idx="79">
                  <c:v>163.99100000000001</c:v>
                </c:pt>
                <c:pt idx="80">
                  <c:v>165.476</c:v>
                </c:pt>
                <c:pt idx="81">
                  <c:v>165.001</c:v>
                </c:pt>
                <c:pt idx="82">
                  <c:v>165.80600000000001</c:v>
                </c:pt>
                <c:pt idx="83">
                  <c:v>166.95</c:v>
                </c:pt>
                <c:pt idx="84">
                  <c:v>160.57900000000001</c:v>
                </c:pt>
                <c:pt idx="85">
                  <c:v>158.762</c:v>
                </c:pt>
                <c:pt idx="86">
                  <c:v>156.511</c:v>
                </c:pt>
                <c:pt idx="87">
                  <c:v>153.66499999999999</c:v>
                </c:pt>
                <c:pt idx="88">
                  <c:v>156.59899999999999</c:v>
                </c:pt>
                <c:pt idx="89">
                  <c:v>169.995</c:v>
                </c:pt>
                <c:pt idx="90">
                  <c:v>165.12299999999999</c:v>
                </c:pt>
                <c:pt idx="91">
                  <c:v>168.40600000000001</c:v>
                </c:pt>
                <c:pt idx="92">
                  <c:v>171.084</c:v>
                </c:pt>
                <c:pt idx="93">
                  <c:v>167.95099999999999</c:v>
                </c:pt>
                <c:pt idx="94">
                  <c:v>176.41399999999999</c:v>
                </c:pt>
                <c:pt idx="95">
                  <c:v>178.77</c:v>
                </c:pt>
                <c:pt idx="96">
                  <c:v>179.727</c:v>
                </c:pt>
                <c:pt idx="97">
                  <c:v>170.46</c:v>
                </c:pt>
                <c:pt idx="98">
                  <c:v>168.73599999999999</c:v>
                </c:pt>
                <c:pt idx="99">
                  <c:v>164.02600000000001</c:v>
                </c:pt>
                <c:pt idx="100">
                  <c:v>159.90199999999999</c:v>
                </c:pt>
                <c:pt idx="101">
                  <c:v>163.16499999999999</c:v>
                </c:pt>
                <c:pt idx="102">
                  <c:v>173.69300000000001</c:v>
                </c:pt>
                <c:pt idx="103">
                  <c:v>171.786</c:v>
                </c:pt>
                <c:pt idx="104">
                  <c:v>170.47499999999999</c:v>
                </c:pt>
                <c:pt idx="105">
                  <c:v>174.453</c:v>
                </c:pt>
                <c:pt idx="106">
                  <c:v>174.12200000000001</c:v>
                </c:pt>
                <c:pt idx="107">
                  <c:v>176.631</c:v>
                </c:pt>
                <c:pt idx="108">
                  <c:v>185.99799999999999</c:v>
                </c:pt>
                <c:pt idx="109">
                  <c:v>198.233</c:v>
                </c:pt>
                <c:pt idx="110">
                  <c:v>192.83799999999999</c:v>
                </c:pt>
                <c:pt idx="111">
                  <c:v>184.97300000000001</c:v>
                </c:pt>
                <c:pt idx="112">
                  <c:v>181.85</c:v>
                </c:pt>
                <c:pt idx="113">
                  <c:v>180.48699999999999</c:v>
                </c:pt>
                <c:pt idx="114">
                  <c:v>169.316</c:v>
                </c:pt>
                <c:pt idx="115">
                  <c:v>167.75700000000001</c:v>
                </c:pt>
                <c:pt idx="116">
                  <c:v>174.49199999999999</c:v>
                </c:pt>
                <c:pt idx="117">
                  <c:v>179.94399999999999</c:v>
                </c:pt>
                <c:pt idx="118">
                  <c:v>176.654</c:v>
                </c:pt>
                <c:pt idx="119">
                  <c:v>172.89099999999999</c:v>
                </c:pt>
                <c:pt idx="120">
                  <c:v>167.21799999999999</c:v>
                </c:pt>
                <c:pt idx="121">
                  <c:v>168.99100000000001</c:v>
                </c:pt>
                <c:pt idx="122">
                  <c:v>144.35599999999999</c:v>
                </c:pt>
                <c:pt idx="123">
                  <c:v>156.31399999999999</c:v>
                </c:pt>
                <c:pt idx="124">
                  <c:v>166.261</c:v>
                </c:pt>
                <c:pt idx="125">
                  <c:v>171.41399999999999</c:v>
                </c:pt>
                <c:pt idx="126">
                  <c:v>170.52099999999999</c:v>
                </c:pt>
                <c:pt idx="127">
                  <c:v>170.95099999999999</c:v>
                </c:pt>
                <c:pt idx="128">
                  <c:v>173.529</c:v>
                </c:pt>
                <c:pt idx="129">
                  <c:v>164.91300000000001</c:v>
                </c:pt>
                <c:pt idx="130">
                  <c:v>169.03299999999999</c:v>
                </c:pt>
                <c:pt idx="131">
                  <c:v>168.00299999999999</c:v>
                </c:pt>
                <c:pt idx="132">
                  <c:v>168.37799999999999</c:v>
                </c:pt>
                <c:pt idx="133">
                  <c:v>161.58199999999999</c:v>
                </c:pt>
                <c:pt idx="134">
                  <c:v>161.376</c:v>
                </c:pt>
                <c:pt idx="135">
                  <c:v>160.41999999999999</c:v>
                </c:pt>
                <c:pt idx="136">
                  <c:v>162.17099999999999</c:v>
                </c:pt>
                <c:pt idx="137">
                  <c:v>153.89500000000001</c:v>
                </c:pt>
                <c:pt idx="138">
                  <c:v>158.726</c:v>
                </c:pt>
                <c:pt idx="139">
                  <c:v>160.85499999999999</c:v>
                </c:pt>
                <c:pt idx="140">
                  <c:v>161.63900000000001</c:v>
                </c:pt>
                <c:pt idx="141">
                  <c:v>161.86000000000001</c:v>
                </c:pt>
                <c:pt idx="142">
                  <c:v>164.548</c:v>
                </c:pt>
                <c:pt idx="143">
                  <c:v>158.12899999999999</c:v>
                </c:pt>
                <c:pt idx="144">
                  <c:v>153.113</c:v>
                </c:pt>
                <c:pt idx="145">
                  <c:v>145.255</c:v>
                </c:pt>
                <c:pt idx="146">
                  <c:v>144.226</c:v>
                </c:pt>
                <c:pt idx="147">
                  <c:v>136.119</c:v>
                </c:pt>
                <c:pt idx="148">
                  <c:v>134.08000000000001</c:v>
                </c:pt>
                <c:pt idx="149">
                  <c:v>133.024</c:v>
                </c:pt>
                <c:pt idx="150">
                  <c:v>134.81</c:v>
                </c:pt>
                <c:pt idx="151">
                  <c:v>134.72999999999999</c:v>
                </c:pt>
                <c:pt idx="152">
                  <c:v>152.91999999999999</c:v>
                </c:pt>
                <c:pt idx="153">
                  <c:v>161.636</c:v>
                </c:pt>
                <c:pt idx="154">
                  <c:v>183.57</c:v>
                </c:pt>
                <c:pt idx="155">
                  <c:v>179.971</c:v>
                </c:pt>
                <c:pt idx="156">
                  <c:v>171.74100000000001</c:v>
                </c:pt>
                <c:pt idx="157">
                  <c:v>171.36099999999999</c:v>
                </c:pt>
                <c:pt idx="158">
                  <c:v>165.488</c:v>
                </c:pt>
                <c:pt idx="159">
                  <c:v>174.10499999999999</c:v>
                </c:pt>
                <c:pt idx="160">
                  <c:v>168.53</c:v>
                </c:pt>
                <c:pt idx="161">
                  <c:v>177.33699999999999</c:v>
                </c:pt>
                <c:pt idx="162">
                  <c:v>190.69800000000001</c:v>
                </c:pt>
                <c:pt idx="163">
                  <c:v>187.815</c:v>
                </c:pt>
                <c:pt idx="164">
                  <c:v>183.83600000000001</c:v>
                </c:pt>
                <c:pt idx="165">
                  <c:v>186.92599999999999</c:v>
                </c:pt>
                <c:pt idx="166">
                  <c:v>180.846</c:v>
                </c:pt>
                <c:pt idx="167">
                  <c:v>179.64699999999999</c:v>
                </c:pt>
                <c:pt idx="168">
                  <c:v>188.595</c:v>
                </c:pt>
                <c:pt idx="169">
                  <c:v>191.53100000000001</c:v>
                </c:pt>
                <c:pt idx="170">
                  <c:v>190.893</c:v>
                </c:pt>
                <c:pt idx="171">
                  <c:v>187.66800000000001</c:v>
                </c:pt>
                <c:pt idx="172">
                  <c:v>178.57300000000001</c:v>
                </c:pt>
                <c:pt idx="173">
                  <c:v>171.36799999999999</c:v>
                </c:pt>
                <c:pt idx="174">
                  <c:v>161.35</c:v>
                </c:pt>
                <c:pt idx="175">
                  <c:v>166.227</c:v>
                </c:pt>
                <c:pt idx="176">
                  <c:v>165.17099999999999</c:v>
                </c:pt>
                <c:pt idx="177">
                  <c:v>156.703</c:v>
                </c:pt>
                <c:pt idx="178">
                  <c:v>166.00899999999999</c:v>
                </c:pt>
                <c:pt idx="179">
                  <c:v>165.84399999999999</c:v>
                </c:pt>
                <c:pt idx="180">
                  <c:v>162.751</c:v>
                </c:pt>
                <c:pt idx="181">
                  <c:v>170.875</c:v>
                </c:pt>
                <c:pt idx="182">
                  <c:v>165.13900000000001</c:v>
                </c:pt>
                <c:pt idx="183">
                  <c:v>163.411</c:v>
                </c:pt>
                <c:pt idx="184">
                  <c:v>167.31100000000001</c:v>
                </c:pt>
                <c:pt idx="185">
                  <c:v>165.78399999999999</c:v>
                </c:pt>
                <c:pt idx="186">
                  <c:v>161.60900000000001</c:v>
                </c:pt>
                <c:pt idx="187">
                  <c:v>162.49199999999999</c:v>
                </c:pt>
                <c:pt idx="188">
                  <c:v>156.833</c:v>
                </c:pt>
                <c:pt idx="189">
                  <c:v>155.541</c:v>
                </c:pt>
                <c:pt idx="190">
                  <c:v>160.43199999999999</c:v>
                </c:pt>
                <c:pt idx="191">
                  <c:v>162.19900000000001</c:v>
                </c:pt>
                <c:pt idx="192">
                  <c:v>168.077</c:v>
                </c:pt>
                <c:pt idx="193">
                  <c:v>165.04300000000001</c:v>
                </c:pt>
                <c:pt idx="194">
                  <c:v>171.07499999999999</c:v>
                </c:pt>
                <c:pt idx="195">
                  <c:v>181.11799999999999</c:v>
                </c:pt>
                <c:pt idx="196">
                  <c:v>194.10499999999999</c:v>
                </c:pt>
                <c:pt idx="197">
                  <c:v>201.07900000000001</c:v>
                </c:pt>
                <c:pt idx="198">
                  <c:v>194.119</c:v>
                </c:pt>
                <c:pt idx="199">
                  <c:v>190.19499999999999</c:v>
                </c:pt>
                <c:pt idx="200">
                  <c:v>196.49199999999999</c:v>
                </c:pt>
                <c:pt idx="201">
                  <c:v>191.203</c:v>
                </c:pt>
                <c:pt idx="202">
                  <c:v>182.56299999999999</c:v>
                </c:pt>
                <c:pt idx="203">
                  <c:v>175.566</c:v>
                </c:pt>
                <c:pt idx="204">
                  <c:v>173.523</c:v>
                </c:pt>
                <c:pt idx="205">
                  <c:v>169.404</c:v>
                </c:pt>
                <c:pt idx="206">
                  <c:v>169.71199999999999</c:v>
                </c:pt>
                <c:pt idx="207">
                  <c:v>166.77199999999999</c:v>
                </c:pt>
                <c:pt idx="208">
                  <c:v>165.369</c:v>
                </c:pt>
                <c:pt idx="209">
                  <c:v>164.249</c:v>
                </c:pt>
                <c:pt idx="210">
                  <c:v>165.136</c:v>
                </c:pt>
                <c:pt idx="211">
                  <c:v>162.54300000000001</c:v>
                </c:pt>
                <c:pt idx="212">
                  <c:v>163.36199999999999</c:v>
                </c:pt>
                <c:pt idx="213">
                  <c:v>159.96799999999999</c:v>
                </c:pt>
                <c:pt idx="214">
                  <c:v>166.761</c:v>
                </c:pt>
                <c:pt idx="215">
                  <c:v>165.696</c:v>
                </c:pt>
                <c:pt idx="216">
                  <c:v>170.56200000000001</c:v>
                </c:pt>
                <c:pt idx="217">
                  <c:v>174.57499999999999</c:v>
                </c:pt>
                <c:pt idx="218">
                  <c:v>166.358</c:v>
                </c:pt>
                <c:pt idx="219">
                  <c:v>156.93700000000001</c:v>
                </c:pt>
                <c:pt idx="220">
                  <c:v>155.78</c:v>
                </c:pt>
                <c:pt idx="221">
                  <c:v>159.68</c:v>
                </c:pt>
                <c:pt idx="222">
                  <c:v>156.84200000000001</c:v>
                </c:pt>
                <c:pt idx="223">
                  <c:v>156.411</c:v>
                </c:pt>
                <c:pt idx="224">
                  <c:v>157.40899999999999</c:v>
                </c:pt>
                <c:pt idx="225">
                  <c:v>159.71199999999999</c:v>
                </c:pt>
                <c:pt idx="226">
                  <c:v>160.02500000000001</c:v>
                </c:pt>
                <c:pt idx="227">
                  <c:v>161.41200000000001</c:v>
                </c:pt>
                <c:pt idx="228">
                  <c:v>150.62700000000001</c:v>
                </c:pt>
                <c:pt idx="229">
                  <c:v>152.232</c:v>
                </c:pt>
                <c:pt idx="230">
                  <c:v>154.965</c:v>
                </c:pt>
                <c:pt idx="231">
                  <c:v>153.63900000000001</c:v>
                </c:pt>
                <c:pt idx="232">
                  <c:v>144.422</c:v>
                </c:pt>
                <c:pt idx="233">
                  <c:v>139.767</c:v>
                </c:pt>
                <c:pt idx="234">
                  <c:v>142.73699999999999</c:v>
                </c:pt>
                <c:pt idx="235">
                  <c:v>145.33099999999999</c:v>
                </c:pt>
                <c:pt idx="236">
                  <c:v>141.26900000000001</c:v>
                </c:pt>
                <c:pt idx="237">
                  <c:v>138.13800000000001</c:v>
                </c:pt>
                <c:pt idx="238">
                  <c:v>133.83199999999999</c:v>
                </c:pt>
                <c:pt idx="239">
                  <c:v>140.62700000000001</c:v>
                </c:pt>
                <c:pt idx="240">
                  <c:v>148.72999999999999</c:v>
                </c:pt>
                <c:pt idx="241">
                  <c:v>140.875</c:v>
                </c:pt>
                <c:pt idx="242">
                  <c:v>137.55000000000001</c:v>
                </c:pt>
                <c:pt idx="243">
                  <c:v>136.04400000000001</c:v>
                </c:pt>
                <c:pt idx="244">
                  <c:v>137.119</c:v>
                </c:pt>
                <c:pt idx="245">
                  <c:v>137.584</c:v>
                </c:pt>
                <c:pt idx="246">
                  <c:v>135.46299999999999</c:v>
                </c:pt>
                <c:pt idx="247">
                  <c:v>124.08199999999999</c:v>
                </c:pt>
                <c:pt idx="248">
                  <c:v>131.405</c:v>
                </c:pt>
                <c:pt idx="249">
                  <c:v>124.483</c:v>
                </c:pt>
                <c:pt idx="250">
                  <c:v>124.955</c:v>
                </c:pt>
                <c:pt idx="251">
                  <c:v>119.07899999999999</c:v>
                </c:pt>
                <c:pt idx="252">
                  <c:v>119.375</c:v>
                </c:pt>
                <c:pt idx="253">
                  <c:v>120.867</c:v>
                </c:pt>
                <c:pt idx="254">
                  <c:v>119.31</c:v>
                </c:pt>
                <c:pt idx="255">
                  <c:v>120.041</c:v>
                </c:pt>
                <c:pt idx="256">
                  <c:v>120.041</c:v>
                </c:pt>
                <c:pt idx="257">
                  <c:v>120.041</c:v>
                </c:pt>
                <c:pt idx="258">
                  <c:v>122.747</c:v>
                </c:pt>
                <c:pt idx="259">
                  <c:v>124.134</c:v>
                </c:pt>
                <c:pt idx="260">
                  <c:v>121.98699999999999</c:v>
                </c:pt>
                <c:pt idx="261">
                  <c:v>121.98699999999999</c:v>
                </c:pt>
                <c:pt idx="262">
                  <c:v>122.93300000000001</c:v>
                </c:pt>
                <c:pt idx="263">
                  <c:v>125.89700000000001</c:v>
                </c:pt>
                <c:pt idx="264">
                  <c:v>127.456</c:v>
                </c:pt>
                <c:pt idx="265">
                  <c:v>125.473</c:v>
                </c:pt>
                <c:pt idx="266">
                  <c:v>119.208</c:v>
                </c:pt>
                <c:pt idx="267">
                  <c:v>122.057</c:v>
                </c:pt>
                <c:pt idx="268">
                  <c:v>122.742</c:v>
                </c:pt>
                <c:pt idx="269">
                  <c:v>120.43600000000001</c:v>
                </c:pt>
                <c:pt idx="270">
                  <c:v>117.774</c:v>
                </c:pt>
                <c:pt idx="271">
                  <c:v>118.154</c:v>
                </c:pt>
                <c:pt idx="272">
                  <c:v>117.723</c:v>
                </c:pt>
                <c:pt idx="273">
                  <c:v>117.018</c:v>
                </c:pt>
                <c:pt idx="274">
                  <c:v>117.95399999999999</c:v>
                </c:pt>
                <c:pt idx="275">
                  <c:v>119.03</c:v>
                </c:pt>
                <c:pt idx="276">
                  <c:v>118.605</c:v>
                </c:pt>
                <c:pt idx="277">
                  <c:v>122.054</c:v>
                </c:pt>
                <c:pt idx="278">
                  <c:v>124.81699999999999</c:v>
                </c:pt>
                <c:pt idx="279">
                  <c:v>137.19900000000001</c:v>
                </c:pt>
                <c:pt idx="280">
                  <c:v>129.595</c:v>
                </c:pt>
                <c:pt idx="281">
                  <c:v>136.084</c:v>
                </c:pt>
                <c:pt idx="282">
                  <c:v>136.58099999999999</c:v>
                </c:pt>
                <c:pt idx="283">
                  <c:v>133.44300000000001</c:v>
                </c:pt>
                <c:pt idx="284">
                  <c:v>128.304</c:v>
                </c:pt>
                <c:pt idx="285">
                  <c:v>118.224</c:v>
                </c:pt>
                <c:pt idx="286">
                  <c:v>112.864</c:v>
                </c:pt>
                <c:pt idx="287">
                  <c:v>108.905</c:v>
                </c:pt>
                <c:pt idx="288">
                  <c:v>111.977</c:v>
                </c:pt>
                <c:pt idx="289">
                  <c:v>115.19799999999999</c:v>
                </c:pt>
                <c:pt idx="290">
                  <c:v>102.041</c:v>
                </c:pt>
                <c:pt idx="291">
                  <c:v>98.98</c:v>
                </c:pt>
                <c:pt idx="292">
                  <c:v>96.820999999999998</c:v>
                </c:pt>
                <c:pt idx="293">
                  <c:v>99.968000000000004</c:v>
                </c:pt>
                <c:pt idx="294">
                  <c:v>98.498000000000005</c:v>
                </c:pt>
                <c:pt idx="295">
                  <c:v>103.836</c:v>
                </c:pt>
                <c:pt idx="296">
                  <c:v>101.98</c:v>
                </c:pt>
                <c:pt idx="297">
                  <c:v>107.187</c:v>
                </c:pt>
                <c:pt idx="298">
                  <c:v>110.587</c:v>
                </c:pt>
                <c:pt idx="299">
                  <c:v>123.946</c:v>
                </c:pt>
                <c:pt idx="300">
                  <c:v>128.16300000000001</c:v>
                </c:pt>
                <c:pt idx="301">
                  <c:v>135.36199999999999</c:v>
                </c:pt>
                <c:pt idx="302">
                  <c:v>157.19399999999999</c:v>
                </c:pt>
                <c:pt idx="303">
                  <c:v>190.83199999999999</c:v>
                </c:pt>
                <c:pt idx="304">
                  <c:v>190.66300000000001</c:v>
                </c:pt>
                <c:pt idx="305">
                  <c:v>182.43700000000001</c:v>
                </c:pt>
                <c:pt idx="306">
                  <c:v>178.64599999999999</c:v>
                </c:pt>
                <c:pt idx="307">
                  <c:v>173.28200000000001</c:v>
                </c:pt>
                <c:pt idx="308">
                  <c:v>179.768</c:v>
                </c:pt>
                <c:pt idx="309">
                  <c:v>312.19099999999997</c:v>
                </c:pt>
                <c:pt idx="310">
                  <c:v>291.464</c:v>
                </c:pt>
                <c:pt idx="311">
                  <c:v>312.274</c:v>
                </c:pt>
                <c:pt idx="312">
                  <c:v>448.16800000000001</c:v>
                </c:pt>
                <c:pt idx="313">
                  <c:v>431.75599999999997</c:v>
                </c:pt>
                <c:pt idx="314">
                  <c:v>509.392</c:v>
                </c:pt>
                <c:pt idx="315">
                  <c:v>475.64699999999999</c:v>
                </c:pt>
                <c:pt idx="316">
                  <c:v>641.36300000000006</c:v>
                </c:pt>
                <c:pt idx="317">
                  <c:v>681.50599999999997</c:v>
                </c:pt>
                <c:pt idx="318">
                  <c:v>670.39099999999996</c:v>
                </c:pt>
                <c:pt idx="319">
                  <c:v>738.88099999999997</c:v>
                </c:pt>
                <c:pt idx="320">
                  <c:v>690.58</c:v>
                </c:pt>
                <c:pt idx="321">
                  <c:v>608.53099999999995</c:v>
                </c:pt>
                <c:pt idx="322">
                  <c:v>538.947</c:v>
                </c:pt>
                <c:pt idx="323">
                  <c:v>485.33199999999999</c:v>
                </c:pt>
                <c:pt idx="324">
                  <c:v>511.649</c:v>
                </c:pt>
                <c:pt idx="325">
                  <c:v>508.95299999999997</c:v>
                </c:pt>
                <c:pt idx="326">
                  <c:v>522.36699999999996</c:v>
                </c:pt>
                <c:pt idx="327">
                  <c:v>463.762</c:v>
                </c:pt>
                <c:pt idx="328">
                  <c:v>432.77300000000002</c:v>
                </c:pt>
                <c:pt idx="329">
                  <c:v>377.66199999999998</c:v>
                </c:pt>
                <c:pt idx="330">
                  <c:v>357.65</c:v>
                </c:pt>
                <c:pt idx="331">
                  <c:v>360.51499999999999</c:v>
                </c:pt>
                <c:pt idx="332">
                  <c:v>355.99299999999999</c:v>
                </c:pt>
                <c:pt idx="333">
                  <c:v>355.99299999999999</c:v>
                </c:pt>
                <c:pt idx="334">
                  <c:v>355.99299999999999</c:v>
                </c:pt>
                <c:pt idx="335">
                  <c:v>336.22300000000001</c:v>
                </c:pt>
                <c:pt idx="336">
                  <c:v>345.63499999999999</c:v>
                </c:pt>
                <c:pt idx="337">
                  <c:v>347.67899999999997</c:v>
                </c:pt>
                <c:pt idx="338">
                  <c:v>344.262</c:v>
                </c:pt>
                <c:pt idx="339">
                  <c:v>349.041</c:v>
                </c:pt>
                <c:pt idx="340">
                  <c:v>390.44</c:v>
                </c:pt>
                <c:pt idx="341">
                  <c:v>396.56299999999999</c:v>
                </c:pt>
                <c:pt idx="342">
                  <c:v>375.55599999999998</c:v>
                </c:pt>
                <c:pt idx="343">
                  <c:v>388.517</c:v>
                </c:pt>
                <c:pt idx="344">
                  <c:v>413.041</c:v>
                </c:pt>
                <c:pt idx="345">
                  <c:v>416.06799999999998</c:v>
                </c:pt>
                <c:pt idx="346">
                  <c:v>414.27199999999999</c:v>
                </c:pt>
                <c:pt idx="347">
                  <c:v>397.91500000000002</c:v>
                </c:pt>
                <c:pt idx="348">
                  <c:v>403.34699999999998</c:v>
                </c:pt>
                <c:pt idx="349">
                  <c:v>432.54500000000002</c:v>
                </c:pt>
                <c:pt idx="350">
                  <c:v>397.47800000000001</c:v>
                </c:pt>
                <c:pt idx="351">
                  <c:v>398.37299999999999</c:v>
                </c:pt>
                <c:pt idx="352">
                  <c:v>408.31200000000001</c:v>
                </c:pt>
                <c:pt idx="353">
                  <c:v>408.31200000000001</c:v>
                </c:pt>
                <c:pt idx="354">
                  <c:v>387.00799999999998</c:v>
                </c:pt>
                <c:pt idx="355">
                  <c:v>359.23899999999998</c:v>
                </c:pt>
                <c:pt idx="356">
                  <c:v>357.31299999999999</c:v>
                </c:pt>
                <c:pt idx="357">
                  <c:v>363.13600000000002</c:v>
                </c:pt>
                <c:pt idx="358">
                  <c:v>346.72500000000002</c:v>
                </c:pt>
                <c:pt idx="359">
                  <c:v>319.642</c:v>
                </c:pt>
                <c:pt idx="360">
                  <c:v>316.59800000000001</c:v>
                </c:pt>
                <c:pt idx="361">
                  <c:v>311.12799999999999</c:v>
                </c:pt>
                <c:pt idx="362">
                  <c:v>301.82100000000003</c:v>
                </c:pt>
                <c:pt idx="363">
                  <c:v>302.47899999999998</c:v>
                </c:pt>
                <c:pt idx="364">
                  <c:v>302.47899999999998</c:v>
                </c:pt>
                <c:pt idx="365">
                  <c:v>289.82799999999997</c:v>
                </c:pt>
                <c:pt idx="366">
                  <c:v>283.81700000000001</c:v>
                </c:pt>
                <c:pt idx="367">
                  <c:v>282.03800000000001</c:v>
                </c:pt>
                <c:pt idx="368">
                  <c:v>288.47699999999998</c:v>
                </c:pt>
                <c:pt idx="369">
                  <c:v>287.41699999999997</c:v>
                </c:pt>
                <c:pt idx="370">
                  <c:v>278.94499999999999</c:v>
                </c:pt>
                <c:pt idx="371">
                  <c:v>260.09199999999998</c:v>
                </c:pt>
                <c:pt idx="372">
                  <c:v>255.43299999999999</c:v>
                </c:pt>
                <c:pt idx="373">
                  <c:v>233.19200000000001</c:v>
                </c:pt>
                <c:pt idx="374">
                  <c:v>228.928</c:v>
                </c:pt>
                <c:pt idx="375">
                  <c:v>232.071</c:v>
                </c:pt>
                <c:pt idx="376">
                  <c:v>233.88800000000001</c:v>
                </c:pt>
                <c:pt idx="377">
                  <c:v>252.63300000000001</c:v>
                </c:pt>
                <c:pt idx="378">
                  <c:v>252.322</c:v>
                </c:pt>
                <c:pt idx="379">
                  <c:v>279.67599999999999</c:v>
                </c:pt>
                <c:pt idx="380">
                  <c:v>260.01600000000002</c:v>
                </c:pt>
                <c:pt idx="381">
                  <c:v>269.37299999999999</c:v>
                </c:pt>
                <c:pt idx="382">
                  <c:v>268.14999999999998</c:v>
                </c:pt>
                <c:pt idx="383">
                  <c:v>269.19600000000003</c:v>
                </c:pt>
                <c:pt idx="384">
                  <c:v>267.98899999999998</c:v>
                </c:pt>
                <c:pt idx="385">
                  <c:v>247.91800000000001</c:v>
                </c:pt>
                <c:pt idx="386">
                  <c:v>248.84899999999999</c:v>
                </c:pt>
                <c:pt idx="387">
                  <c:v>252.53</c:v>
                </c:pt>
                <c:pt idx="388">
                  <c:v>260.08499999999998</c:v>
                </c:pt>
                <c:pt idx="389">
                  <c:v>260.81</c:v>
                </c:pt>
                <c:pt idx="390">
                  <c:v>253.078</c:v>
                </c:pt>
                <c:pt idx="391">
                  <c:v>252.06</c:v>
                </c:pt>
                <c:pt idx="392">
                  <c:v>244.245</c:v>
                </c:pt>
                <c:pt idx="393">
                  <c:v>251.49</c:v>
                </c:pt>
                <c:pt idx="394">
                  <c:v>240.083</c:v>
                </c:pt>
                <c:pt idx="395">
                  <c:v>245.374</c:v>
                </c:pt>
                <c:pt idx="396">
                  <c:v>243.17</c:v>
                </c:pt>
                <c:pt idx="397">
                  <c:v>238.96700000000001</c:v>
                </c:pt>
                <c:pt idx="398">
                  <c:v>237.114</c:v>
                </c:pt>
                <c:pt idx="399">
                  <c:v>244.82900000000001</c:v>
                </c:pt>
                <c:pt idx="400">
                  <c:v>231.27199999999999</c:v>
                </c:pt>
                <c:pt idx="401">
                  <c:v>230.488</c:v>
                </c:pt>
                <c:pt idx="402">
                  <c:v>230.148</c:v>
                </c:pt>
                <c:pt idx="403">
                  <c:v>228.41</c:v>
                </c:pt>
                <c:pt idx="404">
                  <c:v>228.483</c:v>
                </c:pt>
                <c:pt idx="405">
                  <c:v>225.50700000000001</c:v>
                </c:pt>
                <c:pt idx="406">
                  <c:v>222.11199999999999</c:v>
                </c:pt>
                <c:pt idx="407">
                  <c:v>222.44800000000001</c:v>
                </c:pt>
                <c:pt idx="408">
                  <c:v>221.68299999999999</c:v>
                </c:pt>
                <c:pt idx="409">
                  <c:v>219.55600000000001</c:v>
                </c:pt>
                <c:pt idx="410">
                  <c:v>221.63499999999999</c:v>
                </c:pt>
                <c:pt idx="411">
                  <c:v>220.035</c:v>
                </c:pt>
                <c:pt idx="412">
                  <c:v>219.38200000000001</c:v>
                </c:pt>
                <c:pt idx="413">
                  <c:v>215.73599999999999</c:v>
                </c:pt>
                <c:pt idx="414">
                  <c:v>211.46700000000001</c:v>
                </c:pt>
                <c:pt idx="415">
                  <c:v>203.44499999999999</c:v>
                </c:pt>
                <c:pt idx="416">
                  <c:v>191.197</c:v>
                </c:pt>
                <c:pt idx="417">
                  <c:v>189.79</c:v>
                </c:pt>
                <c:pt idx="418">
                  <c:v>183.226</c:v>
                </c:pt>
                <c:pt idx="419">
                  <c:v>173.03899999999999</c:v>
                </c:pt>
                <c:pt idx="420">
                  <c:v>168.363</c:v>
                </c:pt>
                <c:pt idx="421">
                  <c:v>169.44200000000001</c:v>
                </c:pt>
                <c:pt idx="422">
                  <c:v>164.637</c:v>
                </c:pt>
                <c:pt idx="423">
                  <c:v>166.227</c:v>
                </c:pt>
                <c:pt idx="424">
                  <c:v>168.93600000000001</c:v>
                </c:pt>
                <c:pt idx="425">
                  <c:v>166.429</c:v>
                </c:pt>
                <c:pt idx="426">
                  <c:v>176.602</c:v>
                </c:pt>
                <c:pt idx="427">
                  <c:v>180.23099999999999</c:v>
                </c:pt>
                <c:pt idx="428">
                  <c:v>177.42400000000001</c:v>
                </c:pt>
                <c:pt idx="429">
                  <c:v>176.63800000000001</c:v>
                </c:pt>
                <c:pt idx="430">
                  <c:v>174.20400000000001</c:v>
                </c:pt>
                <c:pt idx="431">
                  <c:v>180.565</c:v>
                </c:pt>
                <c:pt idx="432">
                  <c:v>179.458</c:v>
                </c:pt>
                <c:pt idx="433">
                  <c:v>186.77199999999999</c:v>
                </c:pt>
                <c:pt idx="434">
                  <c:v>186.77199999999999</c:v>
                </c:pt>
                <c:pt idx="435">
                  <c:v>180.66399999999999</c:v>
                </c:pt>
                <c:pt idx="436">
                  <c:v>177.68700000000001</c:v>
                </c:pt>
                <c:pt idx="437">
                  <c:v>176.917</c:v>
                </c:pt>
                <c:pt idx="438">
                  <c:v>175.684</c:v>
                </c:pt>
                <c:pt idx="439">
                  <c:v>177.86</c:v>
                </c:pt>
                <c:pt idx="440">
                  <c:v>185.43899999999999</c:v>
                </c:pt>
                <c:pt idx="441">
                  <c:v>188.803</c:v>
                </c:pt>
                <c:pt idx="442">
                  <c:v>187.42099999999999</c:v>
                </c:pt>
                <c:pt idx="443">
                  <c:v>192.78</c:v>
                </c:pt>
                <c:pt idx="444">
                  <c:v>193.65</c:v>
                </c:pt>
                <c:pt idx="445">
                  <c:v>191.68600000000001</c:v>
                </c:pt>
                <c:pt idx="446">
                  <c:v>190.42099999999999</c:v>
                </c:pt>
                <c:pt idx="447">
                  <c:v>195.173</c:v>
                </c:pt>
                <c:pt idx="448">
                  <c:v>193.82400000000001</c:v>
                </c:pt>
                <c:pt idx="449">
                  <c:v>210.732</c:v>
                </c:pt>
                <c:pt idx="450">
                  <c:v>219.19200000000001</c:v>
                </c:pt>
                <c:pt idx="451">
                  <c:v>235.38399999999999</c:v>
                </c:pt>
                <c:pt idx="452">
                  <c:v>250.07400000000001</c:v>
                </c:pt>
                <c:pt idx="453">
                  <c:v>257.452</c:v>
                </c:pt>
                <c:pt idx="454">
                  <c:v>280.98099999999999</c:v>
                </c:pt>
                <c:pt idx="455">
                  <c:v>302.17899999999997</c:v>
                </c:pt>
                <c:pt idx="456">
                  <c:v>285.65199999999999</c:v>
                </c:pt>
                <c:pt idx="457">
                  <c:v>273.90899999999999</c:v>
                </c:pt>
                <c:pt idx="458">
                  <c:v>270.68700000000001</c:v>
                </c:pt>
                <c:pt idx="459">
                  <c:v>268.52499999999998</c:v>
                </c:pt>
                <c:pt idx="460">
                  <c:v>263.13499999999999</c:v>
                </c:pt>
                <c:pt idx="461">
                  <c:v>256.70499999999998</c:v>
                </c:pt>
                <c:pt idx="462">
                  <c:v>246.364</c:v>
                </c:pt>
                <c:pt idx="463">
                  <c:v>224.87899999999999</c:v>
                </c:pt>
                <c:pt idx="464">
                  <c:v>227.345</c:v>
                </c:pt>
                <c:pt idx="465">
                  <c:v>225.20400000000001</c:v>
                </c:pt>
                <c:pt idx="466">
                  <c:v>230.363</c:v>
                </c:pt>
                <c:pt idx="467">
                  <c:v>245.149</c:v>
                </c:pt>
                <c:pt idx="468">
                  <c:v>242.386</c:v>
                </c:pt>
                <c:pt idx="469">
                  <c:v>247.82</c:v>
                </c:pt>
                <c:pt idx="470">
                  <c:v>245.37700000000001</c:v>
                </c:pt>
                <c:pt idx="471">
                  <c:v>245.12700000000001</c:v>
                </c:pt>
                <c:pt idx="472">
                  <c:v>263.75700000000001</c:v>
                </c:pt>
                <c:pt idx="473">
                  <c:v>266.07499999999999</c:v>
                </c:pt>
                <c:pt idx="474">
                  <c:v>267.75799999999998</c:v>
                </c:pt>
                <c:pt idx="475">
                  <c:v>271.61799999999999</c:v>
                </c:pt>
                <c:pt idx="476">
                  <c:v>274.31700000000001</c:v>
                </c:pt>
                <c:pt idx="477">
                  <c:v>262.85300000000001</c:v>
                </c:pt>
                <c:pt idx="478">
                  <c:v>252.34899999999999</c:v>
                </c:pt>
                <c:pt idx="479">
                  <c:v>262.459</c:v>
                </c:pt>
                <c:pt idx="480">
                  <c:v>245.71700000000001</c:v>
                </c:pt>
                <c:pt idx="481">
                  <c:v>236.083</c:v>
                </c:pt>
                <c:pt idx="482">
                  <c:v>236.87299999999999</c:v>
                </c:pt>
                <c:pt idx="483">
                  <c:v>214.755</c:v>
                </c:pt>
                <c:pt idx="484">
                  <c:v>203.542</c:v>
                </c:pt>
                <c:pt idx="485">
                  <c:v>185.86199999999999</c:v>
                </c:pt>
                <c:pt idx="486">
                  <c:v>175.38399999999999</c:v>
                </c:pt>
                <c:pt idx="487">
                  <c:v>167.81100000000001</c:v>
                </c:pt>
                <c:pt idx="488">
                  <c:v>169.06</c:v>
                </c:pt>
                <c:pt idx="489">
                  <c:v>168.60499999999999</c:v>
                </c:pt>
                <c:pt idx="490">
                  <c:v>171.10599999999999</c:v>
                </c:pt>
                <c:pt idx="491">
                  <c:v>171.77500000000001</c:v>
                </c:pt>
                <c:pt idx="492">
                  <c:v>170.482</c:v>
                </c:pt>
                <c:pt idx="493">
                  <c:v>172.548</c:v>
                </c:pt>
                <c:pt idx="494">
                  <c:v>164.036</c:v>
                </c:pt>
                <c:pt idx="495">
                  <c:v>163.00299999999999</c:v>
                </c:pt>
                <c:pt idx="496">
                  <c:v>161.98099999999999</c:v>
                </c:pt>
                <c:pt idx="497">
                  <c:v>162.102</c:v>
                </c:pt>
                <c:pt idx="498">
                  <c:v>162.423</c:v>
                </c:pt>
                <c:pt idx="499">
                  <c:v>156.41399999999999</c:v>
                </c:pt>
                <c:pt idx="500">
                  <c:v>148.38999999999999</c:v>
                </c:pt>
                <c:pt idx="501">
                  <c:v>145.29</c:v>
                </c:pt>
                <c:pt idx="502">
                  <c:v>132.452</c:v>
                </c:pt>
                <c:pt idx="503">
                  <c:v>139.51499999999999</c:v>
                </c:pt>
                <c:pt idx="504">
                  <c:v>144.74600000000001</c:v>
                </c:pt>
                <c:pt idx="505">
                  <c:v>145.523</c:v>
                </c:pt>
                <c:pt idx="506">
                  <c:v>146.15199999999999</c:v>
                </c:pt>
                <c:pt idx="507">
                  <c:v>146.608</c:v>
                </c:pt>
                <c:pt idx="508">
                  <c:v>154.642</c:v>
                </c:pt>
                <c:pt idx="509">
                  <c:v>144.08699999999999</c:v>
                </c:pt>
                <c:pt idx="510">
                  <c:v>159.79499999999999</c:v>
                </c:pt>
                <c:pt idx="511">
                  <c:v>151.44</c:v>
                </c:pt>
                <c:pt idx="512">
                  <c:v>140.31899999999999</c:v>
                </c:pt>
                <c:pt idx="513">
                  <c:v>141.17400000000001</c:v>
                </c:pt>
                <c:pt idx="514">
                  <c:v>135.97499999999999</c:v>
                </c:pt>
                <c:pt idx="515">
                  <c:v>141.39699999999999</c:v>
                </c:pt>
                <c:pt idx="516">
                  <c:v>138.36500000000001</c:v>
                </c:pt>
                <c:pt idx="517">
                  <c:v>145.16</c:v>
                </c:pt>
                <c:pt idx="518">
                  <c:v>145.16</c:v>
                </c:pt>
                <c:pt idx="519">
                  <c:v>145.16</c:v>
                </c:pt>
                <c:pt idx="520">
                  <c:v>137.03700000000001</c:v>
                </c:pt>
                <c:pt idx="521">
                  <c:v>132.27500000000001</c:v>
                </c:pt>
                <c:pt idx="522">
                  <c:v>137.71299999999999</c:v>
                </c:pt>
                <c:pt idx="523">
                  <c:v>137.71299999999999</c:v>
                </c:pt>
                <c:pt idx="524">
                  <c:v>137.244</c:v>
                </c:pt>
                <c:pt idx="525">
                  <c:v>138.65</c:v>
                </c:pt>
                <c:pt idx="526">
                  <c:v>138.71899999999999</c:v>
                </c:pt>
                <c:pt idx="527">
                  <c:v>143.08500000000001</c:v>
                </c:pt>
                <c:pt idx="528">
                  <c:v>134.30799999999999</c:v>
                </c:pt>
                <c:pt idx="529">
                  <c:v>139.51400000000001</c:v>
                </c:pt>
                <c:pt idx="530">
                  <c:v>144.833</c:v>
                </c:pt>
                <c:pt idx="531">
                  <c:v>140.16</c:v>
                </c:pt>
                <c:pt idx="532">
                  <c:v>127.758</c:v>
                </c:pt>
                <c:pt idx="533">
                  <c:v>137.328</c:v>
                </c:pt>
                <c:pt idx="534">
                  <c:v>141.36799999999999</c:v>
                </c:pt>
                <c:pt idx="535">
                  <c:v>140.321</c:v>
                </c:pt>
                <c:pt idx="536">
                  <c:v>140.90299999999999</c:v>
                </c:pt>
                <c:pt idx="537">
                  <c:v>142.119</c:v>
                </c:pt>
                <c:pt idx="538">
                  <c:v>146.18100000000001</c:v>
                </c:pt>
                <c:pt idx="539">
                  <c:v>149.66800000000001</c:v>
                </c:pt>
                <c:pt idx="540">
                  <c:v>147.53200000000001</c:v>
                </c:pt>
                <c:pt idx="541">
                  <c:v>133.90199999999999</c:v>
                </c:pt>
                <c:pt idx="542">
                  <c:v>134.87200000000001</c:v>
                </c:pt>
                <c:pt idx="543">
                  <c:v>132.922</c:v>
                </c:pt>
                <c:pt idx="544">
                  <c:v>125.46899999999999</c:v>
                </c:pt>
                <c:pt idx="545">
                  <c:v>118.133</c:v>
                </c:pt>
                <c:pt idx="546">
                  <c:v>119.20699999999999</c:v>
                </c:pt>
                <c:pt idx="547">
                  <c:v>115.10299999999999</c:v>
                </c:pt>
                <c:pt idx="548">
                  <c:v>116.705</c:v>
                </c:pt>
                <c:pt idx="549">
                  <c:v>115.658</c:v>
                </c:pt>
                <c:pt idx="550">
                  <c:v>115.759</c:v>
                </c:pt>
                <c:pt idx="551">
                  <c:v>119.33199999999999</c:v>
                </c:pt>
                <c:pt idx="552">
                  <c:v>117.301</c:v>
                </c:pt>
                <c:pt idx="553">
                  <c:v>122.282</c:v>
                </c:pt>
                <c:pt idx="554">
                  <c:v>132.96</c:v>
                </c:pt>
                <c:pt idx="555">
                  <c:v>139.297</c:v>
                </c:pt>
                <c:pt idx="556">
                  <c:v>145.02500000000001</c:v>
                </c:pt>
                <c:pt idx="557">
                  <c:v>134.482</c:v>
                </c:pt>
                <c:pt idx="558">
                  <c:v>127.386</c:v>
                </c:pt>
                <c:pt idx="559">
                  <c:v>132.982</c:v>
                </c:pt>
                <c:pt idx="560">
                  <c:v>134.834</c:v>
                </c:pt>
                <c:pt idx="561">
                  <c:v>127.81</c:v>
                </c:pt>
                <c:pt idx="562">
                  <c:v>128.792</c:v>
                </c:pt>
                <c:pt idx="563">
                  <c:v>138.92599999999999</c:v>
                </c:pt>
                <c:pt idx="564">
                  <c:v>126.735</c:v>
                </c:pt>
                <c:pt idx="565">
                  <c:v>114.627</c:v>
                </c:pt>
                <c:pt idx="566">
                  <c:v>116.22499999999999</c:v>
                </c:pt>
                <c:pt idx="567">
                  <c:v>114.768</c:v>
                </c:pt>
                <c:pt idx="568">
                  <c:v>110.358</c:v>
                </c:pt>
                <c:pt idx="569">
                  <c:v>136.999</c:v>
                </c:pt>
                <c:pt idx="570">
                  <c:v>116.221</c:v>
                </c:pt>
                <c:pt idx="571">
                  <c:v>117.53700000000001</c:v>
                </c:pt>
                <c:pt idx="572">
                  <c:v>116.51</c:v>
                </c:pt>
                <c:pt idx="573">
                  <c:v>124.70399999999999</c:v>
                </c:pt>
                <c:pt idx="574">
                  <c:v>119.206</c:v>
                </c:pt>
                <c:pt idx="575">
                  <c:v>112.697</c:v>
                </c:pt>
                <c:pt idx="576">
                  <c:v>122.935</c:v>
                </c:pt>
                <c:pt idx="577">
                  <c:v>128.80199999999999</c:v>
                </c:pt>
                <c:pt idx="578">
                  <c:v>127.845</c:v>
                </c:pt>
                <c:pt idx="579">
                  <c:v>120.279</c:v>
                </c:pt>
                <c:pt idx="580">
                  <c:v>126.91</c:v>
                </c:pt>
                <c:pt idx="581">
                  <c:v>128.80699999999999</c:v>
                </c:pt>
                <c:pt idx="582">
                  <c:v>128.21</c:v>
                </c:pt>
                <c:pt idx="583">
                  <c:v>133.22999999999999</c:v>
                </c:pt>
                <c:pt idx="584">
                  <c:v>127.89400000000001</c:v>
                </c:pt>
                <c:pt idx="585">
                  <c:v>141.55199999999999</c:v>
                </c:pt>
                <c:pt idx="586">
                  <c:v>127.47499999999999</c:v>
                </c:pt>
                <c:pt idx="587">
                  <c:v>125.733</c:v>
                </c:pt>
                <c:pt idx="588">
                  <c:v>125.733</c:v>
                </c:pt>
                <c:pt idx="589">
                  <c:v>125.733</c:v>
                </c:pt>
                <c:pt idx="590">
                  <c:v>126.601</c:v>
                </c:pt>
                <c:pt idx="591">
                  <c:v>125.254</c:v>
                </c:pt>
                <c:pt idx="592">
                  <c:v>125.78100000000001</c:v>
                </c:pt>
                <c:pt idx="593">
                  <c:v>124.497</c:v>
                </c:pt>
                <c:pt idx="594">
                  <c:v>127.877</c:v>
                </c:pt>
                <c:pt idx="595">
                  <c:v>127.89400000000001</c:v>
                </c:pt>
                <c:pt idx="596">
                  <c:v>127.114</c:v>
                </c:pt>
                <c:pt idx="597">
                  <c:v>116.69799999999999</c:v>
                </c:pt>
                <c:pt idx="598">
                  <c:v>105.111</c:v>
                </c:pt>
                <c:pt idx="599">
                  <c:v>109.845</c:v>
                </c:pt>
                <c:pt idx="600">
                  <c:v>109.58499999999999</c:v>
                </c:pt>
                <c:pt idx="601">
                  <c:v>117.226</c:v>
                </c:pt>
                <c:pt idx="602">
                  <c:v>106</c:v>
                </c:pt>
                <c:pt idx="603">
                  <c:v>104.658</c:v>
                </c:pt>
                <c:pt idx="604">
                  <c:v>104.88500000000001</c:v>
                </c:pt>
                <c:pt idx="605">
                  <c:v>107.289</c:v>
                </c:pt>
                <c:pt idx="606">
                  <c:v>109.837</c:v>
                </c:pt>
                <c:pt idx="607">
                  <c:v>110.369</c:v>
                </c:pt>
                <c:pt idx="608">
                  <c:v>115.244</c:v>
                </c:pt>
                <c:pt idx="609">
                  <c:v>115.244</c:v>
                </c:pt>
                <c:pt idx="610">
                  <c:v>114.63500000000001</c:v>
                </c:pt>
                <c:pt idx="611">
                  <c:v>113.994</c:v>
                </c:pt>
                <c:pt idx="612">
                  <c:v>109.48099999999999</c:v>
                </c:pt>
                <c:pt idx="613">
                  <c:v>108.283</c:v>
                </c:pt>
                <c:pt idx="614">
                  <c:v>105.95</c:v>
                </c:pt>
                <c:pt idx="615">
                  <c:v>105.41500000000001</c:v>
                </c:pt>
                <c:pt idx="616">
                  <c:v>112.524</c:v>
                </c:pt>
                <c:pt idx="617">
                  <c:v>125.574</c:v>
                </c:pt>
                <c:pt idx="618">
                  <c:v>121.01600000000001</c:v>
                </c:pt>
                <c:pt idx="619">
                  <c:v>123.496</c:v>
                </c:pt>
                <c:pt idx="620">
                  <c:v>128.09200000000001</c:v>
                </c:pt>
                <c:pt idx="621">
                  <c:v>132.93700000000001</c:v>
                </c:pt>
                <c:pt idx="622">
                  <c:v>120.28400000000001</c:v>
                </c:pt>
                <c:pt idx="623">
                  <c:v>123.518</c:v>
                </c:pt>
                <c:pt idx="624">
                  <c:v>121.979</c:v>
                </c:pt>
                <c:pt idx="625">
                  <c:v>119.627</c:v>
                </c:pt>
                <c:pt idx="626">
                  <c:v>122.366</c:v>
                </c:pt>
                <c:pt idx="627">
                  <c:v>119.857</c:v>
                </c:pt>
                <c:pt idx="628">
                  <c:v>110.788</c:v>
                </c:pt>
                <c:pt idx="629">
                  <c:v>110.788</c:v>
                </c:pt>
                <c:pt idx="630">
                  <c:v>119.36199999999999</c:v>
                </c:pt>
                <c:pt idx="631">
                  <c:v>116.48</c:v>
                </c:pt>
                <c:pt idx="632">
                  <c:v>113.13200000000001</c:v>
                </c:pt>
                <c:pt idx="633">
                  <c:v>123.125</c:v>
                </c:pt>
                <c:pt idx="634">
                  <c:v>111.73699999999999</c:v>
                </c:pt>
                <c:pt idx="635">
                  <c:v>108.254</c:v>
                </c:pt>
                <c:pt idx="636">
                  <c:v>104.21</c:v>
                </c:pt>
                <c:pt idx="637">
                  <c:v>103.096</c:v>
                </c:pt>
                <c:pt idx="638">
                  <c:v>94.573999999999998</c:v>
                </c:pt>
                <c:pt idx="639">
                  <c:v>101.443</c:v>
                </c:pt>
                <c:pt idx="640">
                  <c:v>95.628</c:v>
                </c:pt>
                <c:pt idx="641">
                  <c:v>87.927000000000007</c:v>
                </c:pt>
                <c:pt idx="642">
                  <c:v>104.517</c:v>
                </c:pt>
                <c:pt idx="643">
                  <c:v>96.406999999999996</c:v>
                </c:pt>
                <c:pt idx="644">
                  <c:v>107.14400000000001</c:v>
                </c:pt>
                <c:pt idx="645">
                  <c:v>103.426</c:v>
                </c:pt>
                <c:pt idx="646">
                  <c:v>97.001999999999995</c:v>
                </c:pt>
                <c:pt idx="647">
                  <c:v>97.126999999999995</c:v>
                </c:pt>
                <c:pt idx="648">
                  <c:v>98.100999999999999</c:v>
                </c:pt>
                <c:pt idx="649">
                  <c:v>102.70099999999999</c:v>
                </c:pt>
                <c:pt idx="650">
                  <c:v>98.375</c:v>
                </c:pt>
                <c:pt idx="651">
                  <c:v>103.57599999999999</c:v>
                </c:pt>
                <c:pt idx="652">
                  <c:v>102.413</c:v>
                </c:pt>
                <c:pt idx="653">
                  <c:v>103.30800000000001</c:v>
                </c:pt>
                <c:pt idx="654">
                  <c:v>106.047</c:v>
                </c:pt>
                <c:pt idx="655">
                  <c:v>106.13800000000001</c:v>
                </c:pt>
                <c:pt idx="656">
                  <c:v>106.72199999999999</c:v>
                </c:pt>
                <c:pt idx="657">
                  <c:v>104.535</c:v>
                </c:pt>
                <c:pt idx="658">
                  <c:v>106.307</c:v>
                </c:pt>
                <c:pt idx="659">
                  <c:v>107.06699999999999</c:v>
                </c:pt>
                <c:pt idx="660">
                  <c:v>103.827</c:v>
                </c:pt>
                <c:pt idx="661">
                  <c:v>106.545</c:v>
                </c:pt>
                <c:pt idx="662">
                  <c:v>108.19499999999999</c:v>
                </c:pt>
                <c:pt idx="663">
                  <c:v>106.73699999999999</c:v>
                </c:pt>
                <c:pt idx="664">
                  <c:v>105.895</c:v>
                </c:pt>
                <c:pt idx="665">
                  <c:v>107.82</c:v>
                </c:pt>
                <c:pt idx="666">
                  <c:v>108.00700000000001</c:v>
                </c:pt>
                <c:pt idx="667">
                  <c:v>110.669</c:v>
                </c:pt>
                <c:pt idx="668">
                  <c:v>110.973</c:v>
                </c:pt>
                <c:pt idx="669">
                  <c:v>108.078</c:v>
                </c:pt>
                <c:pt idx="670">
                  <c:v>113.526</c:v>
                </c:pt>
                <c:pt idx="671">
                  <c:v>113.361</c:v>
                </c:pt>
                <c:pt idx="672">
                  <c:v>104.974</c:v>
                </c:pt>
                <c:pt idx="673">
                  <c:v>110.485</c:v>
                </c:pt>
                <c:pt idx="674">
                  <c:v>103.812</c:v>
                </c:pt>
                <c:pt idx="675">
                  <c:v>100.69499999999999</c:v>
                </c:pt>
                <c:pt idx="676">
                  <c:v>97.864999999999995</c:v>
                </c:pt>
                <c:pt idx="677">
                  <c:v>96.097999999999999</c:v>
                </c:pt>
                <c:pt idx="678">
                  <c:v>99.558000000000007</c:v>
                </c:pt>
                <c:pt idx="679">
                  <c:v>88.094999999999999</c:v>
                </c:pt>
                <c:pt idx="680">
                  <c:v>90.435000000000002</c:v>
                </c:pt>
                <c:pt idx="681">
                  <c:v>96.194000000000003</c:v>
                </c:pt>
                <c:pt idx="682">
                  <c:v>94.152000000000001</c:v>
                </c:pt>
                <c:pt idx="683">
                  <c:v>91.313999999999993</c:v>
                </c:pt>
                <c:pt idx="684">
                  <c:v>93.370999999999995</c:v>
                </c:pt>
                <c:pt idx="685">
                  <c:v>88.581000000000003</c:v>
                </c:pt>
                <c:pt idx="686">
                  <c:v>88.147000000000006</c:v>
                </c:pt>
                <c:pt idx="687">
                  <c:v>94.05</c:v>
                </c:pt>
                <c:pt idx="688">
                  <c:v>85.674000000000007</c:v>
                </c:pt>
                <c:pt idx="689">
                  <c:v>93.935000000000002</c:v>
                </c:pt>
                <c:pt idx="690">
                  <c:v>93.081999999999994</c:v>
                </c:pt>
                <c:pt idx="691">
                  <c:v>92.344999999999999</c:v>
                </c:pt>
                <c:pt idx="692">
                  <c:v>90.938000000000002</c:v>
                </c:pt>
                <c:pt idx="693">
                  <c:v>93.79</c:v>
                </c:pt>
                <c:pt idx="694">
                  <c:v>93.79</c:v>
                </c:pt>
                <c:pt idx="695">
                  <c:v>93.228999999999999</c:v>
                </c:pt>
                <c:pt idx="696">
                  <c:v>93.13</c:v>
                </c:pt>
                <c:pt idx="697">
                  <c:v>88.885999999999996</c:v>
                </c:pt>
                <c:pt idx="698">
                  <c:v>83.893000000000001</c:v>
                </c:pt>
                <c:pt idx="699">
                  <c:v>89.043000000000006</c:v>
                </c:pt>
                <c:pt idx="700">
                  <c:v>88.983999999999995</c:v>
                </c:pt>
                <c:pt idx="701">
                  <c:v>88.613</c:v>
                </c:pt>
                <c:pt idx="702">
                  <c:v>88.57</c:v>
                </c:pt>
                <c:pt idx="703">
                  <c:v>79.608000000000004</c:v>
                </c:pt>
                <c:pt idx="704">
                  <c:v>82.772000000000006</c:v>
                </c:pt>
                <c:pt idx="705">
                  <c:v>78.085999999999999</c:v>
                </c:pt>
              </c:numCache>
            </c:numRef>
          </c:val>
          <c:smooth val="0"/>
          <c:extLst>
            <c:ext xmlns:c16="http://schemas.microsoft.com/office/drawing/2014/chart" uri="{C3380CC4-5D6E-409C-BE32-E72D297353CC}">
              <c16:uniqueId val="{00000004-7C05-4062-8901-959CCCC822C5}"/>
            </c:ext>
          </c:extLst>
        </c:ser>
        <c:ser>
          <c:idx val="5"/>
          <c:order val="5"/>
          <c:tx>
            <c:strRef>
              <c:f>Sheet1!$G$1</c:f>
              <c:strCache>
                <c:ptCount val="1"/>
                <c:pt idx="0">
                  <c:v>Բելառուս (2023թ.)</c:v>
                </c:pt>
              </c:strCache>
            </c:strRef>
          </c:tx>
          <c:spPr>
            <a:ln w="28575" cap="rnd">
              <a:solidFill>
                <a:schemeClr val="accent3">
                  <a:lumMod val="50000"/>
                </a:schemeClr>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Sheet1!$G$2:$G$707</c:f>
              <c:numCache>
                <c:formatCode>_(* #,##0_);_(* \(#,##0\);_(* "-"??_);_(@_)</c:formatCode>
                <c:ptCount val="706"/>
                <c:pt idx="0">
                  <c:v>370.46300000000002</c:v>
                </c:pt>
                <c:pt idx="1">
                  <c:v>369.64699999999999</c:v>
                </c:pt>
                <c:pt idx="2">
                  <c:v>381.21199999999999</c:v>
                </c:pt>
                <c:pt idx="3">
                  <c:v>368.18700000000001</c:v>
                </c:pt>
                <c:pt idx="4">
                  <c:v>360.75400000000002</c:v>
                </c:pt>
                <c:pt idx="5">
                  <c:v>365.59300000000002</c:v>
                </c:pt>
                <c:pt idx="6">
                  <c:v>364.14400000000001</c:v>
                </c:pt>
                <c:pt idx="7">
                  <c:v>362.86099999999999</c:v>
                </c:pt>
                <c:pt idx="8">
                  <c:v>366.005</c:v>
                </c:pt>
                <c:pt idx="9">
                  <c:v>373.10899999999998</c:v>
                </c:pt>
                <c:pt idx="10">
                  <c:v>360.85500000000002</c:v>
                </c:pt>
                <c:pt idx="11">
                  <c:v>340.11</c:v>
                </c:pt>
                <c:pt idx="12">
                  <c:v>331.31400000000002</c:v>
                </c:pt>
                <c:pt idx="13">
                  <c:v>295.685</c:v>
                </c:pt>
                <c:pt idx="14">
                  <c:v>289.416</c:v>
                </c:pt>
                <c:pt idx="15">
                  <c:v>303.08</c:v>
                </c:pt>
                <c:pt idx="16">
                  <c:v>302.185</c:v>
                </c:pt>
                <c:pt idx="17">
                  <c:v>301.988</c:v>
                </c:pt>
                <c:pt idx="18">
                  <c:v>304.12599999999998</c:v>
                </c:pt>
                <c:pt idx="19">
                  <c:v>314.03800000000001</c:v>
                </c:pt>
                <c:pt idx="20">
                  <c:v>330.81599999999997</c:v>
                </c:pt>
                <c:pt idx="21">
                  <c:v>333.78199999999998</c:v>
                </c:pt>
                <c:pt idx="22">
                  <c:v>339.351</c:v>
                </c:pt>
                <c:pt idx="23">
                  <c:v>330.45499999999998</c:v>
                </c:pt>
                <c:pt idx="24">
                  <c:v>333.83499999999998</c:v>
                </c:pt>
                <c:pt idx="25">
                  <c:v>332.05500000000001</c:v>
                </c:pt>
                <c:pt idx="26">
                  <c:v>339.43200000000002</c:v>
                </c:pt>
                <c:pt idx="27">
                  <c:v>352.55799999999999</c:v>
                </c:pt>
                <c:pt idx="28">
                  <c:v>355.52199999999999</c:v>
                </c:pt>
                <c:pt idx="29">
                  <c:v>356.07600000000002</c:v>
                </c:pt>
                <c:pt idx="30">
                  <c:v>353.673</c:v>
                </c:pt>
                <c:pt idx="31">
                  <c:v>328.88200000000001</c:v>
                </c:pt>
                <c:pt idx="32">
                  <c:v>327.29500000000002</c:v>
                </c:pt>
                <c:pt idx="33">
                  <c:v>325.19799999999998</c:v>
                </c:pt>
                <c:pt idx="34">
                  <c:v>323.53300000000002</c:v>
                </c:pt>
                <c:pt idx="35">
                  <c:v>335.14400000000001</c:v>
                </c:pt>
                <c:pt idx="36">
                  <c:v>333.67700000000002</c:v>
                </c:pt>
                <c:pt idx="37">
                  <c:v>330.673</c:v>
                </c:pt>
                <c:pt idx="38">
                  <c:v>334.32100000000003</c:v>
                </c:pt>
                <c:pt idx="39">
                  <c:v>314.41199999999998</c:v>
                </c:pt>
                <c:pt idx="40">
                  <c:v>320.17899999999997</c:v>
                </c:pt>
                <c:pt idx="41">
                  <c:v>313.39</c:v>
                </c:pt>
                <c:pt idx="42">
                  <c:v>302.322</c:v>
                </c:pt>
                <c:pt idx="43">
                  <c:v>301.745</c:v>
                </c:pt>
                <c:pt idx="44">
                  <c:v>304.089</c:v>
                </c:pt>
                <c:pt idx="45">
                  <c:v>311.59199999999998</c:v>
                </c:pt>
                <c:pt idx="46">
                  <c:v>316.14600000000002</c:v>
                </c:pt>
                <c:pt idx="47">
                  <c:v>319.339</c:v>
                </c:pt>
                <c:pt idx="48">
                  <c:v>322.96499999999997</c:v>
                </c:pt>
                <c:pt idx="49">
                  <c:v>322.017</c:v>
                </c:pt>
                <c:pt idx="50">
                  <c:v>320.86599999999999</c:v>
                </c:pt>
                <c:pt idx="51">
                  <c:v>309.19099999999997</c:v>
                </c:pt>
                <c:pt idx="52">
                  <c:v>304.04300000000001</c:v>
                </c:pt>
                <c:pt idx="53">
                  <c:v>307.952</c:v>
                </c:pt>
                <c:pt idx="54">
                  <c:v>301.99299999999999</c:v>
                </c:pt>
                <c:pt idx="55">
                  <c:v>302.17399999999998</c:v>
                </c:pt>
                <c:pt idx="56">
                  <c:v>309.97500000000002</c:v>
                </c:pt>
                <c:pt idx="57">
                  <c:v>291.15899999999999</c:v>
                </c:pt>
                <c:pt idx="58">
                  <c:v>306.762</c:v>
                </c:pt>
                <c:pt idx="59">
                  <c:v>321.096</c:v>
                </c:pt>
                <c:pt idx="60">
                  <c:v>315.70400000000001</c:v>
                </c:pt>
                <c:pt idx="61">
                  <c:v>318.274</c:v>
                </c:pt>
                <c:pt idx="62">
                  <c:v>319.83100000000002</c:v>
                </c:pt>
                <c:pt idx="63">
                  <c:v>310.17099999999999</c:v>
                </c:pt>
                <c:pt idx="64">
                  <c:v>302.82400000000001</c:v>
                </c:pt>
                <c:pt idx="65">
                  <c:v>293.91199999999998</c:v>
                </c:pt>
                <c:pt idx="66">
                  <c:v>290.779</c:v>
                </c:pt>
                <c:pt idx="67">
                  <c:v>286.512</c:v>
                </c:pt>
                <c:pt idx="68">
                  <c:v>285.005</c:v>
                </c:pt>
                <c:pt idx="69">
                  <c:v>282.404</c:v>
                </c:pt>
                <c:pt idx="70">
                  <c:v>284.08100000000002</c:v>
                </c:pt>
                <c:pt idx="71">
                  <c:v>285.791</c:v>
                </c:pt>
                <c:pt idx="72">
                  <c:v>286.70699999999999</c:v>
                </c:pt>
                <c:pt idx="73">
                  <c:v>282.74799999999999</c:v>
                </c:pt>
                <c:pt idx="74">
                  <c:v>280.779</c:v>
                </c:pt>
                <c:pt idx="75">
                  <c:v>278.28399999999999</c:v>
                </c:pt>
                <c:pt idx="76">
                  <c:v>290.92399999999998</c:v>
                </c:pt>
                <c:pt idx="77">
                  <c:v>296.49299999999999</c:v>
                </c:pt>
                <c:pt idx="78">
                  <c:v>296.49299999999999</c:v>
                </c:pt>
                <c:pt idx="79">
                  <c:v>296.49299999999999</c:v>
                </c:pt>
                <c:pt idx="80">
                  <c:v>290.14299999999997</c:v>
                </c:pt>
                <c:pt idx="81">
                  <c:v>306.52699999999999</c:v>
                </c:pt>
                <c:pt idx="82">
                  <c:v>308.77600000000001</c:v>
                </c:pt>
                <c:pt idx="83">
                  <c:v>317.42500000000001</c:v>
                </c:pt>
                <c:pt idx="84">
                  <c:v>319.80599999999998</c:v>
                </c:pt>
                <c:pt idx="85">
                  <c:v>311.04599999999999</c:v>
                </c:pt>
                <c:pt idx="86">
                  <c:v>307.79199999999997</c:v>
                </c:pt>
                <c:pt idx="87">
                  <c:v>300.70999999999998</c:v>
                </c:pt>
                <c:pt idx="88">
                  <c:v>302.72000000000003</c:v>
                </c:pt>
                <c:pt idx="89">
                  <c:v>302.72000000000003</c:v>
                </c:pt>
                <c:pt idx="90">
                  <c:v>311.59100000000001</c:v>
                </c:pt>
                <c:pt idx="91">
                  <c:v>312.858</c:v>
                </c:pt>
                <c:pt idx="92">
                  <c:v>314.43299999999999</c:v>
                </c:pt>
                <c:pt idx="93">
                  <c:v>318.27199999999999</c:v>
                </c:pt>
                <c:pt idx="94">
                  <c:v>328.541</c:v>
                </c:pt>
                <c:pt idx="95">
                  <c:v>330.03100000000001</c:v>
                </c:pt>
                <c:pt idx="96">
                  <c:v>334.38200000000001</c:v>
                </c:pt>
                <c:pt idx="97">
                  <c:v>320.58300000000003</c:v>
                </c:pt>
                <c:pt idx="98">
                  <c:v>322.33</c:v>
                </c:pt>
                <c:pt idx="99">
                  <c:v>315.24099999999999</c:v>
                </c:pt>
                <c:pt idx="100">
                  <c:v>311.774</c:v>
                </c:pt>
                <c:pt idx="101">
                  <c:v>314.91399999999999</c:v>
                </c:pt>
                <c:pt idx="102">
                  <c:v>322.197</c:v>
                </c:pt>
                <c:pt idx="103">
                  <c:v>323.25</c:v>
                </c:pt>
                <c:pt idx="104">
                  <c:v>323.25</c:v>
                </c:pt>
                <c:pt idx="105">
                  <c:v>321.75200000000001</c:v>
                </c:pt>
                <c:pt idx="106">
                  <c:v>329.041</c:v>
                </c:pt>
                <c:pt idx="107">
                  <c:v>330.62200000000001</c:v>
                </c:pt>
                <c:pt idx="108">
                  <c:v>353.536</c:v>
                </c:pt>
                <c:pt idx="109">
                  <c:v>368.39499999999998</c:v>
                </c:pt>
                <c:pt idx="110">
                  <c:v>361.57400000000001</c:v>
                </c:pt>
                <c:pt idx="111">
                  <c:v>352.95600000000002</c:v>
                </c:pt>
                <c:pt idx="112">
                  <c:v>343.31200000000001</c:v>
                </c:pt>
                <c:pt idx="113">
                  <c:v>339.64400000000001</c:v>
                </c:pt>
                <c:pt idx="114">
                  <c:v>332.61200000000002</c:v>
                </c:pt>
                <c:pt idx="115">
                  <c:v>334.88200000000001</c:v>
                </c:pt>
                <c:pt idx="116">
                  <c:v>339.62</c:v>
                </c:pt>
                <c:pt idx="117">
                  <c:v>359.76400000000001</c:v>
                </c:pt>
                <c:pt idx="118">
                  <c:v>356.35300000000001</c:v>
                </c:pt>
                <c:pt idx="119">
                  <c:v>344.7</c:v>
                </c:pt>
                <c:pt idx="120">
                  <c:v>336.41699999999997</c:v>
                </c:pt>
                <c:pt idx="121">
                  <c:v>326.46600000000001</c:v>
                </c:pt>
                <c:pt idx="122">
                  <c:v>318.64699999999999</c:v>
                </c:pt>
                <c:pt idx="123">
                  <c:v>301.06900000000002</c:v>
                </c:pt>
                <c:pt idx="124">
                  <c:v>301.72300000000001</c:v>
                </c:pt>
                <c:pt idx="125">
                  <c:v>306.14299999999997</c:v>
                </c:pt>
                <c:pt idx="126">
                  <c:v>298.74200000000002</c:v>
                </c:pt>
                <c:pt idx="127">
                  <c:v>290.18099999999998</c:v>
                </c:pt>
                <c:pt idx="128">
                  <c:v>279.10300000000001</c:v>
                </c:pt>
                <c:pt idx="129">
                  <c:v>256.65300000000002</c:v>
                </c:pt>
                <c:pt idx="130">
                  <c:v>267.05900000000003</c:v>
                </c:pt>
                <c:pt idx="131">
                  <c:v>280.39600000000002</c:v>
                </c:pt>
                <c:pt idx="132">
                  <c:v>284.17200000000003</c:v>
                </c:pt>
                <c:pt idx="133">
                  <c:v>278.10899999999998</c:v>
                </c:pt>
                <c:pt idx="134">
                  <c:v>300.46100000000001</c:v>
                </c:pt>
                <c:pt idx="135">
                  <c:v>311.774</c:v>
                </c:pt>
                <c:pt idx="136">
                  <c:v>320.77499999999998</c:v>
                </c:pt>
                <c:pt idx="137">
                  <c:v>310.36099999999999</c:v>
                </c:pt>
                <c:pt idx="138">
                  <c:v>306.29599999999999</c:v>
                </c:pt>
                <c:pt idx="139">
                  <c:v>295.947</c:v>
                </c:pt>
                <c:pt idx="140">
                  <c:v>295.52</c:v>
                </c:pt>
                <c:pt idx="141">
                  <c:v>298.17200000000003</c:v>
                </c:pt>
                <c:pt idx="142">
                  <c:v>294.76</c:v>
                </c:pt>
                <c:pt idx="143">
                  <c:v>294.06099999999998</c:v>
                </c:pt>
                <c:pt idx="144">
                  <c:v>292.25900000000001</c:v>
                </c:pt>
                <c:pt idx="145">
                  <c:v>288.56400000000002</c:v>
                </c:pt>
                <c:pt idx="146">
                  <c:v>287.08600000000001</c:v>
                </c:pt>
                <c:pt idx="147">
                  <c:v>287.98399999999998</c:v>
                </c:pt>
                <c:pt idx="148">
                  <c:v>286.79599999999999</c:v>
                </c:pt>
                <c:pt idx="149">
                  <c:v>289.47000000000003</c:v>
                </c:pt>
                <c:pt idx="150">
                  <c:v>298.84399999999999</c:v>
                </c:pt>
                <c:pt idx="151">
                  <c:v>296.84100000000001</c:v>
                </c:pt>
                <c:pt idx="152">
                  <c:v>311.81700000000001</c:v>
                </c:pt>
                <c:pt idx="153">
                  <c:v>316.27199999999999</c:v>
                </c:pt>
                <c:pt idx="154">
                  <c:v>348.87799999999999</c:v>
                </c:pt>
                <c:pt idx="155">
                  <c:v>344.39600000000002</c:v>
                </c:pt>
                <c:pt idx="156">
                  <c:v>346.12799999999999</c:v>
                </c:pt>
                <c:pt idx="157">
                  <c:v>340.15300000000002</c:v>
                </c:pt>
                <c:pt idx="158">
                  <c:v>327.44799999999998</c:v>
                </c:pt>
                <c:pt idx="159">
                  <c:v>337.33100000000002</c:v>
                </c:pt>
                <c:pt idx="160">
                  <c:v>334.23899999999998</c:v>
                </c:pt>
                <c:pt idx="161">
                  <c:v>351.04899999999998</c:v>
                </c:pt>
                <c:pt idx="162">
                  <c:v>366.03300000000002</c:v>
                </c:pt>
                <c:pt idx="163">
                  <c:v>362.72300000000001</c:v>
                </c:pt>
                <c:pt idx="164">
                  <c:v>359.64100000000002</c:v>
                </c:pt>
                <c:pt idx="165">
                  <c:v>362.947</c:v>
                </c:pt>
                <c:pt idx="166">
                  <c:v>356.084</c:v>
                </c:pt>
                <c:pt idx="167">
                  <c:v>346.71699999999998</c:v>
                </c:pt>
                <c:pt idx="168">
                  <c:v>355.858</c:v>
                </c:pt>
                <c:pt idx="169">
                  <c:v>355.858</c:v>
                </c:pt>
                <c:pt idx="170">
                  <c:v>359.065</c:v>
                </c:pt>
                <c:pt idx="171">
                  <c:v>355.47399999999999</c:v>
                </c:pt>
                <c:pt idx="172">
                  <c:v>334.459</c:v>
                </c:pt>
                <c:pt idx="173">
                  <c:v>316.74799999999999</c:v>
                </c:pt>
                <c:pt idx="174">
                  <c:v>308.50700000000001</c:v>
                </c:pt>
                <c:pt idx="175">
                  <c:v>316.589</c:v>
                </c:pt>
                <c:pt idx="176">
                  <c:v>319.29300000000001</c:v>
                </c:pt>
                <c:pt idx="177">
                  <c:v>302.96600000000001</c:v>
                </c:pt>
                <c:pt idx="178">
                  <c:v>309.58100000000002</c:v>
                </c:pt>
                <c:pt idx="179">
                  <c:v>308.505</c:v>
                </c:pt>
                <c:pt idx="180">
                  <c:v>307.41699999999997</c:v>
                </c:pt>
                <c:pt idx="181">
                  <c:v>313.92500000000001</c:v>
                </c:pt>
                <c:pt idx="182">
                  <c:v>306.34300000000002</c:v>
                </c:pt>
                <c:pt idx="183">
                  <c:v>301.70100000000002</c:v>
                </c:pt>
                <c:pt idx="184">
                  <c:v>309.52699999999999</c:v>
                </c:pt>
                <c:pt idx="185">
                  <c:v>311.51</c:v>
                </c:pt>
                <c:pt idx="186">
                  <c:v>309.464</c:v>
                </c:pt>
                <c:pt idx="187">
                  <c:v>299.21100000000001</c:v>
                </c:pt>
                <c:pt idx="188">
                  <c:v>284.93299999999999</c:v>
                </c:pt>
                <c:pt idx="189">
                  <c:v>286.452</c:v>
                </c:pt>
                <c:pt idx="190">
                  <c:v>293.98599999999999</c:v>
                </c:pt>
                <c:pt idx="191">
                  <c:v>296.60899999999998</c:v>
                </c:pt>
                <c:pt idx="192">
                  <c:v>299.68700000000001</c:v>
                </c:pt>
                <c:pt idx="193">
                  <c:v>300.38799999999998</c:v>
                </c:pt>
                <c:pt idx="194">
                  <c:v>305.90100000000001</c:v>
                </c:pt>
                <c:pt idx="195">
                  <c:v>319.49400000000003</c:v>
                </c:pt>
                <c:pt idx="196">
                  <c:v>323.66000000000003</c:v>
                </c:pt>
                <c:pt idx="197">
                  <c:v>332.22399999999999</c:v>
                </c:pt>
                <c:pt idx="198">
                  <c:v>325.72399999999999</c:v>
                </c:pt>
                <c:pt idx="199">
                  <c:v>319.702</c:v>
                </c:pt>
                <c:pt idx="200">
                  <c:v>323.899</c:v>
                </c:pt>
                <c:pt idx="201">
                  <c:v>321.12200000000001</c:v>
                </c:pt>
                <c:pt idx="202">
                  <c:v>308.608</c:v>
                </c:pt>
                <c:pt idx="203">
                  <c:v>297.13600000000002</c:v>
                </c:pt>
                <c:pt idx="204">
                  <c:v>300.64800000000002</c:v>
                </c:pt>
                <c:pt idx="205">
                  <c:v>291.89</c:v>
                </c:pt>
                <c:pt idx="206">
                  <c:v>294.05099999999999</c:v>
                </c:pt>
                <c:pt idx="207">
                  <c:v>287.39699999999999</c:v>
                </c:pt>
                <c:pt idx="208">
                  <c:v>285.17700000000002</c:v>
                </c:pt>
                <c:pt idx="209">
                  <c:v>283.00599999999997</c:v>
                </c:pt>
                <c:pt idx="210">
                  <c:v>284.59399999999999</c:v>
                </c:pt>
                <c:pt idx="211">
                  <c:v>284.89600000000002</c:v>
                </c:pt>
                <c:pt idx="212">
                  <c:v>281.64600000000002</c:v>
                </c:pt>
                <c:pt idx="213">
                  <c:v>279.47800000000001</c:v>
                </c:pt>
                <c:pt idx="214">
                  <c:v>274.92399999999998</c:v>
                </c:pt>
                <c:pt idx="215">
                  <c:v>275.565</c:v>
                </c:pt>
                <c:pt idx="216">
                  <c:v>278.39999999999998</c:v>
                </c:pt>
                <c:pt idx="217">
                  <c:v>285.83699999999999</c:v>
                </c:pt>
                <c:pt idx="218">
                  <c:v>276.97300000000001</c:v>
                </c:pt>
                <c:pt idx="219">
                  <c:v>266.66399999999999</c:v>
                </c:pt>
                <c:pt idx="220">
                  <c:v>263.32</c:v>
                </c:pt>
                <c:pt idx="221">
                  <c:v>267.08499999999998</c:v>
                </c:pt>
                <c:pt idx="222">
                  <c:v>257.029</c:v>
                </c:pt>
                <c:pt idx="223">
                  <c:v>274.88</c:v>
                </c:pt>
                <c:pt idx="224">
                  <c:v>273.17899999999997</c:v>
                </c:pt>
                <c:pt idx="225">
                  <c:v>289.64400000000001</c:v>
                </c:pt>
                <c:pt idx="226">
                  <c:v>299.21499999999997</c:v>
                </c:pt>
                <c:pt idx="227">
                  <c:v>297.86099999999999</c:v>
                </c:pt>
                <c:pt idx="228">
                  <c:v>293.23</c:v>
                </c:pt>
                <c:pt idx="229">
                  <c:v>296.02499999999998</c:v>
                </c:pt>
                <c:pt idx="230">
                  <c:v>298.447</c:v>
                </c:pt>
                <c:pt idx="231">
                  <c:v>300.803</c:v>
                </c:pt>
                <c:pt idx="232">
                  <c:v>297.29300000000001</c:v>
                </c:pt>
                <c:pt idx="233">
                  <c:v>293.73700000000002</c:v>
                </c:pt>
                <c:pt idx="234">
                  <c:v>293.18799999999999</c:v>
                </c:pt>
                <c:pt idx="235">
                  <c:v>294.774</c:v>
                </c:pt>
                <c:pt idx="236">
                  <c:v>293.06400000000002</c:v>
                </c:pt>
                <c:pt idx="237">
                  <c:v>293.54500000000002</c:v>
                </c:pt>
                <c:pt idx="238">
                  <c:v>293.63099999999997</c:v>
                </c:pt>
                <c:pt idx="239">
                  <c:v>301.16899999999998</c:v>
                </c:pt>
                <c:pt idx="240">
                  <c:v>312.09500000000003</c:v>
                </c:pt>
                <c:pt idx="241">
                  <c:v>307.762</c:v>
                </c:pt>
                <c:pt idx="242">
                  <c:v>308.92599999999999</c:v>
                </c:pt>
                <c:pt idx="243">
                  <c:v>307.87299999999999</c:v>
                </c:pt>
                <c:pt idx="244">
                  <c:v>307.61399999999998</c:v>
                </c:pt>
                <c:pt idx="245">
                  <c:v>304.06400000000002</c:v>
                </c:pt>
                <c:pt idx="246">
                  <c:v>306.31799999999998</c:v>
                </c:pt>
                <c:pt idx="247">
                  <c:v>284.62700000000001</c:v>
                </c:pt>
                <c:pt idx="248">
                  <c:v>289.24299999999999</c:v>
                </c:pt>
                <c:pt idx="249">
                  <c:v>286.90899999999999</c:v>
                </c:pt>
                <c:pt idx="250">
                  <c:v>290.50400000000002</c:v>
                </c:pt>
                <c:pt idx="251">
                  <c:v>282.553</c:v>
                </c:pt>
                <c:pt idx="252">
                  <c:v>283.56200000000001</c:v>
                </c:pt>
                <c:pt idx="253">
                  <c:v>279.09399999999999</c:v>
                </c:pt>
                <c:pt idx="254">
                  <c:v>274.73399999999998</c:v>
                </c:pt>
                <c:pt idx="255">
                  <c:v>278.31900000000002</c:v>
                </c:pt>
                <c:pt idx="256">
                  <c:v>278.31900000000002</c:v>
                </c:pt>
                <c:pt idx="257">
                  <c:v>278.31900000000002</c:v>
                </c:pt>
                <c:pt idx="258">
                  <c:v>279.65899999999999</c:v>
                </c:pt>
                <c:pt idx="259">
                  <c:v>282.71699999999998</c:v>
                </c:pt>
                <c:pt idx="260">
                  <c:v>279.47399999999999</c:v>
                </c:pt>
                <c:pt idx="261">
                  <c:v>279.47399999999999</c:v>
                </c:pt>
                <c:pt idx="262">
                  <c:v>278.92200000000003</c:v>
                </c:pt>
                <c:pt idx="263">
                  <c:v>285.50299999999999</c:v>
                </c:pt>
                <c:pt idx="264">
                  <c:v>277.69299999999998</c:v>
                </c:pt>
                <c:pt idx="265">
                  <c:v>278.21600000000001</c:v>
                </c:pt>
                <c:pt idx="266">
                  <c:v>268.66899999999998</c:v>
                </c:pt>
                <c:pt idx="267">
                  <c:v>268.38400000000001</c:v>
                </c:pt>
                <c:pt idx="268">
                  <c:v>253.37700000000001</c:v>
                </c:pt>
                <c:pt idx="269">
                  <c:v>243.458</c:v>
                </c:pt>
                <c:pt idx="270">
                  <c:v>237.02500000000001</c:v>
                </c:pt>
                <c:pt idx="271">
                  <c:v>238.94499999999999</c:v>
                </c:pt>
                <c:pt idx="272">
                  <c:v>234.01499999999999</c:v>
                </c:pt>
                <c:pt idx="273">
                  <c:v>233.565</c:v>
                </c:pt>
                <c:pt idx="274">
                  <c:v>233.02</c:v>
                </c:pt>
                <c:pt idx="275">
                  <c:v>237.321</c:v>
                </c:pt>
                <c:pt idx="276">
                  <c:v>237.04900000000001</c:v>
                </c:pt>
                <c:pt idx="277">
                  <c:v>249.761</c:v>
                </c:pt>
                <c:pt idx="278">
                  <c:v>255.09</c:v>
                </c:pt>
                <c:pt idx="279">
                  <c:v>267.351</c:v>
                </c:pt>
                <c:pt idx="280">
                  <c:v>258.62700000000001</c:v>
                </c:pt>
                <c:pt idx="281">
                  <c:v>263.447</c:v>
                </c:pt>
                <c:pt idx="282">
                  <c:v>264.30599999999998</c:v>
                </c:pt>
                <c:pt idx="283">
                  <c:v>271.15499999999997</c:v>
                </c:pt>
                <c:pt idx="284">
                  <c:v>280.88400000000001</c:v>
                </c:pt>
                <c:pt idx="285">
                  <c:v>269.34100000000001</c:v>
                </c:pt>
                <c:pt idx="286">
                  <c:v>267.08</c:v>
                </c:pt>
                <c:pt idx="287">
                  <c:v>263.60300000000001</c:v>
                </c:pt>
                <c:pt idx="288">
                  <c:v>267.58600000000001</c:v>
                </c:pt>
                <c:pt idx="289">
                  <c:v>269.60300000000001</c:v>
                </c:pt>
                <c:pt idx="290">
                  <c:v>265.38400000000001</c:v>
                </c:pt>
                <c:pt idx="291">
                  <c:v>262.435</c:v>
                </c:pt>
                <c:pt idx="292">
                  <c:v>260.27800000000002</c:v>
                </c:pt>
                <c:pt idx="293">
                  <c:v>252.32900000000001</c:v>
                </c:pt>
                <c:pt idx="294">
                  <c:v>249.41200000000001</c:v>
                </c:pt>
                <c:pt idx="295">
                  <c:v>254.24100000000001</c:v>
                </c:pt>
                <c:pt idx="296">
                  <c:v>248.47399999999999</c:v>
                </c:pt>
                <c:pt idx="297">
                  <c:v>245.203</c:v>
                </c:pt>
                <c:pt idx="298">
                  <c:v>236.78200000000001</c:v>
                </c:pt>
                <c:pt idx="299">
                  <c:v>249.79599999999999</c:v>
                </c:pt>
                <c:pt idx="300">
                  <c:v>260.58600000000001</c:v>
                </c:pt>
                <c:pt idx="301">
                  <c:v>262.74799999999999</c:v>
                </c:pt>
                <c:pt idx="302">
                  <c:v>290.154</c:v>
                </c:pt>
                <c:pt idx="303">
                  <c:v>334.44299999999998</c:v>
                </c:pt>
                <c:pt idx="304">
                  <c:v>337.52800000000002</c:v>
                </c:pt>
                <c:pt idx="305">
                  <c:v>334.471</c:v>
                </c:pt>
                <c:pt idx="306">
                  <c:v>328.16500000000002</c:v>
                </c:pt>
                <c:pt idx="307">
                  <c:v>335.44900000000001</c:v>
                </c:pt>
                <c:pt idx="308">
                  <c:v>353.86700000000002</c:v>
                </c:pt>
                <c:pt idx="309">
                  <c:v>503.76900000000001</c:v>
                </c:pt>
                <c:pt idx="310">
                  <c:v>488.94200000000001</c:v>
                </c:pt>
                <c:pt idx="311">
                  <c:v>517.38300000000004</c:v>
                </c:pt>
                <c:pt idx="312">
                  <c:v>627.99199999999996</c:v>
                </c:pt>
                <c:pt idx="313">
                  <c:v>608.91800000000001</c:v>
                </c:pt>
                <c:pt idx="314">
                  <c:v>690.76300000000003</c:v>
                </c:pt>
                <c:pt idx="315">
                  <c:v>693.06200000000001</c:v>
                </c:pt>
                <c:pt idx="316">
                  <c:v>757.08699999999999</c:v>
                </c:pt>
                <c:pt idx="317">
                  <c:v>798.34100000000001</c:v>
                </c:pt>
                <c:pt idx="318">
                  <c:v>799.21900000000005</c:v>
                </c:pt>
                <c:pt idx="319">
                  <c:v>862.75900000000001</c:v>
                </c:pt>
                <c:pt idx="320">
                  <c:v>847.79200000000003</c:v>
                </c:pt>
                <c:pt idx="321">
                  <c:v>814.67</c:v>
                </c:pt>
                <c:pt idx="322">
                  <c:v>718.68</c:v>
                </c:pt>
                <c:pt idx="323">
                  <c:v>708.51199999999994</c:v>
                </c:pt>
                <c:pt idx="324">
                  <c:v>722.25699999999995</c:v>
                </c:pt>
                <c:pt idx="325">
                  <c:v>725.00900000000001</c:v>
                </c:pt>
                <c:pt idx="326">
                  <c:v>725.32299999999998</c:v>
                </c:pt>
                <c:pt idx="327">
                  <c:v>705.072</c:v>
                </c:pt>
                <c:pt idx="328">
                  <c:v>671.43200000000002</c:v>
                </c:pt>
                <c:pt idx="329">
                  <c:v>629.42499999999995</c:v>
                </c:pt>
                <c:pt idx="330">
                  <c:v>622.947</c:v>
                </c:pt>
                <c:pt idx="331">
                  <c:v>655.18499999999995</c:v>
                </c:pt>
                <c:pt idx="332">
                  <c:v>653.95799999999997</c:v>
                </c:pt>
                <c:pt idx="333">
                  <c:v>653.95799999999997</c:v>
                </c:pt>
                <c:pt idx="334">
                  <c:v>653.95799999999997</c:v>
                </c:pt>
                <c:pt idx="335">
                  <c:v>655.87199999999996</c:v>
                </c:pt>
                <c:pt idx="336">
                  <c:v>672.77</c:v>
                </c:pt>
                <c:pt idx="337">
                  <c:v>686.43600000000004</c:v>
                </c:pt>
                <c:pt idx="338">
                  <c:v>682.20899999999995</c:v>
                </c:pt>
                <c:pt idx="339">
                  <c:v>672.45299999999997</c:v>
                </c:pt>
                <c:pt idx="340">
                  <c:v>710.35500000000002</c:v>
                </c:pt>
                <c:pt idx="341">
                  <c:v>727.15099999999995</c:v>
                </c:pt>
                <c:pt idx="342">
                  <c:v>714.245</c:v>
                </c:pt>
                <c:pt idx="343">
                  <c:v>728.53</c:v>
                </c:pt>
                <c:pt idx="344">
                  <c:v>729.07</c:v>
                </c:pt>
                <c:pt idx="345">
                  <c:v>751.745</c:v>
                </c:pt>
                <c:pt idx="346">
                  <c:v>755.37099999999998</c:v>
                </c:pt>
                <c:pt idx="347">
                  <c:v>734.74099999999999</c:v>
                </c:pt>
                <c:pt idx="348">
                  <c:v>734.56600000000003</c:v>
                </c:pt>
                <c:pt idx="349">
                  <c:v>735.31399999999996</c:v>
                </c:pt>
                <c:pt idx="350">
                  <c:v>721.15599999999995</c:v>
                </c:pt>
                <c:pt idx="351">
                  <c:v>697.16399999999999</c:v>
                </c:pt>
                <c:pt idx="352">
                  <c:v>695.471</c:v>
                </c:pt>
                <c:pt idx="353">
                  <c:v>695.471</c:v>
                </c:pt>
                <c:pt idx="354">
                  <c:v>676.01</c:v>
                </c:pt>
                <c:pt idx="355">
                  <c:v>659.39099999999996</c:v>
                </c:pt>
                <c:pt idx="356">
                  <c:v>625.07899999999995</c:v>
                </c:pt>
                <c:pt idx="357">
                  <c:v>635.10599999999999</c:v>
                </c:pt>
                <c:pt idx="358">
                  <c:v>612.30399999999997</c:v>
                </c:pt>
                <c:pt idx="359">
                  <c:v>572.53099999999995</c:v>
                </c:pt>
                <c:pt idx="360">
                  <c:v>541.76900000000001</c:v>
                </c:pt>
                <c:pt idx="361">
                  <c:v>523.04600000000005</c:v>
                </c:pt>
                <c:pt idx="362">
                  <c:v>521.74900000000002</c:v>
                </c:pt>
                <c:pt idx="363">
                  <c:v>519.80499999999995</c:v>
                </c:pt>
                <c:pt idx="364">
                  <c:v>519.80499999999995</c:v>
                </c:pt>
                <c:pt idx="365">
                  <c:v>492.85399999999998</c:v>
                </c:pt>
                <c:pt idx="366">
                  <c:v>498.47800000000001</c:v>
                </c:pt>
                <c:pt idx="367">
                  <c:v>498.38799999999998</c:v>
                </c:pt>
                <c:pt idx="368">
                  <c:v>503.67200000000003</c:v>
                </c:pt>
                <c:pt idx="369">
                  <c:v>495.036</c:v>
                </c:pt>
                <c:pt idx="370">
                  <c:v>490.14400000000001</c:v>
                </c:pt>
                <c:pt idx="371">
                  <c:v>493.22500000000002</c:v>
                </c:pt>
                <c:pt idx="372">
                  <c:v>491.83199999999999</c:v>
                </c:pt>
                <c:pt idx="373">
                  <c:v>485.97500000000002</c:v>
                </c:pt>
                <c:pt idx="374">
                  <c:v>495.06</c:v>
                </c:pt>
                <c:pt idx="375">
                  <c:v>494.86900000000003</c:v>
                </c:pt>
                <c:pt idx="376">
                  <c:v>483.262</c:v>
                </c:pt>
                <c:pt idx="377">
                  <c:v>517.65899999999999</c:v>
                </c:pt>
                <c:pt idx="378">
                  <c:v>521.49599999999998</c:v>
                </c:pt>
                <c:pt idx="379">
                  <c:v>548.37199999999996</c:v>
                </c:pt>
                <c:pt idx="380">
                  <c:v>561.39599999999996</c:v>
                </c:pt>
                <c:pt idx="381">
                  <c:v>556.40200000000004</c:v>
                </c:pt>
                <c:pt idx="382">
                  <c:v>551.58799999999997</c:v>
                </c:pt>
                <c:pt idx="383">
                  <c:v>550.197</c:v>
                </c:pt>
                <c:pt idx="384">
                  <c:v>561.63199999999995</c:v>
                </c:pt>
                <c:pt idx="385">
                  <c:v>577.10500000000002</c:v>
                </c:pt>
                <c:pt idx="386">
                  <c:v>592.70600000000002</c:v>
                </c:pt>
                <c:pt idx="387">
                  <c:v>658.99800000000005</c:v>
                </c:pt>
                <c:pt idx="388">
                  <c:v>651.28300000000002</c:v>
                </c:pt>
                <c:pt idx="389">
                  <c:v>645.29</c:v>
                </c:pt>
                <c:pt idx="390">
                  <c:v>643.96600000000001</c:v>
                </c:pt>
                <c:pt idx="391">
                  <c:v>635.33500000000004</c:v>
                </c:pt>
                <c:pt idx="392">
                  <c:v>619.29899999999998</c:v>
                </c:pt>
                <c:pt idx="393">
                  <c:v>613.54</c:v>
                </c:pt>
                <c:pt idx="394">
                  <c:v>611.49800000000005</c:v>
                </c:pt>
                <c:pt idx="395">
                  <c:v>622.21400000000006</c:v>
                </c:pt>
                <c:pt idx="396">
                  <c:v>616.82500000000005</c:v>
                </c:pt>
                <c:pt idx="397">
                  <c:v>620.53800000000001</c:v>
                </c:pt>
                <c:pt idx="398">
                  <c:v>627.13499999999999</c:v>
                </c:pt>
                <c:pt idx="399">
                  <c:v>642.63099999999997</c:v>
                </c:pt>
                <c:pt idx="400">
                  <c:v>664.21400000000006</c:v>
                </c:pt>
                <c:pt idx="401">
                  <c:v>678.20299999999997</c:v>
                </c:pt>
                <c:pt idx="402">
                  <c:v>672.57899999999995</c:v>
                </c:pt>
                <c:pt idx="403">
                  <c:v>664.22500000000002</c:v>
                </c:pt>
                <c:pt idx="404">
                  <c:v>661.83399999999995</c:v>
                </c:pt>
                <c:pt idx="405">
                  <c:v>660.93100000000004</c:v>
                </c:pt>
                <c:pt idx="406">
                  <c:v>665.10599999999999</c:v>
                </c:pt>
                <c:pt idx="407">
                  <c:v>658.00099999999998</c:v>
                </c:pt>
                <c:pt idx="408">
                  <c:v>660.553</c:v>
                </c:pt>
                <c:pt idx="409">
                  <c:v>656.18799999999999</c:v>
                </c:pt>
                <c:pt idx="410">
                  <c:v>646.49400000000003</c:v>
                </c:pt>
                <c:pt idx="411">
                  <c:v>628.59299999999996</c:v>
                </c:pt>
                <c:pt idx="412">
                  <c:v>630.89400000000001</c:v>
                </c:pt>
                <c:pt idx="413">
                  <c:v>602.803</c:v>
                </c:pt>
                <c:pt idx="414">
                  <c:v>587.48699999999997</c:v>
                </c:pt>
                <c:pt idx="415">
                  <c:v>581.18100000000004</c:v>
                </c:pt>
                <c:pt idx="416">
                  <c:v>567.59699999999998</c:v>
                </c:pt>
                <c:pt idx="417">
                  <c:v>576.74199999999996</c:v>
                </c:pt>
                <c:pt idx="418">
                  <c:v>588.16999999999996</c:v>
                </c:pt>
                <c:pt idx="419">
                  <c:v>620.99300000000005</c:v>
                </c:pt>
                <c:pt idx="420">
                  <c:v>646.28</c:v>
                </c:pt>
                <c:pt idx="421">
                  <c:v>648.06200000000001</c:v>
                </c:pt>
                <c:pt idx="422">
                  <c:v>738.89</c:v>
                </c:pt>
                <c:pt idx="423">
                  <c:v>854.16099999999994</c:v>
                </c:pt>
                <c:pt idx="424">
                  <c:v>956.63900000000001</c:v>
                </c:pt>
                <c:pt idx="425">
                  <c:v>856.83799999999997</c:v>
                </c:pt>
                <c:pt idx="426">
                  <c:v>824.49699999999996</c:v>
                </c:pt>
                <c:pt idx="427">
                  <c:v>777.42899999999997</c:v>
                </c:pt>
                <c:pt idx="428">
                  <c:v>778.12800000000004</c:v>
                </c:pt>
                <c:pt idx="429">
                  <c:v>811.49400000000003</c:v>
                </c:pt>
                <c:pt idx="430">
                  <c:v>815.029</c:v>
                </c:pt>
                <c:pt idx="431">
                  <c:v>786.74800000000005</c:v>
                </c:pt>
                <c:pt idx="432">
                  <c:v>710.92399999999998</c:v>
                </c:pt>
                <c:pt idx="433">
                  <c:v>713.19500000000005</c:v>
                </c:pt>
                <c:pt idx="434">
                  <c:v>713.19500000000005</c:v>
                </c:pt>
                <c:pt idx="435">
                  <c:v>660.13199999999995</c:v>
                </c:pt>
                <c:pt idx="436">
                  <c:v>648.81700000000001</c:v>
                </c:pt>
                <c:pt idx="437">
                  <c:v>652.67399999999998</c:v>
                </c:pt>
                <c:pt idx="438">
                  <c:v>642.43700000000001</c:v>
                </c:pt>
                <c:pt idx="439">
                  <c:v>646.50400000000002</c:v>
                </c:pt>
                <c:pt idx="440">
                  <c:v>705.03200000000004</c:v>
                </c:pt>
                <c:pt idx="441">
                  <c:v>698.32299999999998</c:v>
                </c:pt>
                <c:pt idx="442">
                  <c:v>701.00900000000001</c:v>
                </c:pt>
                <c:pt idx="443">
                  <c:v>728.99900000000002</c:v>
                </c:pt>
                <c:pt idx="444">
                  <c:v>689.38400000000001</c:v>
                </c:pt>
                <c:pt idx="445">
                  <c:v>677.29300000000001</c:v>
                </c:pt>
                <c:pt idx="446">
                  <c:v>678.529</c:v>
                </c:pt>
                <c:pt idx="447">
                  <c:v>695.55499999999995</c:v>
                </c:pt>
                <c:pt idx="448">
                  <c:v>675.971</c:v>
                </c:pt>
                <c:pt idx="449">
                  <c:v>745.47900000000004</c:v>
                </c:pt>
                <c:pt idx="450">
                  <c:v>735.851</c:v>
                </c:pt>
                <c:pt idx="451">
                  <c:v>761.22699999999998</c:v>
                </c:pt>
                <c:pt idx="452">
                  <c:v>795.73099999999999</c:v>
                </c:pt>
                <c:pt idx="453">
                  <c:v>798.125</c:v>
                </c:pt>
                <c:pt idx="454">
                  <c:v>783.72500000000002</c:v>
                </c:pt>
                <c:pt idx="455">
                  <c:v>785.11199999999997</c:v>
                </c:pt>
                <c:pt idx="456">
                  <c:v>777.33900000000006</c:v>
                </c:pt>
                <c:pt idx="457">
                  <c:v>761.87</c:v>
                </c:pt>
                <c:pt idx="458">
                  <c:v>768.56299999999999</c:v>
                </c:pt>
                <c:pt idx="459">
                  <c:v>734.43399999999997</c:v>
                </c:pt>
                <c:pt idx="460">
                  <c:v>708.548</c:v>
                </c:pt>
                <c:pt idx="461">
                  <c:v>706.35699999999997</c:v>
                </c:pt>
                <c:pt idx="462">
                  <c:v>678.12400000000002</c:v>
                </c:pt>
                <c:pt idx="463">
                  <c:v>679.30799999999999</c:v>
                </c:pt>
                <c:pt idx="464">
                  <c:v>671.59900000000005</c:v>
                </c:pt>
                <c:pt idx="465">
                  <c:v>697.09500000000003</c:v>
                </c:pt>
                <c:pt idx="466">
                  <c:v>736.54399999999998</c:v>
                </c:pt>
                <c:pt idx="467">
                  <c:v>775.02599999999995</c:v>
                </c:pt>
                <c:pt idx="468">
                  <c:v>760</c:v>
                </c:pt>
                <c:pt idx="469">
                  <c:v>747.69799999999998</c:v>
                </c:pt>
                <c:pt idx="470">
                  <c:v>741.70600000000002</c:v>
                </c:pt>
                <c:pt idx="471">
                  <c:v>725.98199999999997</c:v>
                </c:pt>
                <c:pt idx="472">
                  <c:v>743.53300000000002</c:v>
                </c:pt>
                <c:pt idx="473">
                  <c:v>709.39700000000005</c:v>
                </c:pt>
                <c:pt idx="474">
                  <c:v>720.21299999999997</c:v>
                </c:pt>
                <c:pt idx="475">
                  <c:v>707.697</c:v>
                </c:pt>
                <c:pt idx="476">
                  <c:v>702.85400000000004</c:v>
                </c:pt>
                <c:pt idx="477">
                  <c:v>696.93200000000002</c:v>
                </c:pt>
                <c:pt idx="478">
                  <c:v>711.75699999999995</c:v>
                </c:pt>
                <c:pt idx="479">
                  <c:v>725.08299999999997</c:v>
                </c:pt>
                <c:pt idx="480">
                  <c:v>707.86300000000006</c:v>
                </c:pt>
                <c:pt idx="481">
                  <c:v>679.72900000000004</c:v>
                </c:pt>
                <c:pt idx="482">
                  <c:v>652.84299999999996</c:v>
                </c:pt>
                <c:pt idx="483">
                  <c:v>652.12199999999996</c:v>
                </c:pt>
                <c:pt idx="484">
                  <c:v>614.15</c:v>
                </c:pt>
                <c:pt idx="485">
                  <c:v>612.375</c:v>
                </c:pt>
                <c:pt idx="486">
                  <c:v>594.36699999999996</c:v>
                </c:pt>
                <c:pt idx="487">
                  <c:v>592.77599999999995</c:v>
                </c:pt>
                <c:pt idx="488">
                  <c:v>589.50199999999995</c:v>
                </c:pt>
                <c:pt idx="489">
                  <c:v>597.28800000000001</c:v>
                </c:pt>
                <c:pt idx="490">
                  <c:v>606.53200000000004</c:v>
                </c:pt>
                <c:pt idx="491">
                  <c:v>596.87</c:v>
                </c:pt>
                <c:pt idx="492">
                  <c:v>600.779</c:v>
                </c:pt>
                <c:pt idx="493">
                  <c:v>598.99800000000005</c:v>
                </c:pt>
                <c:pt idx="494">
                  <c:v>588.46500000000003</c:v>
                </c:pt>
                <c:pt idx="495">
                  <c:v>569.76099999999997</c:v>
                </c:pt>
                <c:pt idx="496">
                  <c:v>541.25199999999995</c:v>
                </c:pt>
                <c:pt idx="497">
                  <c:v>531.08199999999999</c:v>
                </c:pt>
                <c:pt idx="498">
                  <c:v>510.14800000000002</c:v>
                </c:pt>
                <c:pt idx="499">
                  <c:v>495.661</c:v>
                </c:pt>
                <c:pt idx="500">
                  <c:v>468.08800000000002</c:v>
                </c:pt>
                <c:pt idx="501">
                  <c:v>445.03500000000003</c:v>
                </c:pt>
                <c:pt idx="502">
                  <c:v>416.61799999999999</c:v>
                </c:pt>
                <c:pt idx="503">
                  <c:v>398.73399999999998</c:v>
                </c:pt>
                <c:pt idx="504">
                  <c:v>398.02100000000002</c:v>
                </c:pt>
                <c:pt idx="505">
                  <c:v>401.209</c:v>
                </c:pt>
                <c:pt idx="506">
                  <c:v>411.67</c:v>
                </c:pt>
                <c:pt idx="507">
                  <c:v>414.33699999999999</c:v>
                </c:pt>
                <c:pt idx="508">
                  <c:v>417.12099999999998</c:v>
                </c:pt>
                <c:pt idx="509">
                  <c:v>412.07499999999999</c:v>
                </c:pt>
                <c:pt idx="510">
                  <c:v>409.565</c:v>
                </c:pt>
                <c:pt idx="511">
                  <c:v>416.1</c:v>
                </c:pt>
                <c:pt idx="512">
                  <c:v>409.18299999999999</c:v>
                </c:pt>
                <c:pt idx="513">
                  <c:v>410.976</c:v>
                </c:pt>
                <c:pt idx="514">
                  <c:v>409.75599999999997</c:v>
                </c:pt>
                <c:pt idx="515">
                  <c:v>416.28399999999999</c:v>
                </c:pt>
                <c:pt idx="516">
                  <c:v>429.55200000000002</c:v>
                </c:pt>
                <c:pt idx="517">
                  <c:v>436.62700000000001</c:v>
                </c:pt>
                <c:pt idx="518">
                  <c:v>436.62700000000001</c:v>
                </c:pt>
                <c:pt idx="519">
                  <c:v>436.62700000000001</c:v>
                </c:pt>
                <c:pt idx="520">
                  <c:v>438.09699999999998</c:v>
                </c:pt>
                <c:pt idx="521">
                  <c:v>422.97500000000002</c:v>
                </c:pt>
                <c:pt idx="522">
                  <c:v>427.89400000000001</c:v>
                </c:pt>
                <c:pt idx="523">
                  <c:v>427.89400000000001</c:v>
                </c:pt>
                <c:pt idx="524">
                  <c:v>426.726</c:v>
                </c:pt>
                <c:pt idx="525">
                  <c:v>434.18400000000003</c:v>
                </c:pt>
                <c:pt idx="526">
                  <c:v>432.34800000000001</c:v>
                </c:pt>
                <c:pt idx="527">
                  <c:v>432.33499999999998</c:v>
                </c:pt>
                <c:pt idx="528">
                  <c:v>430.08699999999999</c:v>
                </c:pt>
                <c:pt idx="529">
                  <c:v>438.34500000000003</c:v>
                </c:pt>
                <c:pt idx="530">
                  <c:v>466.23099999999999</c:v>
                </c:pt>
                <c:pt idx="531">
                  <c:v>460.93099999999998</c:v>
                </c:pt>
                <c:pt idx="532">
                  <c:v>450.673</c:v>
                </c:pt>
                <c:pt idx="533">
                  <c:v>452.99700000000001</c:v>
                </c:pt>
                <c:pt idx="534">
                  <c:v>465.66699999999997</c:v>
                </c:pt>
                <c:pt idx="535">
                  <c:v>454.68</c:v>
                </c:pt>
                <c:pt idx="536">
                  <c:v>444.65699999999998</c:v>
                </c:pt>
                <c:pt idx="537">
                  <c:v>437.44900000000001</c:v>
                </c:pt>
                <c:pt idx="538">
                  <c:v>462.74299999999999</c:v>
                </c:pt>
                <c:pt idx="539">
                  <c:v>458.01600000000002</c:v>
                </c:pt>
                <c:pt idx="540">
                  <c:v>458.85500000000002</c:v>
                </c:pt>
                <c:pt idx="541">
                  <c:v>456.49900000000002</c:v>
                </c:pt>
                <c:pt idx="542">
                  <c:v>448.476</c:v>
                </c:pt>
                <c:pt idx="543">
                  <c:v>456.673</c:v>
                </c:pt>
                <c:pt idx="544">
                  <c:v>438.62400000000002</c:v>
                </c:pt>
                <c:pt idx="545">
                  <c:v>421.50099999999998</c:v>
                </c:pt>
                <c:pt idx="546">
                  <c:v>413.65499999999997</c:v>
                </c:pt>
                <c:pt idx="547">
                  <c:v>416.60300000000001</c:v>
                </c:pt>
                <c:pt idx="548">
                  <c:v>415.86</c:v>
                </c:pt>
                <c:pt idx="549">
                  <c:v>420.24400000000003</c:v>
                </c:pt>
                <c:pt idx="550">
                  <c:v>440.21</c:v>
                </c:pt>
                <c:pt idx="551">
                  <c:v>444.86599999999999</c:v>
                </c:pt>
                <c:pt idx="552">
                  <c:v>441.24299999999999</c:v>
                </c:pt>
                <c:pt idx="553">
                  <c:v>449.39299999999997</c:v>
                </c:pt>
                <c:pt idx="554">
                  <c:v>452.58199999999999</c:v>
                </c:pt>
                <c:pt idx="555">
                  <c:v>454.16300000000001</c:v>
                </c:pt>
                <c:pt idx="556">
                  <c:v>453.81799999999998</c:v>
                </c:pt>
                <c:pt idx="557">
                  <c:v>436.85599999999999</c:v>
                </c:pt>
                <c:pt idx="558">
                  <c:v>432.53300000000002</c:v>
                </c:pt>
                <c:pt idx="559">
                  <c:v>457.142</c:v>
                </c:pt>
                <c:pt idx="560">
                  <c:v>448.26</c:v>
                </c:pt>
                <c:pt idx="561">
                  <c:v>444.27300000000002</c:v>
                </c:pt>
                <c:pt idx="562">
                  <c:v>452.173</c:v>
                </c:pt>
                <c:pt idx="563">
                  <c:v>455.46300000000002</c:v>
                </c:pt>
                <c:pt idx="564">
                  <c:v>441.42099999999999</c:v>
                </c:pt>
                <c:pt idx="565">
                  <c:v>450.9</c:v>
                </c:pt>
                <c:pt idx="566">
                  <c:v>459.536</c:v>
                </c:pt>
                <c:pt idx="567">
                  <c:v>463.47</c:v>
                </c:pt>
                <c:pt idx="568">
                  <c:v>484.87799999999999</c:v>
                </c:pt>
                <c:pt idx="569">
                  <c:v>509.40699999999998</c:v>
                </c:pt>
                <c:pt idx="570">
                  <c:v>492.57499999999999</c:v>
                </c:pt>
                <c:pt idx="571">
                  <c:v>493.59800000000001</c:v>
                </c:pt>
                <c:pt idx="572">
                  <c:v>492.61399999999998</c:v>
                </c:pt>
                <c:pt idx="573">
                  <c:v>562.37599999999998</c:v>
                </c:pt>
                <c:pt idx="574">
                  <c:v>552.78</c:v>
                </c:pt>
                <c:pt idx="575">
                  <c:v>505.36799999999999</c:v>
                </c:pt>
                <c:pt idx="576">
                  <c:v>516.81700000000001</c:v>
                </c:pt>
                <c:pt idx="577">
                  <c:v>520.48199999999997</c:v>
                </c:pt>
                <c:pt idx="578">
                  <c:v>497.63799999999998</c:v>
                </c:pt>
                <c:pt idx="579">
                  <c:v>493.38499999999999</c:v>
                </c:pt>
                <c:pt idx="580">
                  <c:v>500.37200000000001</c:v>
                </c:pt>
                <c:pt idx="581">
                  <c:v>511.45100000000002</c:v>
                </c:pt>
                <c:pt idx="582">
                  <c:v>523.96799999999996</c:v>
                </c:pt>
                <c:pt idx="583">
                  <c:v>518.10199999999998</c:v>
                </c:pt>
                <c:pt idx="584">
                  <c:v>521.81200000000001</c:v>
                </c:pt>
                <c:pt idx="585">
                  <c:v>549.75099999999998</c:v>
                </c:pt>
                <c:pt idx="586">
                  <c:v>537.95399999999995</c:v>
                </c:pt>
                <c:pt idx="587">
                  <c:v>541.51599999999996</c:v>
                </c:pt>
                <c:pt idx="588">
                  <c:v>541.51599999999996</c:v>
                </c:pt>
                <c:pt idx="589">
                  <c:v>541.51599999999996</c:v>
                </c:pt>
                <c:pt idx="590">
                  <c:v>547.44600000000003</c:v>
                </c:pt>
                <c:pt idx="591">
                  <c:v>549.83000000000004</c:v>
                </c:pt>
                <c:pt idx="592">
                  <c:v>545.06700000000001</c:v>
                </c:pt>
                <c:pt idx="593">
                  <c:v>547.25199999999995</c:v>
                </c:pt>
                <c:pt idx="594">
                  <c:v>542.04600000000005</c:v>
                </c:pt>
                <c:pt idx="595">
                  <c:v>545.18299999999999</c:v>
                </c:pt>
                <c:pt idx="596">
                  <c:v>546.75300000000004</c:v>
                </c:pt>
                <c:pt idx="597">
                  <c:v>549.23400000000004</c:v>
                </c:pt>
                <c:pt idx="598">
                  <c:v>544.68700000000001</c:v>
                </c:pt>
                <c:pt idx="599">
                  <c:v>530.81600000000003</c:v>
                </c:pt>
                <c:pt idx="600">
                  <c:v>526.17899999999997</c:v>
                </c:pt>
                <c:pt idx="601">
                  <c:v>506.74</c:v>
                </c:pt>
                <c:pt idx="602">
                  <c:v>501.77800000000002</c:v>
                </c:pt>
                <c:pt idx="603">
                  <c:v>496.16800000000001</c:v>
                </c:pt>
                <c:pt idx="604">
                  <c:v>506.65899999999999</c:v>
                </c:pt>
                <c:pt idx="605">
                  <c:v>492.63799999999998</c:v>
                </c:pt>
                <c:pt idx="606">
                  <c:v>501.31200000000001</c:v>
                </c:pt>
                <c:pt idx="607">
                  <c:v>502.47800000000001</c:v>
                </c:pt>
                <c:pt idx="608">
                  <c:v>504.55500000000001</c:v>
                </c:pt>
                <c:pt idx="609">
                  <c:v>504.55500000000001</c:v>
                </c:pt>
                <c:pt idx="610">
                  <c:v>516.08699999999999</c:v>
                </c:pt>
                <c:pt idx="611">
                  <c:v>512.97699999999998</c:v>
                </c:pt>
                <c:pt idx="612">
                  <c:v>508.22899999999998</c:v>
                </c:pt>
                <c:pt idx="613">
                  <c:v>509.017</c:v>
                </c:pt>
                <c:pt idx="614">
                  <c:v>510.483</c:v>
                </c:pt>
                <c:pt idx="615">
                  <c:v>512.44799999999998</c:v>
                </c:pt>
                <c:pt idx="616">
                  <c:v>514.41399999999999</c:v>
                </c:pt>
                <c:pt idx="617">
                  <c:v>524.57399999999996</c:v>
                </c:pt>
                <c:pt idx="618">
                  <c:v>513.12800000000004</c:v>
                </c:pt>
                <c:pt idx="619">
                  <c:v>508.61900000000003</c:v>
                </c:pt>
                <c:pt idx="620">
                  <c:v>512.35</c:v>
                </c:pt>
                <c:pt idx="621">
                  <c:v>514.678</c:v>
                </c:pt>
                <c:pt idx="622">
                  <c:v>518.05999999999995</c:v>
                </c:pt>
                <c:pt idx="623">
                  <c:v>488.34699999999998</c:v>
                </c:pt>
                <c:pt idx="624">
                  <c:v>581.61699999999996</c:v>
                </c:pt>
                <c:pt idx="625">
                  <c:v>591.81799999999998</c:v>
                </c:pt>
                <c:pt idx="626">
                  <c:v>653.91499999999996</c:v>
                </c:pt>
                <c:pt idx="627">
                  <c:v>655.42700000000002</c:v>
                </c:pt>
                <c:pt idx="628">
                  <c:v>658.2</c:v>
                </c:pt>
                <c:pt idx="629">
                  <c:v>658.2</c:v>
                </c:pt>
                <c:pt idx="630">
                  <c:v>612.15599999999995</c:v>
                </c:pt>
                <c:pt idx="631">
                  <c:v>595.14300000000003</c:v>
                </c:pt>
                <c:pt idx="632">
                  <c:v>588.58600000000001</c:v>
                </c:pt>
                <c:pt idx="633">
                  <c:v>587.60699999999997</c:v>
                </c:pt>
                <c:pt idx="634">
                  <c:v>555.24099999999999</c:v>
                </c:pt>
                <c:pt idx="635">
                  <c:v>534.45299999999997</c:v>
                </c:pt>
                <c:pt idx="636">
                  <c:v>508.53399999999999</c:v>
                </c:pt>
                <c:pt idx="637">
                  <c:v>509.41699999999997</c:v>
                </c:pt>
                <c:pt idx="638">
                  <c:v>513.66300000000001</c:v>
                </c:pt>
                <c:pt idx="639">
                  <c:v>505.18</c:v>
                </c:pt>
                <c:pt idx="640">
                  <c:v>521.85199999999998</c:v>
                </c:pt>
                <c:pt idx="641">
                  <c:v>520.31100000000004</c:v>
                </c:pt>
                <c:pt idx="642">
                  <c:v>528.65300000000002</c:v>
                </c:pt>
                <c:pt idx="643">
                  <c:v>536.06399999999996</c:v>
                </c:pt>
                <c:pt idx="644">
                  <c:v>722.95600000000002</c:v>
                </c:pt>
                <c:pt idx="645">
                  <c:v>721.16099999999994</c:v>
                </c:pt>
                <c:pt idx="646">
                  <c:v>706.46299999999997</c:v>
                </c:pt>
                <c:pt idx="647">
                  <c:v>704.65599999999995</c:v>
                </c:pt>
                <c:pt idx="648">
                  <c:v>705.40899999999999</c:v>
                </c:pt>
                <c:pt idx="649">
                  <c:v>710.39099999999996</c:v>
                </c:pt>
                <c:pt idx="650">
                  <c:v>710.36099999999999</c:v>
                </c:pt>
                <c:pt idx="651">
                  <c:v>706.82100000000003</c:v>
                </c:pt>
                <c:pt idx="652">
                  <c:v>688.75300000000004</c:v>
                </c:pt>
                <c:pt idx="653">
                  <c:v>687.70899999999995</c:v>
                </c:pt>
                <c:pt idx="654">
                  <c:v>687.23800000000006</c:v>
                </c:pt>
                <c:pt idx="655">
                  <c:v>680.18499999999995</c:v>
                </c:pt>
                <c:pt idx="656">
                  <c:v>671.33500000000004</c:v>
                </c:pt>
                <c:pt idx="657">
                  <c:v>663.12199999999996</c:v>
                </c:pt>
                <c:pt idx="658">
                  <c:v>663.15899999999999</c:v>
                </c:pt>
                <c:pt idx="659">
                  <c:v>669.28399999999999</c:v>
                </c:pt>
                <c:pt idx="660">
                  <c:v>668.846</c:v>
                </c:pt>
                <c:pt idx="661">
                  <c:v>669.79600000000005</c:v>
                </c:pt>
                <c:pt idx="662">
                  <c:v>672.822</c:v>
                </c:pt>
                <c:pt idx="663">
                  <c:v>663.85</c:v>
                </c:pt>
                <c:pt idx="664">
                  <c:v>668.66800000000001</c:v>
                </c:pt>
                <c:pt idx="665">
                  <c:v>668.93899999999996</c:v>
                </c:pt>
                <c:pt idx="666">
                  <c:v>662.71100000000001</c:v>
                </c:pt>
                <c:pt idx="667">
                  <c:v>656.83399999999995</c:v>
                </c:pt>
                <c:pt idx="668">
                  <c:v>647.69299999999998</c:v>
                </c:pt>
                <c:pt idx="669">
                  <c:v>654.67100000000005</c:v>
                </c:pt>
                <c:pt idx="670">
                  <c:v>643.64700000000005</c:v>
                </c:pt>
                <c:pt idx="671">
                  <c:v>635.79999999999995</c:v>
                </c:pt>
                <c:pt idx="672">
                  <c:v>633.16600000000005</c:v>
                </c:pt>
                <c:pt idx="673">
                  <c:v>625.93899999999996</c:v>
                </c:pt>
                <c:pt idx="674">
                  <c:v>622.80700000000002</c:v>
                </c:pt>
                <c:pt idx="675">
                  <c:v>610.18200000000002</c:v>
                </c:pt>
                <c:pt idx="676">
                  <c:v>605.08399999999995</c:v>
                </c:pt>
                <c:pt idx="677">
                  <c:v>616.15700000000004</c:v>
                </c:pt>
                <c:pt idx="678">
                  <c:v>621.70500000000004</c:v>
                </c:pt>
                <c:pt idx="679">
                  <c:v>636.096</c:v>
                </c:pt>
                <c:pt idx="680">
                  <c:v>658.65899999999999</c:v>
                </c:pt>
                <c:pt idx="681">
                  <c:v>667.95799999999997</c:v>
                </c:pt>
                <c:pt idx="682">
                  <c:v>665.47299999999996</c:v>
                </c:pt>
                <c:pt idx="683">
                  <c:v>660.93399999999997</c:v>
                </c:pt>
                <c:pt idx="684">
                  <c:v>664.79499999999996</c:v>
                </c:pt>
                <c:pt idx="685">
                  <c:v>665.93399999999997</c:v>
                </c:pt>
                <c:pt idx="686">
                  <c:v>663.58</c:v>
                </c:pt>
                <c:pt idx="687">
                  <c:v>653.22199999999998</c:v>
                </c:pt>
                <c:pt idx="688">
                  <c:v>659.46699999999998</c:v>
                </c:pt>
                <c:pt idx="689">
                  <c:v>646.20399999999995</c:v>
                </c:pt>
                <c:pt idx="690">
                  <c:v>646.04700000000003</c:v>
                </c:pt>
                <c:pt idx="691">
                  <c:v>645.34299999999996</c:v>
                </c:pt>
                <c:pt idx="692">
                  <c:v>594.28399999999999</c:v>
                </c:pt>
                <c:pt idx="693">
                  <c:v>597.13699999999994</c:v>
                </c:pt>
                <c:pt idx="694">
                  <c:v>597.13699999999994</c:v>
                </c:pt>
                <c:pt idx="695">
                  <c:v>575.93700000000001</c:v>
                </c:pt>
                <c:pt idx="696">
                  <c:v>559.16099999999994</c:v>
                </c:pt>
                <c:pt idx="697">
                  <c:v>559.37900000000002</c:v>
                </c:pt>
                <c:pt idx="698">
                  <c:v>540.73099999999999</c:v>
                </c:pt>
                <c:pt idx="699">
                  <c:v>538.96100000000001</c:v>
                </c:pt>
                <c:pt idx="700">
                  <c:v>526.41600000000005</c:v>
                </c:pt>
                <c:pt idx="701">
                  <c:v>515.06299999999999</c:v>
                </c:pt>
                <c:pt idx="702">
                  <c:v>516.48299999999995</c:v>
                </c:pt>
                <c:pt idx="703">
                  <c:v>500.05099999999999</c:v>
                </c:pt>
                <c:pt idx="704">
                  <c:v>504.03399999999999</c:v>
                </c:pt>
                <c:pt idx="705">
                  <c:v>502.26900000000001</c:v>
                </c:pt>
              </c:numCache>
            </c:numRef>
          </c:val>
          <c:smooth val="0"/>
          <c:extLst>
            <c:ext xmlns:c16="http://schemas.microsoft.com/office/drawing/2014/chart" uri="{C3380CC4-5D6E-409C-BE32-E72D297353CC}">
              <c16:uniqueId val="{00000005-7C05-4062-8901-959CCCC822C5}"/>
            </c:ext>
          </c:extLst>
        </c:ser>
        <c:ser>
          <c:idx val="6"/>
          <c:order val="6"/>
          <c:tx>
            <c:strRef>
              <c:f>Sheet1!$H$1</c:f>
              <c:strCache>
                <c:ptCount val="1"/>
                <c:pt idx="0">
                  <c:v>Ղազախստան (2025 թ.)</c:v>
                </c:pt>
              </c:strCache>
            </c:strRef>
          </c:tx>
          <c:spPr>
            <a:ln w="28575" cap="rnd">
              <a:solidFill>
                <a:schemeClr val="accent1">
                  <a:lumMod val="60000"/>
                </a:schemeClr>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Sheet1!$H$2:$H$707</c:f>
              <c:numCache>
                <c:formatCode>_(* #,##0_);_(* \(#,##0\);_(* "-"??_);_(@_)</c:formatCode>
                <c:ptCount val="706"/>
                <c:pt idx="0">
                  <c:v>142.02199999999999</c:v>
                </c:pt>
                <c:pt idx="1">
                  <c:v>147.65</c:v>
                </c:pt>
                <c:pt idx="2">
                  <c:v>145.41999999999999</c:v>
                </c:pt>
                <c:pt idx="3">
                  <c:v>144.89699999999999</c:v>
                </c:pt>
                <c:pt idx="4">
                  <c:v>135.917</c:v>
                </c:pt>
                <c:pt idx="5">
                  <c:v>129.06200000000001</c:v>
                </c:pt>
                <c:pt idx="6">
                  <c:v>124.55800000000001</c:v>
                </c:pt>
                <c:pt idx="7">
                  <c:v>124.38</c:v>
                </c:pt>
                <c:pt idx="8">
                  <c:v>118.393</c:v>
                </c:pt>
                <c:pt idx="9">
                  <c:v>121.194</c:v>
                </c:pt>
                <c:pt idx="10">
                  <c:v>118.187</c:v>
                </c:pt>
                <c:pt idx="11">
                  <c:v>109.827</c:v>
                </c:pt>
                <c:pt idx="12">
                  <c:v>111.08199999999999</c:v>
                </c:pt>
                <c:pt idx="13">
                  <c:v>105.51900000000001</c:v>
                </c:pt>
                <c:pt idx="14">
                  <c:v>105.51900000000001</c:v>
                </c:pt>
                <c:pt idx="15">
                  <c:v>103.28400000000001</c:v>
                </c:pt>
                <c:pt idx="16">
                  <c:v>104.27</c:v>
                </c:pt>
                <c:pt idx="17">
                  <c:v>104.559</c:v>
                </c:pt>
                <c:pt idx="18">
                  <c:v>105.71599999999999</c:v>
                </c:pt>
                <c:pt idx="19">
                  <c:v>103.61199999999999</c:v>
                </c:pt>
                <c:pt idx="20">
                  <c:v>110.607</c:v>
                </c:pt>
                <c:pt idx="21">
                  <c:v>113.61499999999999</c:v>
                </c:pt>
                <c:pt idx="22">
                  <c:v>113.90300000000001</c:v>
                </c:pt>
                <c:pt idx="23">
                  <c:v>115.167</c:v>
                </c:pt>
                <c:pt idx="24">
                  <c:v>110.88500000000001</c:v>
                </c:pt>
                <c:pt idx="25">
                  <c:v>109.913</c:v>
                </c:pt>
                <c:pt idx="26">
                  <c:v>110.374</c:v>
                </c:pt>
                <c:pt idx="27">
                  <c:v>112.486</c:v>
                </c:pt>
                <c:pt idx="28">
                  <c:v>117.02800000000001</c:v>
                </c:pt>
                <c:pt idx="29">
                  <c:v>117.267</c:v>
                </c:pt>
                <c:pt idx="30">
                  <c:v>114.59699999999999</c:v>
                </c:pt>
                <c:pt idx="31">
                  <c:v>115.33499999999999</c:v>
                </c:pt>
                <c:pt idx="32">
                  <c:v>111.955</c:v>
                </c:pt>
                <c:pt idx="33">
                  <c:v>112.508</c:v>
                </c:pt>
                <c:pt idx="34">
                  <c:v>112.508</c:v>
                </c:pt>
                <c:pt idx="35">
                  <c:v>110.679</c:v>
                </c:pt>
                <c:pt idx="36">
                  <c:v>113.06699999999999</c:v>
                </c:pt>
                <c:pt idx="37">
                  <c:v>110.7</c:v>
                </c:pt>
                <c:pt idx="38">
                  <c:v>112.837</c:v>
                </c:pt>
                <c:pt idx="39">
                  <c:v>112.366</c:v>
                </c:pt>
                <c:pt idx="40">
                  <c:v>114.003</c:v>
                </c:pt>
                <c:pt idx="41">
                  <c:v>116.712</c:v>
                </c:pt>
                <c:pt idx="42">
                  <c:v>111.441</c:v>
                </c:pt>
                <c:pt idx="43">
                  <c:v>106.773</c:v>
                </c:pt>
                <c:pt idx="44">
                  <c:v>106.51900000000001</c:v>
                </c:pt>
                <c:pt idx="45">
                  <c:v>107.15</c:v>
                </c:pt>
                <c:pt idx="46">
                  <c:v>106.958</c:v>
                </c:pt>
                <c:pt idx="47">
                  <c:v>108.99</c:v>
                </c:pt>
                <c:pt idx="48">
                  <c:v>114.842</c:v>
                </c:pt>
                <c:pt idx="49">
                  <c:v>113.074</c:v>
                </c:pt>
                <c:pt idx="50">
                  <c:v>109.30200000000001</c:v>
                </c:pt>
                <c:pt idx="51">
                  <c:v>111.71599999999999</c:v>
                </c:pt>
                <c:pt idx="52">
                  <c:v>109.16</c:v>
                </c:pt>
                <c:pt idx="53">
                  <c:v>110.036</c:v>
                </c:pt>
                <c:pt idx="54">
                  <c:v>111.80800000000001</c:v>
                </c:pt>
                <c:pt idx="55">
                  <c:v>110.61799999999999</c:v>
                </c:pt>
                <c:pt idx="56">
                  <c:v>114.65600000000001</c:v>
                </c:pt>
                <c:pt idx="57">
                  <c:v>113.57</c:v>
                </c:pt>
                <c:pt idx="58">
                  <c:v>116.456</c:v>
                </c:pt>
                <c:pt idx="59">
                  <c:v>121.274</c:v>
                </c:pt>
                <c:pt idx="60">
                  <c:v>123.759</c:v>
                </c:pt>
                <c:pt idx="61">
                  <c:v>130.57499999999999</c:v>
                </c:pt>
                <c:pt idx="62">
                  <c:v>126.88500000000001</c:v>
                </c:pt>
                <c:pt idx="63">
                  <c:v>120.264</c:v>
                </c:pt>
                <c:pt idx="64">
                  <c:v>113.58199999999999</c:v>
                </c:pt>
                <c:pt idx="65">
                  <c:v>112.53400000000001</c:v>
                </c:pt>
                <c:pt idx="66">
                  <c:v>108.542</c:v>
                </c:pt>
                <c:pt idx="67">
                  <c:v>110.423</c:v>
                </c:pt>
                <c:pt idx="68">
                  <c:v>106.18300000000001</c:v>
                </c:pt>
                <c:pt idx="69">
                  <c:v>108.001</c:v>
                </c:pt>
                <c:pt idx="70">
                  <c:v>104.798</c:v>
                </c:pt>
                <c:pt idx="71">
                  <c:v>105.46</c:v>
                </c:pt>
                <c:pt idx="72">
                  <c:v>107.754</c:v>
                </c:pt>
                <c:pt idx="73">
                  <c:v>102.173</c:v>
                </c:pt>
                <c:pt idx="74">
                  <c:v>98.382999999999996</c:v>
                </c:pt>
                <c:pt idx="75">
                  <c:v>97.605000000000004</c:v>
                </c:pt>
                <c:pt idx="76">
                  <c:v>91.061999999999998</c:v>
                </c:pt>
                <c:pt idx="77">
                  <c:v>96.048000000000002</c:v>
                </c:pt>
                <c:pt idx="78">
                  <c:v>96.048000000000002</c:v>
                </c:pt>
                <c:pt idx="79">
                  <c:v>92.802000000000007</c:v>
                </c:pt>
                <c:pt idx="80">
                  <c:v>93.054000000000002</c:v>
                </c:pt>
                <c:pt idx="81">
                  <c:v>96.995000000000005</c:v>
                </c:pt>
                <c:pt idx="82">
                  <c:v>96.861000000000004</c:v>
                </c:pt>
                <c:pt idx="83">
                  <c:v>92.718000000000004</c:v>
                </c:pt>
                <c:pt idx="84">
                  <c:v>91.88</c:v>
                </c:pt>
                <c:pt idx="85">
                  <c:v>88.825999999999993</c:v>
                </c:pt>
                <c:pt idx="86">
                  <c:v>89.028000000000006</c:v>
                </c:pt>
                <c:pt idx="87">
                  <c:v>83.962999999999994</c:v>
                </c:pt>
                <c:pt idx="88">
                  <c:v>83.635999999999996</c:v>
                </c:pt>
                <c:pt idx="89">
                  <c:v>91.613</c:v>
                </c:pt>
                <c:pt idx="90">
                  <c:v>90.945999999999998</c:v>
                </c:pt>
                <c:pt idx="91">
                  <c:v>94.463999999999999</c:v>
                </c:pt>
                <c:pt idx="92">
                  <c:v>94.966999999999999</c:v>
                </c:pt>
                <c:pt idx="93">
                  <c:v>93.650999999999996</c:v>
                </c:pt>
                <c:pt idx="94">
                  <c:v>96.162999999999997</c:v>
                </c:pt>
                <c:pt idx="95">
                  <c:v>99.652000000000001</c:v>
                </c:pt>
                <c:pt idx="96">
                  <c:v>102.693</c:v>
                </c:pt>
                <c:pt idx="97">
                  <c:v>103.568</c:v>
                </c:pt>
                <c:pt idx="98">
                  <c:v>103.649</c:v>
                </c:pt>
                <c:pt idx="99">
                  <c:v>101.23399999999999</c:v>
                </c:pt>
                <c:pt idx="100">
                  <c:v>99.778999999999996</c:v>
                </c:pt>
                <c:pt idx="101">
                  <c:v>98.783000000000001</c:v>
                </c:pt>
                <c:pt idx="102">
                  <c:v>106.973</c:v>
                </c:pt>
                <c:pt idx="103">
                  <c:v>110.123</c:v>
                </c:pt>
                <c:pt idx="104">
                  <c:v>110.123</c:v>
                </c:pt>
                <c:pt idx="105">
                  <c:v>114.384</c:v>
                </c:pt>
                <c:pt idx="106">
                  <c:v>120.693</c:v>
                </c:pt>
                <c:pt idx="107">
                  <c:v>116.675</c:v>
                </c:pt>
                <c:pt idx="108">
                  <c:v>130.72300000000001</c:v>
                </c:pt>
                <c:pt idx="109">
                  <c:v>140.732</c:v>
                </c:pt>
                <c:pt idx="110">
                  <c:v>143.85400000000001</c:v>
                </c:pt>
                <c:pt idx="111">
                  <c:v>137.76499999999999</c:v>
                </c:pt>
                <c:pt idx="112">
                  <c:v>136.48599999999999</c:v>
                </c:pt>
                <c:pt idx="113">
                  <c:v>121.708</c:v>
                </c:pt>
                <c:pt idx="114">
                  <c:v>111.857</c:v>
                </c:pt>
                <c:pt idx="115">
                  <c:v>106.15</c:v>
                </c:pt>
                <c:pt idx="116">
                  <c:v>112.175</c:v>
                </c:pt>
                <c:pt idx="117">
                  <c:v>113.974</c:v>
                </c:pt>
                <c:pt idx="118">
                  <c:v>120.79300000000001</c:v>
                </c:pt>
                <c:pt idx="119">
                  <c:v>114.256</c:v>
                </c:pt>
                <c:pt idx="120">
                  <c:v>114.961</c:v>
                </c:pt>
                <c:pt idx="121">
                  <c:v>96.703000000000003</c:v>
                </c:pt>
                <c:pt idx="122">
                  <c:v>93.25</c:v>
                </c:pt>
                <c:pt idx="123">
                  <c:v>92.662000000000006</c:v>
                </c:pt>
                <c:pt idx="124">
                  <c:v>96.596000000000004</c:v>
                </c:pt>
                <c:pt idx="125">
                  <c:v>99.382999999999996</c:v>
                </c:pt>
                <c:pt idx="126">
                  <c:v>99.742999999999995</c:v>
                </c:pt>
                <c:pt idx="127">
                  <c:v>97.003</c:v>
                </c:pt>
                <c:pt idx="128">
                  <c:v>94.492000000000004</c:v>
                </c:pt>
                <c:pt idx="129">
                  <c:v>91</c:v>
                </c:pt>
                <c:pt idx="130">
                  <c:v>89.674999999999997</c:v>
                </c:pt>
                <c:pt idx="131">
                  <c:v>92.457999999999998</c:v>
                </c:pt>
                <c:pt idx="132">
                  <c:v>92.457999999999998</c:v>
                </c:pt>
                <c:pt idx="133">
                  <c:v>90.727000000000004</c:v>
                </c:pt>
                <c:pt idx="134">
                  <c:v>88.661000000000001</c:v>
                </c:pt>
                <c:pt idx="135">
                  <c:v>87.826999999999998</c:v>
                </c:pt>
                <c:pt idx="136">
                  <c:v>88.114999999999995</c:v>
                </c:pt>
                <c:pt idx="137">
                  <c:v>92.320999999999998</c:v>
                </c:pt>
                <c:pt idx="138">
                  <c:v>86.021000000000001</c:v>
                </c:pt>
                <c:pt idx="139">
                  <c:v>88.900999999999996</c:v>
                </c:pt>
                <c:pt idx="140">
                  <c:v>90.658000000000001</c:v>
                </c:pt>
                <c:pt idx="141">
                  <c:v>90.039000000000001</c:v>
                </c:pt>
                <c:pt idx="142">
                  <c:v>95.58</c:v>
                </c:pt>
                <c:pt idx="143">
                  <c:v>98.721000000000004</c:v>
                </c:pt>
                <c:pt idx="144">
                  <c:v>97.834000000000003</c:v>
                </c:pt>
                <c:pt idx="145">
                  <c:v>97.126999999999995</c:v>
                </c:pt>
                <c:pt idx="146">
                  <c:v>98.203000000000003</c:v>
                </c:pt>
                <c:pt idx="147">
                  <c:v>98.146000000000001</c:v>
                </c:pt>
                <c:pt idx="148">
                  <c:v>95.108999999999995</c:v>
                </c:pt>
                <c:pt idx="149">
                  <c:v>94.718999999999994</c:v>
                </c:pt>
                <c:pt idx="150">
                  <c:v>96.24</c:v>
                </c:pt>
                <c:pt idx="151">
                  <c:v>96.305000000000007</c:v>
                </c:pt>
                <c:pt idx="152">
                  <c:v>96.771000000000001</c:v>
                </c:pt>
                <c:pt idx="153">
                  <c:v>117.22199999999999</c:v>
                </c:pt>
                <c:pt idx="154">
                  <c:v>125.024</c:v>
                </c:pt>
                <c:pt idx="155">
                  <c:v>129.739</c:v>
                </c:pt>
                <c:pt idx="156">
                  <c:v>134.67699999999999</c:v>
                </c:pt>
                <c:pt idx="157">
                  <c:v>128.66300000000001</c:v>
                </c:pt>
                <c:pt idx="158">
                  <c:v>129.05000000000001</c:v>
                </c:pt>
                <c:pt idx="159">
                  <c:v>128.80500000000001</c:v>
                </c:pt>
                <c:pt idx="160">
                  <c:v>132.518</c:v>
                </c:pt>
                <c:pt idx="161">
                  <c:v>128.18600000000001</c:v>
                </c:pt>
                <c:pt idx="162">
                  <c:v>135.13900000000001</c:v>
                </c:pt>
                <c:pt idx="163">
                  <c:v>135.441</c:v>
                </c:pt>
                <c:pt idx="164">
                  <c:v>130.934</c:v>
                </c:pt>
                <c:pt idx="165">
                  <c:v>134.536</c:v>
                </c:pt>
                <c:pt idx="166">
                  <c:v>132.34299999999999</c:v>
                </c:pt>
                <c:pt idx="167">
                  <c:v>130.31899999999999</c:v>
                </c:pt>
                <c:pt idx="168">
                  <c:v>122.202</c:v>
                </c:pt>
                <c:pt idx="169">
                  <c:v>140.40600000000001</c:v>
                </c:pt>
                <c:pt idx="170">
                  <c:v>131.96700000000001</c:v>
                </c:pt>
                <c:pt idx="171">
                  <c:v>129.85300000000001</c:v>
                </c:pt>
                <c:pt idx="172">
                  <c:v>126.14400000000001</c:v>
                </c:pt>
                <c:pt idx="173">
                  <c:v>120.858</c:v>
                </c:pt>
                <c:pt idx="174">
                  <c:v>120.858</c:v>
                </c:pt>
                <c:pt idx="175">
                  <c:v>116.184</c:v>
                </c:pt>
                <c:pt idx="176">
                  <c:v>113.27800000000001</c:v>
                </c:pt>
                <c:pt idx="177">
                  <c:v>102.57899999999999</c:v>
                </c:pt>
                <c:pt idx="178">
                  <c:v>97.129000000000005</c:v>
                </c:pt>
                <c:pt idx="179">
                  <c:v>96.781000000000006</c:v>
                </c:pt>
                <c:pt idx="180">
                  <c:v>96.727999999999994</c:v>
                </c:pt>
                <c:pt idx="181">
                  <c:v>96.745999999999995</c:v>
                </c:pt>
                <c:pt idx="182">
                  <c:v>93.367000000000004</c:v>
                </c:pt>
                <c:pt idx="183">
                  <c:v>89.784000000000006</c:v>
                </c:pt>
                <c:pt idx="184">
                  <c:v>90.724000000000004</c:v>
                </c:pt>
                <c:pt idx="185">
                  <c:v>91.933999999999997</c:v>
                </c:pt>
                <c:pt idx="186">
                  <c:v>94.57</c:v>
                </c:pt>
                <c:pt idx="187">
                  <c:v>94.591999999999999</c:v>
                </c:pt>
                <c:pt idx="188">
                  <c:v>93.015000000000001</c:v>
                </c:pt>
                <c:pt idx="189">
                  <c:v>95.572999999999993</c:v>
                </c:pt>
                <c:pt idx="190">
                  <c:v>92.534999999999997</c:v>
                </c:pt>
                <c:pt idx="191">
                  <c:v>103.34399999999999</c:v>
                </c:pt>
                <c:pt idx="192">
                  <c:v>105.866</c:v>
                </c:pt>
                <c:pt idx="193">
                  <c:v>104.122</c:v>
                </c:pt>
                <c:pt idx="194">
                  <c:v>107.672</c:v>
                </c:pt>
                <c:pt idx="195">
                  <c:v>105.04600000000001</c:v>
                </c:pt>
                <c:pt idx="196">
                  <c:v>119.22199999999999</c:v>
                </c:pt>
                <c:pt idx="197">
                  <c:v>122.226</c:v>
                </c:pt>
                <c:pt idx="198">
                  <c:v>125.637</c:v>
                </c:pt>
                <c:pt idx="199">
                  <c:v>121.128</c:v>
                </c:pt>
                <c:pt idx="200">
                  <c:v>121.172</c:v>
                </c:pt>
                <c:pt idx="201">
                  <c:v>122.88800000000001</c:v>
                </c:pt>
                <c:pt idx="202">
                  <c:v>120.443</c:v>
                </c:pt>
                <c:pt idx="203">
                  <c:v>112.85</c:v>
                </c:pt>
                <c:pt idx="204">
                  <c:v>112.85</c:v>
                </c:pt>
                <c:pt idx="205">
                  <c:v>109.023</c:v>
                </c:pt>
                <c:pt idx="206">
                  <c:v>105.76300000000001</c:v>
                </c:pt>
                <c:pt idx="207">
                  <c:v>99.861000000000004</c:v>
                </c:pt>
                <c:pt idx="208">
                  <c:v>101.10599999999999</c:v>
                </c:pt>
                <c:pt idx="209">
                  <c:v>101.008</c:v>
                </c:pt>
                <c:pt idx="210">
                  <c:v>100.002</c:v>
                </c:pt>
                <c:pt idx="211">
                  <c:v>102.008</c:v>
                </c:pt>
                <c:pt idx="212">
                  <c:v>98.513000000000005</c:v>
                </c:pt>
                <c:pt idx="213">
                  <c:v>98.227000000000004</c:v>
                </c:pt>
                <c:pt idx="214">
                  <c:v>94.057000000000002</c:v>
                </c:pt>
                <c:pt idx="215">
                  <c:v>95.903999999999996</c:v>
                </c:pt>
                <c:pt idx="216">
                  <c:v>95.997</c:v>
                </c:pt>
                <c:pt idx="217">
                  <c:v>99.989000000000004</c:v>
                </c:pt>
                <c:pt idx="218">
                  <c:v>103.913</c:v>
                </c:pt>
                <c:pt idx="219">
                  <c:v>96.516000000000005</c:v>
                </c:pt>
                <c:pt idx="220">
                  <c:v>90.539000000000001</c:v>
                </c:pt>
                <c:pt idx="221">
                  <c:v>88.784000000000006</c:v>
                </c:pt>
                <c:pt idx="222">
                  <c:v>85.537999999999997</c:v>
                </c:pt>
                <c:pt idx="223">
                  <c:v>81.98</c:v>
                </c:pt>
                <c:pt idx="224">
                  <c:v>81.98</c:v>
                </c:pt>
                <c:pt idx="225">
                  <c:v>81.194000000000003</c:v>
                </c:pt>
                <c:pt idx="226">
                  <c:v>86.608000000000004</c:v>
                </c:pt>
                <c:pt idx="227">
                  <c:v>90.034999999999997</c:v>
                </c:pt>
                <c:pt idx="228">
                  <c:v>86.355999999999995</c:v>
                </c:pt>
                <c:pt idx="229">
                  <c:v>85.603999999999999</c:v>
                </c:pt>
                <c:pt idx="230">
                  <c:v>85.244</c:v>
                </c:pt>
                <c:pt idx="231">
                  <c:v>93.558999999999997</c:v>
                </c:pt>
                <c:pt idx="232">
                  <c:v>86.097999999999999</c:v>
                </c:pt>
                <c:pt idx="233">
                  <c:v>84.852000000000004</c:v>
                </c:pt>
                <c:pt idx="234">
                  <c:v>80.691000000000003</c:v>
                </c:pt>
                <c:pt idx="235">
                  <c:v>83.531999999999996</c:v>
                </c:pt>
                <c:pt idx="236">
                  <c:v>81.792000000000002</c:v>
                </c:pt>
                <c:pt idx="237">
                  <c:v>81.792000000000002</c:v>
                </c:pt>
                <c:pt idx="238">
                  <c:v>77.106999999999999</c:v>
                </c:pt>
                <c:pt idx="239">
                  <c:v>72.149000000000001</c:v>
                </c:pt>
                <c:pt idx="240">
                  <c:v>73.872</c:v>
                </c:pt>
                <c:pt idx="241">
                  <c:v>79.948999999999998</c:v>
                </c:pt>
                <c:pt idx="242">
                  <c:v>75.296000000000006</c:v>
                </c:pt>
                <c:pt idx="243">
                  <c:v>72.5</c:v>
                </c:pt>
                <c:pt idx="244">
                  <c:v>68.856999999999999</c:v>
                </c:pt>
                <c:pt idx="245">
                  <c:v>65.343999999999994</c:v>
                </c:pt>
                <c:pt idx="246">
                  <c:v>62.505000000000003</c:v>
                </c:pt>
                <c:pt idx="247">
                  <c:v>61.738999999999997</c:v>
                </c:pt>
                <c:pt idx="248">
                  <c:v>53.234000000000002</c:v>
                </c:pt>
                <c:pt idx="249">
                  <c:v>57.143000000000001</c:v>
                </c:pt>
                <c:pt idx="250">
                  <c:v>54.381999999999998</c:v>
                </c:pt>
                <c:pt idx="251">
                  <c:v>52.497999999999998</c:v>
                </c:pt>
                <c:pt idx="252">
                  <c:v>47.658000000000001</c:v>
                </c:pt>
                <c:pt idx="253">
                  <c:v>47.387</c:v>
                </c:pt>
                <c:pt idx="254">
                  <c:v>48.947000000000003</c:v>
                </c:pt>
                <c:pt idx="255">
                  <c:v>46.155999999999999</c:v>
                </c:pt>
                <c:pt idx="256">
                  <c:v>46.155999999999999</c:v>
                </c:pt>
                <c:pt idx="257">
                  <c:v>47.651000000000003</c:v>
                </c:pt>
                <c:pt idx="258">
                  <c:v>49.615000000000002</c:v>
                </c:pt>
                <c:pt idx="259">
                  <c:v>47.500999999999998</c:v>
                </c:pt>
                <c:pt idx="260">
                  <c:v>48.935000000000002</c:v>
                </c:pt>
                <c:pt idx="261">
                  <c:v>48.935000000000002</c:v>
                </c:pt>
                <c:pt idx="262">
                  <c:v>45.301000000000002</c:v>
                </c:pt>
                <c:pt idx="263">
                  <c:v>53.616999999999997</c:v>
                </c:pt>
                <c:pt idx="264">
                  <c:v>56.494999999999997</c:v>
                </c:pt>
                <c:pt idx="265">
                  <c:v>54.387999999999998</c:v>
                </c:pt>
                <c:pt idx="266">
                  <c:v>54.639000000000003</c:v>
                </c:pt>
                <c:pt idx="267">
                  <c:v>47.170999999999999</c:v>
                </c:pt>
                <c:pt idx="268">
                  <c:v>48.273000000000003</c:v>
                </c:pt>
                <c:pt idx="269">
                  <c:v>48.356000000000002</c:v>
                </c:pt>
                <c:pt idx="270">
                  <c:v>48.234999999999999</c:v>
                </c:pt>
                <c:pt idx="271">
                  <c:v>50.801000000000002</c:v>
                </c:pt>
                <c:pt idx="272">
                  <c:v>49.453000000000003</c:v>
                </c:pt>
                <c:pt idx="273">
                  <c:v>47.921999999999997</c:v>
                </c:pt>
                <c:pt idx="274">
                  <c:v>47.921999999999997</c:v>
                </c:pt>
                <c:pt idx="275">
                  <c:v>49.485999999999997</c:v>
                </c:pt>
                <c:pt idx="276">
                  <c:v>52.497</c:v>
                </c:pt>
                <c:pt idx="277">
                  <c:v>56.387</c:v>
                </c:pt>
                <c:pt idx="278">
                  <c:v>57.948999999999998</c:v>
                </c:pt>
                <c:pt idx="279">
                  <c:v>71.040000000000006</c:v>
                </c:pt>
                <c:pt idx="280">
                  <c:v>75.036000000000001</c:v>
                </c:pt>
                <c:pt idx="281">
                  <c:v>70.875</c:v>
                </c:pt>
                <c:pt idx="282">
                  <c:v>73.662999999999997</c:v>
                </c:pt>
                <c:pt idx="283">
                  <c:v>72.793999999999997</c:v>
                </c:pt>
                <c:pt idx="284">
                  <c:v>76.534000000000006</c:v>
                </c:pt>
                <c:pt idx="285">
                  <c:v>72.072000000000003</c:v>
                </c:pt>
                <c:pt idx="286">
                  <c:v>68.153999999999996</c:v>
                </c:pt>
                <c:pt idx="287">
                  <c:v>66.849000000000004</c:v>
                </c:pt>
                <c:pt idx="288">
                  <c:v>69.349999999999994</c:v>
                </c:pt>
                <c:pt idx="289">
                  <c:v>72.183000000000007</c:v>
                </c:pt>
                <c:pt idx="290">
                  <c:v>70.724999999999994</c:v>
                </c:pt>
                <c:pt idx="291">
                  <c:v>66.754000000000005</c:v>
                </c:pt>
                <c:pt idx="292">
                  <c:v>68.731999999999999</c:v>
                </c:pt>
                <c:pt idx="293">
                  <c:v>66.959999999999994</c:v>
                </c:pt>
                <c:pt idx="294">
                  <c:v>66.959999999999994</c:v>
                </c:pt>
                <c:pt idx="295">
                  <c:v>69.135999999999996</c:v>
                </c:pt>
                <c:pt idx="296">
                  <c:v>67.108000000000004</c:v>
                </c:pt>
                <c:pt idx="297">
                  <c:v>65.497</c:v>
                </c:pt>
                <c:pt idx="298">
                  <c:v>68.411000000000001</c:v>
                </c:pt>
                <c:pt idx="299">
                  <c:v>77.718000000000004</c:v>
                </c:pt>
                <c:pt idx="300">
                  <c:v>78.64</c:v>
                </c:pt>
                <c:pt idx="301">
                  <c:v>82.715999999999994</c:v>
                </c:pt>
                <c:pt idx="302">
                  <c:v>87.992000000000004</c:v>
                </c:pt>
                <c:pt idx="303">
                  <c:v>114.45699999999999</c:v>
                </c:pt>
                <c:pt idx="304">
                  <c:v>124.90300000000001</c:v>
                </c:pt>
                <c:pt idx="305">
                  <c:v>108.443</c:v>
                </c:pt>
                <c:pt idx="306">
                  <c:v>124.065</c:v>
                </c:pt>
                <c:pt idx="307">
                  <c:v>115.30800000000001</c:v>
                </c:pt>
                <c:pt idx="308">
                  <c:v>127.96</c:v>
                </c:pt>
                <c:pt idx="309">
                  <c:v>181.91800000000001</c:v>
                </c:pt>
                <c:pt idx="310">
                  <c:v>166.619</c:v>
                </c:pt>
                <c:pt idx="311">
                  <c:v>167.02099999999999</c:v>
                </c:pt>
                <c:pt idx="312">
                  <c:v>187.79499999999999</c:v>
                </c:pt>
                <c:pt idx="313">
                  <c:v>198.59100000000001</c:v>
                </c:pt>
                <c:pt idx="314">
                  <c:v>199.81299999999999</c:v>
                </c:pt>
                <c:pt idx="315">
                  <c:v>222.71799999999999</c:v>
                </c:pt>
                <c:pt idx="316">
                  <c:v>241.886</c:v>
                </c:pt>
                <c:pt idx="317">
                  <c:v>300.64400000000001</c:v>
                </c:pt>
                <c:pt idx="318">
                  <c:v>321.04399999999998</c:v>
                </c:pt>
                <c:pt idx="319">
                  <c:v>360.77499999999998</c:v>
                </c:pt>
                <c:pt idx="320">
                  <c:v>367.14800000000002</c:v>
                </c:pt>
                <c:pt idx="321">
                  <c:v>338.29</c:v>
                </c:pt>
                <c:pt idx="322">
                  <c:v>334.63099999999997</c:v>
                </c:pt>
                <c:pt idx="323">
                  <c:v>296.38900000000001</c:v>
                </c:pt>
                <c:pt idx="324">
                  <c:v>305.68400000000003</c:v>
                </c:pt>
                <c:pt idx="325">
                  <c:v>298.33699999999999</c:v>
                </c:pt>
                <c:pt idx="326">
                  <c:v>297.178</c:v>
                </c:pt>
                <c:pt idx="327">
                  <c:v>285.62400000000002</c:v>
                </c:pt>
                <c:pt idx="328">
                  <c:v>265.262</c:v>
                </c:pt>
                <c:pt idx="329">
                  <c:v>235.523</c:v>
                </c:pt>
                <c:pt idx="330">
                  <c:v>211.34899999999999</c:v>
                </c:pt>
                <c:pt idx="331">
                  <c:v>200.804</c:v>
                </c:pt>
                <c:pt idx="332">
                  <c:v>202.91300000000001</c:v>
                </c:pt>
                <c:pt idx="333">
                  <c:v>202.91300000000001</c:v>
                </c:pt>
                <c:pt idx="334">
                  <c:v>197.70500000000001</c:v>
                </c:pt>
                <c:pt idx="335">
                  <c:v>198.12899999999999</c:v>
                </c:pt>
                <c:pt idx="336">
                  <c:v>202.13399999999999</c:v>
                </c:pt>
                <c:pt idx="337">
                  <c:v>206.315</c:v>
                </c:pt>
                <c:pt idx="338">
                  <c:v>204.03100000000001</c:v>
                </c:pt>
                <c:pt idx="339">
                  <c:v>204.14099999999999</c:v>
                </c:pt>
                <c:pt idx="340">
                  <c:v>220.50700000000001</c:v>
                </c:pt>
                <c:pt idx="341">
                  <c:v>239.69399999999999</c:v>
                </c:pt>
                <c:pt idx="342">
                  <c:v>240.20699999999999</c:v>
                </c:pt>
                <c:pt idx="343">
                  <c:v>239.166</c:v>
                </c:pt>
                <c:pt idx="344">
                  <c:v>237.87899999999999</c:v>
                </c:pt>
                <c:pt idx="345">
                  <c:v>236.60300000000001</c:v>
                </c:pt>
                <c:pt idx="346">
                  <c:v>239.96899999999999</c:v>
                </c:pt>
                <c:pt idx="347">
                  <c:v>235.09800000000001</c:v>
                </c:pt>
                <c:pt idx="348">
                  <c:v>235.19800000000001</c:v>
                </c:pt>
                <c:pt idx="349">
                  <c:v>236.02</c:v>
                </c:pt>
                <c:pt idx="350">
                  <c:v>229.249</c:v>
                </c:pt>
                <c:pt idx="351">
                  <c:v>218.21899999999999</c:v>
                </c:pt>
                <c:pt idx="352">
                  <c:v>214.03899999999999</c:v>
                </c:pt>
                <c:pt idx="353">
                  <c:v>216.52500000000001</c:v>
                </c:pt>
                <c:pt idx="354">
                  <c:v>208.07400000000001</c:v>
                </c:pt>
                <c:pt idx="355">
                  <c:v>200.898</c:v>
                </c:pt>
                <c:pt idx="356">
                  <c:v>195.81399999999999</c:v>
                </c:pt>
                <c:pt idx="357">
                  <c:v>196.45699999999999</c:v>
                </c:pt>
                <c:pt idx="358">
                  <c:v>190.24100000000001</c:v>
                </c:pt>
                <c:pt idx="359">
                  <c:v>179.51599999999999</c:v>
                </c:pt>
                <c:pt idx="360">
                  <c:v>166.78100000000001</c:v>
                </c:pt>
                <c:pt idx="361">
                  <c:v>160.42599999999999</c:v>
                </c:pt>
                <c:pt idx="362">
                  <c:v>155.422</c:v>
                </c:pt>
                <c:pt idx="363">
                  <c:v>154.36799999999999</c:v>
                </c:pt>
                <c:pt idx="364">
                  <c:v>154.36799999999999</c:v>
                </c:pt>
                <c:pt idx="365">
                  <c:v>146.41800000000001</c:v>
                </c:pt>
                <c:pt idx="366">
                  <c:v>143.99100000000001</c:v>
                </c:pt>
                <c:pt idx="367">
                  <c:v>143.71</c:v>
                </c:pt>
                <c:pt idx="368">
                  <c:v>142.203</c:v>
                </c:pt>
                <c:pt idx="369">
                  <c:v>142.083</c:v>
                </c:pt>
                <c:pt idx="370">
                  <c:v>139.56899999999999</c:v>
                </c:pt>
                <c:pt idx="371">
                  <c:v>126.693</c:v>
                </c:pt>
                <c:pt idx="372">
                  <c:v>117.367</c:v>
                </c:pt>
                <c:pt idx="373">
                  <c:v>109.55800000000001</c:v>
                </c:pt>
                <c:pt idx="374">
                  <c:v>104.717</c:v>
                </c:pt>
                <c:pt idx="375">
                  <c:v>109.398</c:v>
                </c:pt>
                <c:pt idx="376">
                  <c:v>113.426</c:v>
                </c:pt>
                <c:pt idx="377">
                  <c:v>123.154</c:v>
                </c:pt>
                <c:pt idx="378">
                  <c:v>128.21899999999999</c:v>
                </c:pt>
                <c:pt idx="379">
                  <c:v>136.84</c:v>
                </c:pt>
                <c:pt idx="380">
                  <c:v>132.05799999999999</c:v>
                </c:pt>
                <c:pt idx="381">
                  <c:v>131.982</c:v>
                </c:pt>
                <c:pt idx="382">
                  <c:v>132.334</c:v>
                </c:pt>
                <c:pt idx="383">
                  <c:v>131.589</c:v>
                </c:pt>
                <c:pt idx="384">
                  <c:v>132.57300000000001</c:v>
                </c:pt>
                <c:pt idx="385">
                  <c:v>130.17500000000001</c:v>
                </c:pt>
                <c:pt idx="386">
                  <c:v>130.36699999999999</c:v>
                </c:pt>
                <c:pt idx="387">
                  <c:v>138.19900000000001</c:v>
                </c:pt>
                <c:pt idx="388">
                  <c:v>137.68299999999999</c:v>
                </c:pt>
                <c:pt idx="389">
                  <c:v>140.22499999999999</c:v>
                </c:pt>
                <c:pt idx="390">
                  <c:v>143.16900000000001</c:v>
                </c:pt>
                <c:pt idx="391">
                  <c:v>140.41399999999999</c:v>
                </c:pt>
                <c:pt idx="392">
                  <c:v>137.74600000000001</c:v>
                </c:pt>
                <c:pt idx="393">
                  <c:v>137.74600000000001</c:v>
                </c:pt>
                <c:pt idx="394">
                  <c:v>135.72999999999999</c:v>
                </c:pt>
                <c:pt idx="395">
                  <c:v>136.06800000000001</c:v>
                </c:pt>
                <c:pt idx="396">
                  <c:v>136.15700000000001</c:v>
                </c:pt>
                <c:pt idx="397">
                  <c:v>134.61600000000001</c:v>
                </c:pt>
                <c:pt idx="398">
                  <c:v>135.715</c:v>
                </c:pt>
                <c:pt idx="399">
                  <c:v>132.63</c:v>
                </c:pt>
                <c:pt idx="400">
                  <c:v>133.79</c:v>
                </c:pt>
                <c:pt idx="401">
                  <c:v>132.66200000000001</c:v>
                </c:pt>
                <c:pt idx="402">
                  <c:v>131.42699999999999</c:v>
                </c:pt>
                <c:pt idx="403">
                  <c:v>131.87100000000001</c:v>
                </c:pt>
                <c:pt idx="404">
                  <c:v>130.06299999999999</c:v>
                </c:pt>
                <c:pt idx="405">
                  <c:v>128.79400000000001</c:v>
                </c:pt>
                <c:pt idx="406">
                  <c:v>130.04300000000001</c:v>
                </c:pt>
                <c:pt idx="407">
                  <c:v>129.10900000000001</c:v>
                </c:pt>
                <c:pt idx="408">
                  <c:v>129.54599999999999</c:v>
                </c:pt>
                <c:pt idx="409">
                  <c:v>130.80099999999999</c:v>
                </c:pt>
                <c:pt idx="410">
                  <c:v>127.736</c:v>
                </c:pt>
                <c:pt idx="411">
                  <c:v>127.53400000000001</c:v>
                </c:pt>
                <c:pt idx="412">
                  <c:v>127.92700000000001</c:v>
                </c:pt>
                <c:pt idx="413">
                  <c:v>128.88900000000001</c:v>
                </c:pt>
                <c:pt idx="414">
                  <c:v>124.795</c:v>
                </c:pt>
                <c:pt idx="415">
                  <c:v>121.274</c:v>
                </c:pt>
                <c:pt idx="416">
                  <c:v>112.955</c:v>
                </c:pt>
                <c:pt idx="417">
                  <c:v>105.84399999999999</c:v>
                </c:pt>
                <c:pt idx="418">
                  <c:v>99.481999999999999</c:v>
                </c:pt>
                <c:pt idx="419">
                  <c:v>94.936000000000007</c:v>
                </c:pt>
                <c:pt idx="420">
                  <c:v>87.843999999999994</c:v>
                </c:pt>
                <c:pt idx="421">
                  <c:v>86.093000000000004</c:v>
                </c:pt>
                <c:pt idx="422">
                  <c:v>87.323999999999998</c:v>
                </c:pt>
                <c:pt idx="423">
                  <c:v>88.262</c:v>
                </c:pt>
                <c:pt idx="424">
                  <c:v>89.828999999999994</c:v>
                </c:pt>
                <c:pt idx="425">
                  <c:v>97.221999999999994</c:v>
                </c:pt>
                <c:pt idx="426">
                  <c:v>100.393</c:v>
                </c:pt>
                <c:pt idx="427">
                  <c:v>102.435</c:v>
                </c:pt>
                <c:pt idx="428">
                  <c:v>108.33799999999999</c:v>
                </c:pt>
                <c:pt idx="429">
                  <c:v>109.828</c:v>
                </c:pt>
                <c:pt idx="430">
                  <c:v>107.05500000000001</c:v>
                </c:pt>
                <c:pt idx="431">
                  <c:v>106.378</c:v>
                </c:pt>
                <c:pt idx="432">
                  <c:v>109.06100000000001</c:v>
                </c:pt>
                <c:pt idx="433">
                  <c:v>108.462</c:v>
                </c:pt>
                <c:pt idx="434">
                  <c:v>107.84099999999999</c:v>
                </c:pt>
                <c:pt idx="435">
                  <c:v>108.248</c:v>
                </c:pt>
                <c:pt idx="436">
                  <c:v>103.581</c:v>
                </c:pt>
                <c:pt idx="437">
                  <c:v>102.018</c:v>
                </c:pt>
                <c:pt idx="438">
                  <c:v>104.887</c:v>
                </c:pt>
                <c:pt idx="439">
                  <c:v>104.887</c:v>
                </c:pt>
                <c:pt idx="440">
                  <c:v>107.74299999999999</c:v>
                </c:pt>
                <c:pt idx="441">
                  <c:v>111.872</c:v>
                </c:pt>
                <c:pt idx="442">
                  <c:v>111.342</c:v>
                </c:pt>
                <c:pt idx="443">
                  <c:v>111.148</c:v>
                </c:pt>
                <c:pt idx="444">
                  <c:v>114.148</c:v>
                </c:pt>
                <c:pt idx="445">
                  <c:v>114.52</c:v>
                </c:pt>
                <c:pt idx="446">
                  <c:v>112.648</c:v>
                </c:pt>
                <c:pt idx="447">
                  <c:v>114.01600000000001</c:v>
                </c:pt>
                <c:pt idx="448">
                  <c:v>114.342</c:v>
                </c:pt>
                <c:pt idx="449">
                  <c:v>117.898</c:v>
                </c:pt>
                <c:pt idx="450">
                  <c:v>122.917</c:v>
                </c:pt>
                <c:pt idx="451">
                  <c:v>124.166</c:v>
                </c:pt>
                <c:pt idx="452">
                  <c:v>129.93199999999999</c:v>
                </c:pt>
                <c:pt idx="453">
                  <c:v>131.83000000000001</c:v>
                </c:pt>
                <c:pt idx="454">
                  <c:v>132.297</c:v>
                </c:pt>
                <c:pt idx="455">
                  <c:v>134.72300000000001</c:v>
                </c:pt>
                <c:pt idx="456">
                  <c:v>134.375</c:v>
                </c:pt>
                <c:pt idx="457">
                  <c:v>130.66200000000001</c:v>
                </c:pt>
                <c:pt idx="458">
                  <c:v>131.54499999999999</c:v>
                </c:pt>
                <c:pt idx="459">
                  <c:v>128.89400000000001</c:v>
                </c:pt>
                <c:pt idx="460">
                  <c:v>125.83799999999999</c:v>
                </c:pt>
                <c:pt idx="461">
                  <c:v>121.32599999999999</c:v>
                </c:pt>
                <c:pt idx="462">
                  <c:v>118.604</c:v>
                </c:pt>
                <c:pt idx="463">
                  <c:v>118.38</c:v>
                </c:pt>
                <c:pt idx="464">
                  <c:v>118.38</c:v>
                </c:pt>
                <c:pt idx="465">
                  <c:v>116.65300000000001</c:v>
                </c:pt>
                <c:pt idx="466">
                  <c:v>119.134</c:v>
                </c:pt>
                <c:pt idx="467">
                  <c:v>120.236</c:v>
                </c:pt>
                <c:pt idx="468">
                  <c:v>117.883</c:v>
                </c:pt>
                <c:pt idx="469">
                  <c:v>114.654</c:v>
                </c:pt>
                <c:pt idx="470">
                  <c:v>114.10899999999999</c:v>
                </c:pt>
                <c:pt idx="471">
                  <c:v>112.684</c:v>
                </c:pt>
                <c:pt idx="472">
                  <c:v>112.685</c:v>
                </c:pt>
                <c:pt idx="473">
                  <c:v>111.125</c:v>
                </c:pt>
                <c:pt idx="474">
                  <c:v>114.446</c:v>
                </c:pt>
                <c:pt idx="475">
                  <c:v>116.21</c:v>
                </c:pt>
                <c:pt idx="476">
                  <c:v>118.61</c:v>
                </c:pt>
                <c:pt idx="477">
                  <c:v>115.642</c:v>
                </c:pt>
                <c:pt idx="478">
                  <c:v>113.09</c:v>
                </c:pt>
                <c:pt idx="479">
                  <c:v>111.57299999999999</c:v>
                </c:pt>
                <c:pt idx="480">
                  <c:v>109.11799999999999</c:v>
                </c:pt>
                <c:pt idx="481">
                  <c:v>109.351</c:v>
                </c:pt>
                <c:pt idx="482">
                  <c:v>104.41500000000001</c:v>
                </c:pt>
                <c:pt idx="483">
                  <c:v>98.548000000000002</c:v>
                </c:pt>
                <c:pt idx="484">
                  <c:v>96.578000000000003</c:v>
                </c:pt>
                <c:pt idx="485">
                  <c:v>88.146000000000001</c:v>
                </c:pt>
                <c:pt idx="486">
                  <c:v>88.146000000000001</c:v>
                </c:pt>
                <c:pt idx="487">
                  <c:v>87.149000000000001</c:v>
                </c:pt>
                <c:pt idx="488">
                  <c:v>88.054000000000002</c:v>
                </c:pt>
                <c:pt idx="489">
                  <c:v>88.754999999999995</c:v>
                </c:pt>
                <c:pt idx="490">
                  <c:v>84.4</c:v>
                </c:pt>
                <c:pt idx="491">
                  <c:v>84.921999999999997</c:v>
                </c:pt>
                <c:pt idx="492">
                  <c:v>82.188999999999993</c:v>
                </c:pt>
                <c:pt idx="493">
                  <c:v>80.911000000000001</c:v>
                </c:pt>
                <c:pt idx="494">
                  <c:v>79.727000000000004</c:v>
                </c:pt>
                <c:pt idx="495">
                  <c:v>77.521000000000001</c:v>
                </c:pt>
                <c:pt idx="496">
                  <c:v>74.38</c:v>
                </c:pt>
                <c:pt idx="497">
                  <c:v>74.38</c:v>
                </c:pt>
                <c:pt idx="498">
                  <c:v>73.734999999999999</c:v>
                </c:pt>
                <c:pt idx="499">
                  <c:v>73.917000000000002</c:v>
                </c:pt>
                <c:pt idx="500">
                  <c:v>74.662000000000006</c:v>
                </c:pt>
                <c:pt idx="501">
                  <c:v>72.19</c:v>
                </c:pt>
                <c:pt idx="502">
                  <c:v>71.730999999999995</c:v>
                </c:pt>
                <c:pt idx="503">
                  <c:v>68.771000000000001</c:v>
                </c:pt>
                <c:pt idx="504">
                  <c:v>67.897999999999996</c:v>
                </c:pt>
                <c:pt idx="505">
                  <c:v>69.400000000000006</c:v>
                </c:pt>
                <c:pt idx="506">
                  <c:v>67.522000000000006</c:v>
                </c:pt>
                <c:pt idx="507">
                  <c:v>66.903000000000006</c:v>
                </c:pt>
                <c:pt idx="508">
                  <c:v>69.477000000000004</c:v>
                </c:pt>
                <c:pt idx="509">
                  <c:v>69.521000000000001</c:v>
                </c:pt>
                <c:pt idx="510">
                  <c:v>69.436999999999998</c:v>
                </c:pt>
                <c:pt idx="511">
                  <c:v>67.912000000000006</c:v>
                </c:pt>
                <c:pt idx="512">
                  <c:v>65.847999999999999</c:v>
                </c:pt>
                <c:pt idx="513">
                  <c:v>61.572000000000003</c:v>
                </c:pt>
                <c:pt idx="514">
                  <c:v>64.087000000000003</c:v>
                </c:pt>
                <c:pt idx="515">
                  <c:v>62.383000000000003</c:v>
                </c:pt>
                <c:pt idx="516">
                  <c:v>60.668999999999997</c:v>
                </c:pt>
                <c:pt idx="517">
                  <c:v>58.536000000000001</c:v>
                </c:pt>
                <c:pt idx="518">
                  <c:v>58.536000000000001</c:v>
                </c:pt>
                <c:pt idx="519">
                  <c:v>58.978000000000002</c:v>
                </c:pt>
                <c:pt idx="520">
                  <c:v>58.753</c:v>
                </c:pt>
                <c:pt idx="521">
                  <c:v>56.701999999999998</c:v>
                </c:pt>
                <c:pt idx="522">
                  <c:v>57.195999999999998</c:v>
                </c:pt>
                <c:pt idx="523">
                  <c:v>57.195999999999998</c:v>
                </c:pt>
                <c:pt idx="524">
                  <c:v>57.198999999999998</c:v>
                </c:pt>
                <c:pt idx="525">
                  <c:v>55.292999999999999</c:v>
                </c:pt>
                <c:pt idx="526">
                  <c:v>52.533000000000001</c:v>
                </c:pt>
                <c:pt idx="527">
                  <c:v>53.02</c:v>
                </c:pt>
                <c:pt idx="528">
                  <c:v>50.054000000000002</c:v>
                </c:pt>
                <c:pt idx="529">
                  <c:v>49.066000000000003</c:v>
                </c:pt>
                <c:pt idx="530">
                  <c:v>46.808999999999997</c:v>
                </c:pt>
                <c:pt idx="531">
                  <c:v>47.017000000000003</c:v>
                </c:pt>
                <c:pt idx="532">
                  <c:v>47.933</c:v>
                </c:pt>
                <c:pt idx="533">
                  <c:v>48.155999999999999</c:v>
                </c:pt>
                <c:pt idx="534">
                  <c:v>48.155999999999999</c:v>
                </c:pt>
                <c:pt idx="535">
                  <c:v>48.978000000000002</c:v>
                </c:pt>
                <c:pt idx="536">
                  <c:v>49.531999999999996</c:v>
                </c:pt>
                <c:pt idx="537">
                  <c:v>48.883000000000003</c:v>
                </c:pt>
                <c:pt idx="538">
                  <c:v>49.41</c:v>
                </c:pt>
                <c:pt idx="539">
                  <c:v>49.908999999999999</c:v>
                </c:pt>
                <c:pt idx="540">
                  <c:v>50.834000000000003</c:v>
                </c:pt>
                <c:pt idx="541">
                  <c:v>49.695999999999998</c:v>
                </c:pt>
                <c:pt idx="542">
                  <c:v>50.076000000000001</c:v>
                </c:pt>
                <c:pt idx="543">
                  <c:v>47.902999999999999</c:v>
                </c:pt>
                <c:pt idx="544">
                  <c:v>46.991999999999997</c:v>
                </c:pt>
                <c:pt idx="545">
                  <c:v>45.712000000000003</c:v>
                </c:pt>
                <c:pt idx="546">
                  <c:v>43.91</c:v>
                </c:pt>
                <c:pt idx="547">
                  <c:v>42.734999999999999</c:v>
                </c:pt>
                <c:pt idx="548">
                  <c:v>41.9</c:v>
                </c:pt>
                <c:pt idx="549">
                  <c:v>40.58</c:v>
                </c:pt>
                <c:pt idx="550">
                  <c:v>42.098999999999997</c:v>
                </c:pt>
                <c:pt idx="551">
                  <c:v>41.384</c:v>
                </c:pt>
                <c:pt idx="552">
                  <c:v>42.722999999999999</c:v>
                </c:pt>
                <c:pt idx="553">
                  <c:v>41.524000000000001</c:v>
                </c:pt>
                <c:pt idx="554">
                  <c:v>41.524000000000001</c:v>
                </c:pt>
                <c:pt idx="555">
                  <c:v>38.713000000000001</c:v>
                </c:pt>
                <c:pt idx="556">
                  <c:v>39.610999999999997</c:v>
                </c:pt>
                <c:pt idx="557">
                  <c:v>41.718000000000004</c:v>
                </c:pt>
                <c:pt idx="558">
                  <c:v>40.942999999999998</c:v>
                </c:pt>
                <c:pt idx="559">
                  <c:v>40.549999999999997</c:v>
                </c:pt>
                <c:pt idx="560">
                  <c:v>42.756999999999998</c:v>
                </c:pt>
                <c:pt idx="561">
                  <c:v>42.895000000000003</c:v>
                </c:pt>
                <c:pt idx="562">
                  <c:v>39.167000000000002</c:v>
                </c:pt>
                <c:pt idx="563">
                  <c:v>38.064</c:v>
                </c:pt>
                <c:pt idx="564">
                  <c:v>42.658999999999999</c:v>
                </c:pt>
                <c:pt idx="565">
                  <c:v>43.161000000000001</c:v>
                </c:pt>
                <c:pt idx="566">
                  <c:v>43.213000000000001</c:v>
                </c:pt>
                <c:pt idx="567">
                  <c:v>42.975999999999999</c:v>
                </c:pt>
                <c:pt idx="568">
                  <c:v>44.689</c:v>
                </c:pt>
                <c:pt idx="569">
                  <c:v>44.98</c:v>
                </c:pt>
                <c:pt idx="570">
                  <c:v>50.921999999999997</c:v>
                </c:pt>
                <c:pt idx="571">
                  <c:v>48.28</c:v>
                </c:pt>
                <c:pt idx="572">
                  <c:v>50.273000000000003</c:v>
                </c:pt>
                <c:pt idx="573">
                  <c:v>45.24</c:v>
                </c:pt>
                <c:pt idx="574">
                  <c:v>45.478999999999999</c:v>
                </c:pt>
                <c:pt idx="575">
                  <c:v>45.570999999999998</c:v>
                </c:pt>
                <c:pt idx="576">
                  <c:v>43.823999999999998</c:v>
                </c:pt>
                <c:pt idx="577">
                  <c:v>44.732999999999997</c:v>
                </c:pt>
                <c:pt idx="578">
                  <c:v>44.594999999999999</c:v>
                </c:pt>
                <c:pt idx="579">
                  <c:v>43.363999999999997</c:v>
                </c:pt>
                <c:pt idx="580">
                  <c:v>43.976999999999997</c:v>
                </c:pt>
                <c:pt idx="581">
                  <c:v>43.68</c:v>
                </c:pt>
                <c:pt idx="582">
                  <c:v>42.332999999999998</c:v>
                </c:pt>
                <c:pt idx="583">
                  <c:v>39.875</c:v>
                </c:pt>
                <c:pt idx="584">
                  <c:v>40.417000000000002</c:v>
                </c:pt>
                <c:pt idx="585">
                  <c:v>35.654000000000003</c:v>
                </c:pt>
                <c:pt idx="586">
                  <c:v>35.594999999999999</c:v>
                </c:pt>
                <c:pt idx="587">
                  <c:v>32.609000000000002</c:v>
                </c:pt>
                <c:pt idx="588">
                  <c:v>33.381</c:v>
                </c:pt>
                <c:pt idx="589">
                  <c:v>27.370999999999999</c:v>
                </c:pt>
                <c:pt idx="590">
                  <c:v>29.170999999999999</c:v>
                </c:pt>
                <c:pt idx="591">
                  <c:v>33.545999999999999</c:v>
                </c:pt>
                <c:pt idx="592">
                  <c:v>33.334000000000003</c:v>
                </c:pt>
                <c:pt idx="593">
                  <c:v>30.911000000000001</c:v>
                </c:pt>
                <c:pt idx="594">
                  <c:v>31.454999999999998</c:v>
                </c:pt>
                <c:pt idx="595">
                  <c:v>31.166</c:v>
                </c:pt>
                <c:pt idx="596">
                  <c:v>32.314999999999998</c:v>
                </c:pt>
                <c:pt idx="597">
                  <c:v>32.652000000000001</c:v>
                </c:pt>
                <c:pt idx="598">
                  <c:v>32.219000000000001</c:v>
                </c:pt>
                <c:pt idx="599">
                  <c:v>32.478999999999999</c:v>
                </c:pt>
                <c:pt idx="600">
                  <c:v>33.476999999999997</c:v>
                </c:pt>
                <c:pt idx="601">
                  <c:v>33.930999999999997</c:v>
                </c:pt>
                <c:pt idx="602">
                  <c:v>33.11</c:v>
                </c:pt>
                <c:pt idx="603">
                  <c:v>32.451999999999998</c:v>
                </c:pt>
                <c:pt idx="604">
                  <c:v>29.343</c:v>
                </c:pt>
                <c:pt idx="605">
                  <c:v>28.963999999999999</c:v>
                </c:pt>
                <c:pt idx="606">
                  <c:v>26.401</c:v>
                </c:pt>
                <c:pt idx="607">
                  <c:v>26.02</c:v>
                </c:pt>
                <c:pt idx="608">
                  <c:v>28.013999999999999</c:v>
                </c:pt>
                <c:pt idx="609">
                  <c:v>26.853000000000002</c:v>
                </c:pt>
                <c:pt idx="610">
                  <c:v>29.091999999999999</c:v>
                </c:pt>
                <c:pt idx="611">
                  <c:v>28.963999999999999</c:v>
                </c:pt>
                <c:pt idx="612">
                  <c:v>29.317</c:v>
                </c:pt>
                <c:pt idx="613">
                  <c:v>27.242000000000001</c:v>
                </c:pt>
                <c:pt idx="614">
                  <c:v>30.472000000000001</c:v>
                </c:pt>
                <c:pt idx="615">
                  <c:v>29.855</c:v>
                </c:pt>
                <c:pt idx="616">
                  <c:v>30.245000000000001</c:v>
                </c:pt>
                <c:pt idx="617">
                  <c:v>29.056999999999999</c:v>
                </c:pt>
                <c:pt idx="618">
                  <c:v>32.417000000000002</c:v>
                </c:pt>
                <c:pt idx="619">
                  <c:v>29.914000000000001</c:v>
                </c:pt>
                <c:pt idx="620">
                  <c:v>31.753</c:v>
                </c:pt>
                <c:pt idx="621">
                  <c:v>32.433999999999997</c:v>
                </c:pt>
                <c:pt idx="622">
                  <c:v>31.692</c:v>
                </c:pt>
                <c:pt idx="623">
                  <c:v>33.122999999999998</c:v>
                </c:pt>
                <c:pt idx="624">
                  <c:v>33.023000000000003</c:v>
                </c:pt>
                <c:pt idx="625">
                  <c:v>34.206000000000003</c:v>
                </c:pt>
                <c:pt idx="626">
                  <c:v>36.378</c:v>
                </c:pt>
                <c:pt idx="627">
                  <c:v>34.216000000000001</c:v>
                </c:pt>
                <c:pt idx="628">
                  <c:v>32.423999999999999</c:v>
                </c:pt>
                <c:pt idx="629">
                  <c:v>32.423999999999999</c:v>
                </c:pt>
                <c:pt idx="630">
                  <c:v>31.969000000000001</c:v>
                </c:pt>
                <c:pt idx="631">
                  <c:v>32.137999999999998</c:v>
                </c:pt>
                <c:pt idx="632">
                  <c:v>31.266999999999999</c:v>
                </c:pt>
                <c:pt idx="633">
                  <c:v>29.584</c:v>
                </c:pt>
                <c:pt idx="634">
                  <c:v>31.978000000000002</c:v>
                </c:pt>
                <c:pt idx="635">
                  <c:v>33.979999999999997</c:v>
                </c:pt>
                <c:pt idx="636">
                  <c:v>35.290999999999997</c:v>
                </c:pt>
                <c:pt idx="637">
                  <c:v>33.488</c:v>
                </c:pt>
                <c:pt idx="638">
                  <c:v>34.514000000000003</c:v>
                </c:pt>
                <c:pt idx="639">
                  <c:v>30.736999999999998</c:v>
                </c:pt>
                <c:pt idx="640">
                  <c:v>29.914999999999999</c:v>
                </c:pt>
                <c:pt idx="641">
                  <c:v>31.501999999999999</c:v>
                </c:pt>
                <c:pt idx="642">
                  <c:v>26.67</c:v>
                </c:pt>
                <c:pt idx="643">
                  <c:v>24.609000000000002</c:v>
                </c:pt>
                <c:pt idx="644">
                  <c:v>21.1</c:v>
                </c:pt>
                <c:pt idx="645">
                  <c:v>22.695</c:v>
                </c:pt>
                <c:pt idx="646">
                  <c:v>23.779</c:v>
                </c:pt>
                <c:pt idx="647">
                  <c:v>20.286999999999999</c:v>
                </c:pt>
                <c:pt idx="648">
                  <c:v>19.259</c:v>
                </c:pt>
                <c:pt idx="649">
                  <c:v>17.794</c:v>
                </c:pt>
                <c:pt idx="650">
                  <c:v>18.856000000000002</c:v>
                </c:pt>
                <c:pt idx="651">
                  <c:v>20.248000000000001</c:v>
                </c:pt>
                <c:pt idx="652">
                  <c:v>18.201000000000001</c:v>
                </c:pt>
                <c:pt idx="653">
                  <c:v>18.202999999999999</c:v>
                </c:pt>
                <c:pt idx="654">
                  <c:v>18.202999999999999</c:v>
                </c:pt>
                <c:pt idx="655">
                  <c:v>23.132000000000001</c:v>
                </c:pt>
                <c:pt idx="656">
                  <c:v>25.064</c:v>
                </c:pt>
                <c:pt idx="657">
                  <c:v>30.154</c:v>
                </c:pt>
                <c:pt idx="658">
                  <c:v>27.076000000000001</c:v>
                </c:pt>
                <c:pt idx="659">
                  <c:v>26.876999999999999</c:v>
                </c:pt>
                <c:pt idx="660">
                  <c:v>24.93</c:v>
                </c:pt>
                <c:pt idx="661">
                  <c:v>22.010999999999999</c:v>
                </c:pt>
                <c:pt idx="662">
                  <c:v>25.763999999999999</c:v>
                </c:pt>
                <c:pt idx="663">
                  <c:v>23.003</c:v>
                </c:pt>
                <c:pt idx="664">
                  <c:v>26.995000000000001</c:v>
                </c:pt>
                <c:pt idx="665">
                  <c:v>36.423000000000002</c:v>
                </c:pt>
                <c:pt idx="666">
                  <c:v>33.255000000000003</c:v>
                </c:pt>
                <c:pt idx="667">
                  <c:v>29.027000000000001</c:v>
                </c:pt>
                <c:pt idx="668">
                  <c:v>29.861999999999998</c:v>
                </c:pt>
                <c:pt idx="669">
                  <c:v>31.908999999999999</c:v>
                </c:pt>
                <c:pt idx="670">
                  <c:v>31.016999999999999</c:v>
                </c:pt>
                <c:pt idx="671">
                  <c:v>31.376999999999999</c:v>
                </c:pt>
                <c:pt idx="672">
                  <c:v>28.106000000000002</c:v>
                </c:pt>
                <c:pt idx="673">
                  <c:v>30.553999999999998</c:v>
                </c:pt>
                <c:pt idx="674">
                  <c:v>32.680999999999997</c:v>
                </c:pt>
                <c:pt idx="675">
                  <c:v>34.026000000000003</c:v>
                </c:pt>
                <c:pt idx="676">
                  <c:v>34.752000000000002</c:v>
                </c:pt>
                <c:pt idx="677">
                  <c:v>30.89</c:v>
                </c:pt>
                <c:pt idx="678">
                  <c:v>26.856000000000002</c:v>
                </c:pt>
                <c:pt idx="679">
                  <c:v>24.137</c:v>
                </c:pt>
                <c:pt idx="680">
                  <c:v>22.66</c:v>
                </c:pt>
                <c:pt idx="681">
                  <c:v>20.765000000000001</c:v>
                </c:pt>
                <c:pt idx="682">
                  <c:v>22.751999999999999</c:v>
                </c:pt>
                <c:pt idx="683">
                  <c:v>22.065000000000001</c:v>
                </c:pt>
                <c:pt idx="684">
                  <c:v>24.388999999999999</c:v>
                </c:pt>
                <c:pt idx="685">
                  <c:v>28.087</c:v>
                </c:pt>
                <c:pt idx="686">
                  <c:v>24.992000000000001</c:v>
                </c:pt>
                <c:pt idx="687">
                  <c:v>25.536000000000001</c:v>
                </c:pt>
                <c:pt idx="688">
                  <c:v>24.63</c:v>
                </c:pt>
                <c:pt idx="689">
                  <c:v>21.036000000000001</c:v>
                </c:pt>
                <c:pt idx="690">
                  <c:v>25.158000000000001</c:v>
                </c:pt>
                <c:pt idx="691">
                  <c:v>23.873999999999999</c:v>
                </c:pt>
                <c:pt idx="692">
                  <c:v>21.294</c:v>
                </c:pt>
                <c:pt idx="693">
                  <c:v>21.369</c:v>
                </c:pt>
                <c:pt idx="694">
                  <c:v>24.881</c:v>
                </c:pt>
                <c:pt idx="695">
                  <c:v>26.73</c:v>
                </c:pt>
                <c:pt idx="696">
                  <c:v>24.911999999999999</c:v>
                </c:pt>
                <c:pt idx="697">
                  <c:v>24.946000000000002</c:v>
                </c:pt>
                <c:pt idx="698">
                  <c:v>24.507000000000001</c:v>
                </c:pt>
                <c:pt idx="699">
                  <c:v>24.507000000000001</c:v>
                </c:pt>
                <c:pt idx="700">
                  <c:v>23.353000000000002</c:v>
                </c:pt>
                <c:pt idx="701">
                  <c:v>23.498999999999999</c:v>
                </c:pt>
                <c:pt idx="702">
                  <c:v>24.19</c:v>
                </c:pt>
                <c:pt idx="703">
                  <c:v>23.971</c:v>
                </c:pt>
                <c:pt idx="704">
                  <c:v>23.353999999999999</c:v>
                </c:pt>
                <c:pt idx="705">
                  <c:v>23.353999999999999</c:v>
                </c:pt>
              </c:numCache>
            </c:numRef>
          </c:val>
          <c:smooth val="0"/>
          <c:extLst>
            <c:ext xmlns:c16="http://schemas.microsoft.com/office/drawing/2014/chart" uri="{C3380CC4-5D6E-409C-BE32-E72D297353CC}">
              <c16:uniqueId val="{00000006-7C05-4062-8901-959CCCC822C5}"/>
            </c:ext>
          </c:extLst>
        </c:ser>
        <c:ser>
          <c:idx val="7"/>
          <c:order val="7"/>
          <c:tx>
            <c:strRef>
              <c:f>Sheet1!$I$1</c:f>
              <c:strCache>
                <c:ptCount val="1"/>
                <c:pt idx="0">
                  <c:v>Ուկրաինա ( 2025 թ.)</c:v>
                </c:pt>
              </c:strCache>
            </c:strRef>
          </c:tx>
          <c:spPr>
            <a:ln w="28575" cap="rnd">
              <a:solidFill>
                <a:schemeClr val="accent4">
                  <a:lumMod val="75000"/>
                </a:schemeClr>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Sheet1!$I$2:$I$707</c:f>
              <c:numCache>
                <c:formatCode>_(* #,##0_);_(* \(#,##0\);_(* "-"??_);_(@_)</c:formatCode>
                <c:ptCount val="706"/>
                <c:pt idx="0">
                  <c:v>788.10599999999999</c:v>
                </c:pt>
                <c:pt idx="1">
                  <c:v>804.41800000000001</c:v>
                </c:pt>
                <c:pt idx="2">
                  <c:v>830.60799999999995</c:v>
                </c:pt>
                <c:pt idx="3">
                  <c:v>802.71900000000005</c:v>
                </c:pt>
                <c:pt idx="4">
                  <c:v>778.33799999999997</c:v>
                </c:pt>
                <c:pt idx="5">
                  <c:v>777.89200000000005</c:v>
                </c:pt>
                <c:pt idx="6">
                  <c:v>765.27200000000005</c:v>
                </c:pt>
                <c:pt idx="7">
                  <c:v>762.79499999999996</c:v>
                </c:pt>
                <c:pt idx="8">
                  <c:v>756.13499999999999</c:v>
                </c:pt>
                <c:pt idx="9">
                  <c:v>749.86099999999999</c:v>
                </c:pt>
                <c:pt idx="10">
                  <c:v>723.64700000000005</c:v>
                </c:pt>
                <c:pt idx="11">
                  <c:v>700.47500000000002</c:v>
                </c:pt>
                <c:pt idx="12">
                  <c:v>701.26199999999994</c:v>
                </c:pt>
                <c:pt idx="13">
                  <c:v>661.12900000000002</c:v>
                </c:pt>
                <c:pt idx="14">
                  <c:v>664.36800000000005</c:v>
                </c:pt>
                <c:pt idx="15">
                  <c:v>681.18299999999999</c:v>
                </c:pt>
                <c:pt idx="16">
                  <c:v>671.77800000000002</c:v>
                </c:pt>
                <c:pt idx="17">
                  <c:v>661.88400000000001</c:v>
                </c:pt>
                <c:pt idx="18">
                  <c:v>663.755</c:v>
                </c:pt>
                <c:pt idx="19">
                  <c:v>683.08299999999997</c:v>
                </c:pt>
                <c:pt idx="20">
                  <c:v>695.16099999999994</c:v>
                </c:pt>
                <c:pt idx="21">
                  <c:v>705.12699999999995</c:v>
                </c:pt>
                <c:pt idx="22">
                  <c:v>684.82500000000005</c:v>
                </c:pt>
                <c:pt idx="23">
                  <c:v>675.90700000000004</c:v>
                </c:pt>
                <c:pt idx="24">
                  <c:v>686.07899999999995</c:v>
                </c:pt>
                <c:pt idx="25">
                  <c:v>677.87699999999995</c:v>
                </c:pt>
                <c:pt idx="26">
                  <c:v>686.995</c:v>
                </c:pt>
                <c:pt idx="27">
                  <c:v>709.73500000000001</c:v>
                </c:pt>
                <c:pt idx="28">
                  <c:v>731.74400000000003</c:v>
                </c:pt>
                <c:pt idx="29">
                  <c:v>751.40200000000004</c:v>
                </c:pt>
                <c:pt idx="30">
                  <c:v>758.76700000000005</c:v>
                </c:pt>
                <c:pt idx="31">
                  <c:v>742.37400000000002</c:v>
                </c:pt>
                <c:pt idx="32">
                  <c:v>751.36599999999999</c:v>
                </c:pt>
                <c:pt idx="33">
                  <c:v>734.15700000000004</c:v>
                </c:pt>
                <c:pt idx="34">
                  <c:v>729.21</c:v>
                </c:pt>
                <c:pt idx="35">
                  <c:v>708.58500000000004</c:v>
                </c:pt>
                <c:pt idx="36">
                  <c:v>694.86400000000003</c:v>
                </c:pt>
                <c:pt idx="37">
                  <c:v>680.94500000000005</c:v>
                </c:pt>
                <c:pt idx="38">
                  <c:v>657.827</c:v>
                </c:pt>
                <c:pt idx="39">
                  <c:v>646.67200000000003</c:v>
                </c:pt>
                <c:pt idx="40">
                  <c:v>649.54499999999996</c:v>
                </c:pt>
                <c:pt idx="41">
                  <c:v>648.90099999999995</c:v>
                </c:pt>
                <c:pt idx="42">
                  <c:v>650.548</c:v>
                </c:pt>
                <c:pt idx="43">
                  <c:v>648.20600000000002</c:v>
                </c:pt>
                <c:pt idx="44">
                  <c:v>656</c:v>
                </c:pt>
                <c:pt idx="45">
                  <c:v>663.18700000000001</c:v>
                </c:pt>
                <c:pt idx="46">
                  <c:v>662.63300000000004</c:v>
                </c:pt>
                <c:pt idx="47">
                  <c:v>676.70799999999997</c:v>
                </c:pt>
                <c:pt idx="48">
                  <c:v>678</c:v>
                </c:pt>
                <c:pt idx="49">
                  <c:v>652.93200000000002</c:v>
                </c:pt>
                <c:pt idx="50">
                  <c:v>653.93600000000004</c:v>
                </c:pt>
                <c:pt idx="51">
                  <c:v>655.24400000000003</c:v>
                </c:pt>
                <c:pt idx="52">
                  <c:v>652.44200000000001</c:v>
                </c:pt>
                <c:pt idx="53">
                  <c:v>636.27599999999995</c:v>
                </c:pt>
                <c:pt idx="54">
                  <c:v>623.52499999999998</c:v>
                </c:pt>
                <c:pt idx="55">
                  <c:v>618.84400000000005</c:v>
                </c:pt>
                <c:pt idx="56">
                  <c:v>632.04899999999998</c:v>
                </c:pt>
                <c:pt idx="57">
                  <c:v>618.82000000000005</c:v>
                </c:pt>
                <c:pt idx="58">
                  <c:v>634.76099999999997</c:v>
                </c:pt>
                <c:pt idx="59">
                  <c:v>644.52099999999996</c:v>
                </c:pt>
                <c:pt idx="60">
                  <c:v>637.21299999999997</c:v>
                </c:pt>
                <c:pt idx="61">
                  <c:v>645.63400000000001</c:v>
                </c:pt>
                <c:pt idx="62">
                  <c:v>645.83100000000002</c:v>
                </c:pt>
                <c:pt idx="63">
                  <c:v>636.01199999999994</c:v>
                </c:pt>
                <c:pt idx="64">
                  <c:v>611.56200000000001</c:v>
                </c:pt>
                <c:pt idx="65">
                  <c:v>606.84199999999998</c:v>
                </c:pt>
                <c:pt idx="66">
                  <c:v>599.22900000000004</c:v>
                </c:pt>
                <c:pt idx="67">
                  <c:v>600.23199999999997</c:v>
                </c:pt>
                <c:pt idx="68">
                  <c:v>591.64700000000005</c:v>
                </c:pt>
                <c:pt idx="69">
                  <c:v>582.79499999999996</c:v>
                </c:pt>
                <c:pt idx="70">
                  <c:v>572.40700000000004</c:v>
                </c:pt>
                <c:pt idx="71">
                  <c:v>589.21</c:v>
                </c:pt>
                <c:pt idx="72">
                  <c:v>591.71900000000005</c:v>
                </c:pt>
                <c:pt idx="73">
                  <c:v>587.952</c:v>
                </c:pt>
                <c:pt idx="74">
                  <c:v>587.43899999999996</c:v>
                </c:pt>
                <c:pt idx="75">
                  <c:v>574.20699999999999</c:v>
                </c:pt>
                <c:pt idx="76">
                  <c:v>570.84299999999996</c:v>
                </c:pt>
                <c:pt idx="77">
                  <c:v>597.36300000000006</c:v>
                </c:pt>
                <c:pt idx="78">
                  <c:v>597.36300000000006</c:v>
                </c:pt>
                <c:pt idx="79">
                  <c:v>596.44100000000003</c:v>
                </c:pt>
                <c:pt idx="80">
                  <c:v>606.35699999999997</c:v>
                </c:pt>
                <c:pt idx="81">
                  <c:v>631.99300000000005</c:v>
                </c:pt>
                <c:pt idx="82">
                  <c:v>653.35799999999995</c:v>
                </c:pt>
                <c:pt idx="83">
                  <c:v>656.28200000000004</c:v>
                </c:pt>
                <c:pt idx="84">
                  <c:v>664.67499999999995</c:v>
                </c:pt>
                <c:pt idx="85">
                  <c:v>653.10599999999999</c:v>
                </c:pt>
                <c:pt idx="86">
                  <c:v>633.21199999999999</c:v>
                </c:pt>
                <c:pt idx="87">
                  <c:v>637.52599999999995</c:v>
                </c:pt>
                <c:pt idx="88">
                  <c:v>632.74099999999999</c:v>
                </c:pt>
                <c:pt idx="89">
                  <c:v>638.78499999999997</c:v>
                </c:pt>
                <c:pt idx="90">
                  <c:v>648.55200000000002</c:v>
                </c:pt>
                <c:pt idx="91">
                  <c:v>657.16700000000003</c:v>
                </c:pt>
                <c:pt idx="92">
                  <c:v>665.303</c:v>
                </c:pt>
                <c:pt idx="93">
                  <c:v>656.72</c:v>
                </c:pt>
                <c:pt idx="94">
                  <c:v>676.23400000000004</c:v>
                </c:pt>
                <c:pt idx="95">
                  <c:v>670.82299999999998</c:v>
                </c:pt>
                <c:pt idx="96">
                  <c:v>659.22</c:v>
                </c:pt>
                <c:pt idx="97">
                  <c:v>650.61900000000003</c:v>
                </c:pt>
                <c:pt idx="98">
                  <c:v>656.33799999999997</c:v>
                </c:pt>
                <c:pt idx="99">
                  <c:v>653.59299999999996</c:v>
                </c:pt>
                <c:pt idx="100">
                  <c:v>642.69799999999998</c:v>
                </c:pt>
                <c:pt idx="101">
                  <c:v>659.89</c:v>
                </c:pt>
                <c:pt idx="102">
                  <c:v>674.57799999999997</c:v>
                </c:pt>
                <c:pt idx="103">
                  <c:v>670.06100000000004</c:v>
                </c:pt>
                <c:pt idx="104">
                  <c:v>667.86099999999999</c:v>
                </c:pt>
                <c:pt idx="105">
                  <c:v>682.81200000000001</c:v>
                </c:pt>
                <c:pt idx="106">
                  <c:v>674.12400000000002</c:v>
                </c:pt>
                <c:pt idx="107">
                  <c:v>662.60199999999998</c:v>
                </c:pt>
                <c:pt idx="108">
                  <c:v>683.43</c:v>
                </c:pt>
                <c:pt idx="109">
                  <c:v>689.44399999999996</c:v>
                </c:pt>
                <c:pt idx="110">
                  <c:v>668.77300000000002</c:v>
                </c:pt>
                <c:pt idx="111">
                  <c:v>645.93499999999995</c:v>
                </c:pt>
                <c:pt idx="112">
                  <c:v>622.61400000000003</c:v>
                </c:pt>
                <c:pt idx="113">
                  <c:v>601.80100000000004</c:v>
                </c:pt>
                <c:pt idx="114">
                  <c:v>583.05399999999997</c:v>
                </c:pt>
                <c:pt idx="115">
                  <c:v>588.26800000000003</c:v>
                </c:pt>
                <c:pt idx="116">
                  <c:v>602.54200000000003</c:v>
                </c:pt>
                <c:pt idx="117">
                  <c:v>602.99099999999999</c:v>
                </c:pt>
                <c:pt idx="118">
                  <c:v>581.77599999999995</c:v>
                </c:pt>
                <c:pt idx="119">
                  <c:v>583.46299999999997</c:v>
                </c:pt>
                <c:pt idx="120">
                  <c:v>571.18499999999995</c:v>
                </c:pt>
                <c:pt idx="121">
                  <c:v>565.78200000000004</c:v>
                </c:pt>
                <c:pt idx="122">
                  <c:v>536.97699999999998</c:v>
                </c:pt>
                <c:pt idx="123">
                  <c:v>538.55700000000002</c:v>
                </c:pt>
                <c:pt idx="124">
                  <c:v>542.154</c:v>
                </c:pt>
                <c:pt idx="125">
                  <c:v>550.36</c:v>
                </c:pt>
                <c:pt idx="126">
                  <c:v>532.77700000000004</c:v>
                </c:pt>
                <c:pt idx="127">
                  <c:v>524.42100000000005</c:v>
                </c:pt>
                <c:pt idx="128">
                  <c:v>520.62599999999998</c:v>
                </c:pt>
                <c:pt idx="129">
                  <c:v>510.84</c:v>
                </c:pt>
                <c:pt idx="130">
                  <c:v>531.74</c:v>
                </c:pt>
                <c:pt idx="131">
                  <c:v>525.55899999999997</c:v>
                </c:pt>
                <c:pt idx="132">
                  <c:v>525.50400000000002</c:v>
                </c:pt>
                <c:pt idx="133">
                  <c:v>525.21699999999998</c:v>
                </c:pt>
                <c:pt idx="134">
                  <c:v>539.30899999999997</c:v>
                </c:pt>
                <c:pt idx="135">
                  <c:v>554.01700000000005</c:v>
                </c:pt>
                <c:pt idx="136">
                  <c:v>540.04700000000003</c:v>
                </c:pt>
                <c:pt idx="137">
                  <c:v>527.12800000000004</c:v>
                </c:pt>
                <c:pt idx="138">
                  <c:v>529.44200000000001</c:v>
                </c:pt>
                <c:pt idx="139">
                  <c:v>524.78099999999995</c:v>
                </c:pt>
                <c:pt idx="140">
                  <c:v>518.71</c:v>
                </c:pt>
                <c:pt idx="141">
                  <c:v>513.48199999999997</c:v>
                </c:pt>
                <c:pt idx="142">
                  <c:v>511.63299999999998</c:v>
                </c:pt>
                <c:pt idx="143">
                  <c:v>494.16</c:v>
                </c:pt>
                <c:pt idx="144">
                  <c:v>466.95699999999999</c:v>
                </c:pt>
                <c:pt idx="145">
                  <c:v>447.209</c:v>
                </c:pt>
                <c:pt idx="146">
                  <c:v>452.62200000000001</c:v>
                </c:pt>
                <c:pt idx="147">
                  <c:v>452.661</c:v>
                </c:pt>
                <c:pt idx="148">
                  <c:v>473.31099999999998</c:v>
                </c:pt>
                <c:pt idx="149">
                  <c:v>474.637</c:v>
                </c:pt>
                <c:pt idx="150">
                  <c:v>477.81599999999997</c:v>
                </c:pt>
                <c:pt idx="151">
                  <c:v>470.87200000000001</c:v>
                </c:pt>
                <c:pt idx="152">
                  <c:v>487.43700000000001</c:v>
                </c:pt>
                <c:pt idx="153">
                  <c:v>502</c:v>
                </c:pt>
                <c:pt idx="154">
                  <c:v>543.97299999999996</c:v>
                </c:pt>
                <c:pt idx="155">
                  <c:v>533.822</c:v>
                </c:pt>
                <c:pt idx="156">
                  <c:v>530.471</c:v>
                </c:pt>
                <c:pt idx="157">
                  <c:v>526.00599999999997</c:v>
                </c:pt>
                <c:pt idx="158">
                  <c:v>513.19899999999996</c:v>
                </c:pt>
                <c:pt idx="159">
                  <c:v>547.83600000000001</c:v>
                </c:pt>
                <c:pt idx="160">
                  <c:v>547.28</c:v>
                </c:pt>
                <c:pt idx="161">
                  <c:v>582.34</c:v>
                </c:pt>
                <c:pt idx="162">
                  <c:v>602.47500000000002</c:v>
                </c:pt>
                <c:pt idx="163">
                  <c:v>573.245</c:v>
                </c:pt>
                <c:pt idx="164">
                  <c:v>548.68200000000002</c:v>
                </c:pt>
                <c:pt idx="165">
                  <c:v>561.09299999999996</c:v>
                </c:pt>
                <c:pt idx="166">
                  <c:v>548.23400000000004</c:v>
                </c:pt>
                <c:pt idx="167">
                  <c:v>538.31200000000001</c:v>
                </c:pt>
                <c:pt idx="168">
                  <c:v>551.70699999999999</c:v>
                </c:pt>
                <c:pt idx="169">
                  <c:v>548.95600000000002</c:v>
                </c:pt>
                <c:pt idx="170">
                  <c:v>552.17200000000003</c:v>
                </c:pt>
                <c:pt idx="171">
                  <c:v>545.64800000000002</c:v>
                </c:pt>
                <c:pt idx="172">
                  <c:v>533.11900000000003</c:v>
                </c:pt>
                <c:pt idx="173">
                  <c:v>503.98599999999999</c:v>
                </c:pt>
                <c:pt idx="174">
                  <c:v>503.666</c:v>
                </c:pt>
                <c:pt idx="175">
                  <c:v>494.09699999999998</c:v>
                </c:pt>
                <c:pt idx="176">
                  <c:v>480.57299999999998</c:v>
                </c:pt>
                <c:pt idx="177">
                  <c:v>466.77699999999999</c:v>
                </c:pt>
                <c:pt idx="178">
                  <c:v>464.46699999999998</c:v>
                </c:pt>
                <c:pt idx="179">
                  <c:v>453.46800000000002</c:v>
                </c:pt>
                <c:pt idx="180">
                  <c:v>451.88600000000002</c:v>
                </c:pt>
                <c:pt idx="181">
                  <c:v>453.22699999999998</c:v>
                </c:pt>
                <c:pt idx="182">
                  <c:v>442.84399999999999</c:v>
                </c:pt>
                <c:pt idx="183">
                  <c:v>435.83699999999999</c:v>
                </c:pt>
                <c:pt idx="184">
                  <c:v>438.57900000000001</c:v>
                </c:pt>
                <c:pt idx="185">
                  <c:v>458.221</c:v>
                </c:pt>
                <c:pt idx="186">
                  <c:v>454.17599999999999</c:v>
                </c:pt>
                <c:pt idx="187">
                  <c:v>465.63900000000001</c:v>
                </c:pt>
                <c:pt idx="188">
                  <c:v>471.38099999999997</c:v>
                </c:pt>
                <c:pt idx="189">
                  <c:v>475.48700000000002</c:v>
                </c:pt>
                <c:pt idx="190">
                  <c:v>508.95600000000002</c:v>
                </c:pt>
                <c:pt idx="191">
                  <c:v>500.63099999999997</c:v>
                </c:pt>
                <c:pt idx="192">
                  <c:v>489.99799999999999</c:v>
                </c:pt>
                <c:pt idx="193">
                  <c:v>497.36599999999999</c:v>
                </c:pt>
                <c:pt idx="194">
                  <c:v>512.29499999999996</c:v>
                </c:pt>
                <c:pt idx="195">
                  <c:v>511.05599999999998</c:v>
                </c:pt>
                <c:pt idx="196">
                  <c:v>534.63900000000001</c:v>
                </c:pt>
                <c:pt idx="197">
                  <c:v>538.53300000000002</c:v>
                </c:pt>
                <c:pt idx="198">
                  <c:v>520.34299999999996</c:v>
                </c:pt>
                <c:pt idx="199">
                  <c:v>516.375</c:v>
                </c:pt>
                <c:pt idx="200">
                  <c:v>522.65</c:v>
                </c:pt>
                <c:pt idx="201">
                  <c:v>516.12900000000002</c:v>
                </c:pt>
                <c:pt idx="202">
                  <c:v>506.47800000000001</c:v>
                </c:pt>
                <c:pt idx="203">
                  <c:v>496.61599999999999</c:v>
                </c:pt>
                <c:pt idx="204">
                  <c:v>498.11500000000001</c:v>
                </c:pt>
                <c:pt idx="205">
                  <c:v>492.08699999999999</c:v>
                </c:pt>
                <c:pt idx="206">
                  <c:v>493.66699999999997</c:v>
                </c:pt>
                <c:pt idx="207">
                  <c:v>491.79500000000002</c:v>
                </c:pt>
                <c:pt idx="208">
                  <c:v>485.78800000000001</c:v>
                </c:pt>
                <c:pt idx="209">
                  <c:v>475.31299999999999</c:v>
                </c:pt>
                <c:pt idx="210">
                  <c:v>466.11599999999999</c:v>
                </c:pt>
                <c:pt idx="211">
                  <c:v>466.78199999999998</c:v>
                </c:pt>
                <c:pt idx="212">
                  <c:v>460.00099999999998</c:v>
                </c:pt>
                <c:pt idx="213">
                  <c:v>441.71800000000002</c:v>
                </c:pt>
                <c:pt idx="214">
                  <c:v>442.72399999999999</c:v>
                </c:pt>
                <c:pt idx="215">
                  <c:v>451.71100000000001</c:v>
                </c:pt>
                <c:pt idx="216">
                  <c:v>460.209</c:v>
                </c:pt>
                <c:pt idx="217">
                  <c:v>468.65800000000002</c:v>
                </c:pt>
                <c:pt idx="218">
                  <c:v>452.36</c:v>
                </c:pt>
                <c:pt idx="219">
                  <c:v>450.85399999999998</c:v>
                </c:pt>
                <c:pt idx="220">
                  <c:v>454.322</c:v>
                </c:pt>
                <c:pt idx="221">
                  <c:v>456.31299999999999</c:v>
                </c:pt>
                <c:pt idx="222">
                  <c:v>442.15899999999999</c:v>
                </c:pt>
                <c:pt idx="223">
                  <c:v>442.11900000000003</c:v>
                </c:pt>
                <c:pt idx="224">
                  <c:v>441.56799999999998</c:v>
                </c:pt>
                <c:pt idx="225">
                  <c:v>445.34199999999998</c:v>
                </c:pt>
                <c:pt idx="226">
                  <c:v>450.5</c:v>
                </c:pt>
                <c:pt idx="227">
                  <c:v>451.666</c:v>
                </c:pt>
                <c:pt idx="228">
                  <c:v>447.74099999999999</c:v>
                </c:pt>
                <c:pt idx="229">
                  <c:v>451.99700000000001</c:v>
                </c:pt>
                <c:pt idx="230">
                  <c:v>467.96199999999999</c:v>
                </c:pt>
                <c:pt idx="231">
                  <c:v>481.70699999999999</c:v>
                </c:pt>
                <c:pt idx="232">
                  <c:v>480.77600000000001</c:v>
                </c:pt>
                <c:pt idx="233">
                  <c:v>480.02499999999998</c:v>
                </c:pt>
                <c:pt idx="234">
                  <c:v>487.41399999999999</c:v>
                </c:pt>
                <c:pt idx="235">
                  <c:v>490.42899999999997</c:v>
                </c:pt>
                <c:pt idx="236">
                  <c:v>487.42500000000001</c:v>
                </c:pt>
                <c:pt idx="237">
                  <c:v>480.738</c:v>
                </c:pt>
                <c:pt idx="238">
                  <c:v>492.2</c:v>
                </c:pt>
                <c:pt idx="239">
                  <c:v>498.11500000000001</c:v>
                </c:pt>
                <c:pt idx="240">
                  <c:v>515.84</c:v>
                </c:pt>
                <c:pt idx="241">
                  <c:v>503.584</c:v>
                </c:pt>
                <c:pt idx="242">
                  <c:v>497.27100000000002</c:v>
                </c:pt>
                <c:pt idx="243">
                  <c:v>493.43900000000002</c:v>
                </c:pt>
                <c:pt idx="244">
                  <c:v>445.34300000000002</c:v>
                </c:pt>
                <c:pt idx="245">
                  <c:v>442.42200000000003</c:v>
                </c:pt>
                <c:pt idx="246">
                  <c:v>438.11500000000001</c:v>
                </c:pt>
                <c:pt idx="247">
                  <c:v>417.30099999999999</c:v>
                </c:pt>
                <c:pt idx="248">
                  <c:v>420.06200000000001</c:v>
                </c:pt>
                <c:pt idx="249">
                  <c:v>410.46800000000002</c:v>
                </c:pt>
                <c:pt idx="250">
                  <c:v>407.142</c:v>
                </c:pt>
                <c:pt idx="251">
                  <c:v>407.36599999999999</c:v>
                </c:pt>
                <c:pt idx="252">
                  <c:v>410.221</c:v>
                </c:pt>
                <c:pt idx="253">
                  <c:v>409.15800000000002</c:v>
                </c:pt>
                <c:pt idx="254">
                  <c:v>407.221</c:v>
                </c:pt>
                <c:pt idx="255">
                  <c:v>409.46300000000002</c:v>
                </c:pt>
                <c:pt idx="256">
                  <c:v>409.46300000000002</c:v>
                </c:pt>
                <c:pt idx="257">
                  <c:v>409.46300000000002</c:v>
                </c:pt>
                <c:pt idx="258">
                  <c:v>404.39600000000002</c:v>
                </c:pt>
                <c:pt idx="259">
                  <c:v>409.07</c:v>
                </c:pt>
                <c:pt idx="260">
                  <c:v>407.82100000000003</c:v>
                </c:pt>
                <c:pt idx="261">
                  <c:v>407.82100000000003</c:v>
                </c:pt>
                <c:pt idx="262">
                  <c:v>377.62400000000002</c:v>
                </c:pt>
                <c:pt idx="263">
                  <c:v>377.738</c:v>
                </c:pt>
                <c:pt idx="264">
                  <c:v>378.22300000000001</c:v>
                </c:pt>
                <c:pt idx="265">
                  <c:v>374.78399999999999</c:v>
                </c:pt>
                <c:pt idx="266">
                  <c:v>367.68299999999999</c:v>
                </c:pt>
                <c:pt idx="267">
                  <c:v>360.33199999999999</c:v>
                </c:pt>
                <c:pt idx="268">
                  <c:v>360.483</c:v>
                </c:pt>
                <c:pt idx="269">
                  <c:v>351.55099999999999</c:v>
                </c:pt>
                <c:pt idx="270">
                  <c:v>346.024</c:v>
                </c:pt>
                <c:pt idx="271">
                  <c:v>331.27800000000002</c:v>
                </c:pt>
                <c:pt idx="272">
                  <c:v>324.28800000000001</c:v>
                </c:pt>
                <c:pt idx="273">
                  <c:v>324.64400000000001</c:v>
                </c:pt>
                <c:pt idx="274">
                  <c:v>324.536</c:v>
                </c:pt>
                <c:pt idx="275">
                  <c:v>334.93200000000002</c:v>
                </c:pt>
                <c:pt idx="276">
                  <c:v>325.85700000000003</c:v>
                </c:pt>
                <c:pt idx="277">
                  <c:v>350.79399999999998</c:v>
                </c:pt>
                <c:pt idx="278">
                  <c:v>352.84699999999998</c:v>
                </c:pt>
                <c:pt idx="279">
                  <c:v>375.99400000000003</c:v>
                </c:pt>
                <c:pt idx="280">
                  <c:v>361.24400000000003</c:v>
                </c:pt>
                <c:pt idx="281">
                  <c:v>362.25400000000002</c:v>
                </c:pt>
                <c:pt idx="282">
                  <c:v>370.03399999999999</c:v>
                </c:pt>
                <c:pt idx="283">
                  <c:v>375.67099999999999</c:v>
                </c:pt>
                <c:pt idx="284">
                  <c:v>372.63499999999999</c:v>
                </c:pt>
                <c:pt idx="285">
                  <c:v>357.654</c:v>
                </c:pt>
                <c:pt idx="286">
                  <c:v>344.346</c:v>
                </c:pt>
                <c:pt idx="287">
                  <c:v>336.26499999999999</c:v>
                </c:pt>
                <c:pt idx="288">
                  <c:v>350.87900000000002</c:v>
                </c:pt>
                <c:pt idx="289">
                  <c:v>362.94</c:v>
                </c:pt>
                <c:pt idx="290">
                  <c:v>346.19499999999999</c:v>
                </c:pt>
                <c:pt idx="291">
                  <c:v>329.76600000000002</c:v>
                </c:pt>
                <c:pt idx="292">
                  <c:v>331.89299999999997</c:v>
                </c:pt>
                <c:pt idx="293">
                  <c:v>330.00900000000001</c:v>
                </c:pt>
                <c:pt idx="294">
                  <c:v>325.31799999999998</c:v>
                </c:pt>
                <c:pt idx="295">
                  <c:v>338.25299999999999</c:v>
                </c:pt>
                <c:pt idx="296">
                  <c:v>329.38900000000001</c:v>
                </c:pt>
                <c:pt idx="297">
                  <c:v>334.69099999999997</c:v>
                </c:pt>
                <c:pt idx="298">
                  <c:v>346.69</c:v>
                </c:pt>
                <c:pt idx="299">
                  <c:v>378.017</c:v>
                </c:pt>
                <c:pt idx="300">
                  <c:v>396.94299999999998</c:v>
                </c:pt>
                <c:pt idx="301">
                  <c:v>411.88799999999998</c:v>
                </c:pt>
                <c:pt idx="302">
                  <c:v>441.23099999999999</c:v>
                </c:pt>
                <c:pt idx="303">
                  <c:v>474.07</c:v>
                </c:pt>
                <c:pt idx="304">
                  <c:v>458.46699999999998</c:v>
                </c:pt>
                <c:pt idx="305">
                  <c:v>461.96800000000002</c:v>
                </c:pt>
                <c:pt idx="306">
                  <c:v>475.339</c:v>
                </c:pt>
                <c:pt idx="307">
                  <c:v>534.17399999999998</c:v>
                </c:pt>
                <c:pt idx="308">
                  <c:v>583.21900000000005</c:v>
                </c:pt>
                <c:pt idx="309">
                  <c:v>700.29</c:v>
                </c:pt>
                <c:pt idx="310">
                  <c:v>706.625</c:v>
                </c:pt>
                <c:pt idx="311">
                  <c:v>773.51599999999996</c:v>
                </c:pt>
                <c:pt idx="312">
                  <c:v>1036.4760000000001</c:v>
                </c:pt>
                <c:pt idx="313">
                  <c:v>950.44200000000001</c:v>
                </c:pt>
                <c:pt idx="314">
                  <c:v>1037.2090000000001</c:v>
                </c:pt>
                <c:pt idx="315">
                  <c:v>1048.0899999999999</c:v>
                </c:pt>
                <c:pt idx="316">
                  <c:v>1348.222</c:v>
                </c:pt>
                <c:pt idx="317">
                  <c:v>1354.395</c:v>
                </c:pt>
                <c:pt idx="318">
                  <c:v>1298.98</c:v>
                </c:pt>
                <c:pt idx="319">
                  <c:v>1332.306</c:v>
                </c:pt>
                <c:pt idx="320">
                  <c:v>1222.9659999999999</c:v>
                </c:pt>
                <c:pt idx="321">
                  <c:v>1049.077</c:v>
                </c:pt>
                <c:pt idx="322">
                  <c:v>1012.6180000000001</c:v>
                </c:pt>
                <c:pt idx="323">
                  <c:v>1022.456</c:v>
                </c:pt>
                <c:pt idx="324">
                  <c:v>1058.9639999999999</c:v>
                </c:pt>
                <c:pt idx="325">
                  <c:v>931.596</c:v>
                </c:pt>
                <c:pt idx="326">
                  <c:v>943.90899999999999</c:v>
                </c:pt>
                <c:pt idx="327">
                  <c:v>949.17</c:v>
                </c:pt>
                <c:pt idx="328">
                  <c:v>943.74599999999998</c:v>
                </c:pt>
                <c:pt idx="329">
                  <c:v>925.16399999999999</c:v>
                </c:pt>
                <c:pt idx="330">
                  <c:v>802.54200000000003</c:v>
                </c:pt>
                <c:pt idx="331">
                  <c:v>827.54100000000005</c:v>
                </c:pt>
                <c:pt idx="332">
                  <c:v>784.12099999999998</c:v>
                </c:pt>
                <c:pt idx="333">
                  <c:v>784.12099999999998</c:v>
                </c:pt>
                <c:pt idx="334">
                  <c:v>784.12099999999998</c:v>
                </c:pt>
                <c:pt idx="335">
                  <c:v>762.82500000000005</c:v>
                </c:pt>
                <c:pt idx="336">
                  <c:v>794.44100000000003</c:v>
                </c:pt>
                <c:pt idx="337">
                  <c:v>812.60599999999999</c:v>
                </c:pt>
                <c:pt idx="338">
                  <c:v>820.553</c:v>
                </c:pt>
                <c:pt idx="339">
                  <c:v>849.88599999999997</c:v>
                </c:pt>
                <c:pt idx="340">
                  <c:v>896.16300000000001</c:v>
                </c:pt>
                <c:pt idx="341">
                  <c:v>901.98800000000006</c:v>
                </c:pt>
                <c:pt idx="342">
                  <c:v>879.71699999999998</c:v>
                </c:pt>
                <c:pt idx="343">
                  <c:v>862.74800000000005</c:v>
                </c:pt>
                <c:pt idx="344">
                  <c:v>866.79899999999998</c:v>
                </c:pt>
                <c:pt idx="345">
                  <c:v>875.726</c:v>
                </c:pt>
                <c:pt idx="346">
                  <c:v>895.05399999999997</c:v>
                </c:pt>
                <c:pt idx="347">
                  <c:v>883.26300000000003</c:v>
                </c:pt>
                <c:pt idx="348">
                  <c:v>860.63300000000004</c:v>
                </c:pt>
                <c:pt idx="349">
                  <c:v>857.99</c:v>
                </c:pt>
                <c:pt idx="350">
                  <c:v>809.52099999999996</c:v>
                </c:pt>
                <c:pt idx="351">
                  <c:v>786.495</c:v>
                </c:pt>
                <c:pt idx="352">
                  <c:v>756.17</c:v>
                </c:pt>
                <c:pt idx="353">
                  <c:v>761.16700000000003</c:v>
                </c:pt>
                <c:pt idx="354">
                  <c:v>725.31399999999996</c:v>
                </c:pt>
                <c:pt idx="355">
                  <c:v>699.74699999999996</c:v>
                </c:pt>
                <c:pt idx="356">
                  <c:v>695.80499999999995</c:v>
                </c:pt>
                <c:pt idx="357">
                  <c:v>733.00800000000004</c:v>
                </c:pt>
                <c:pt idx="358">
                  <c:v>711.76</c:v>
                </c:pt>
                <c:pt idx="359">
                  <c:v>685.476</c:v>
                </c:pt>
                <c:pt idx="360">
                  <c:v>703.49900000000002</c:v>
                </c:pt>
                <c:pt idx="361">
                  <c:v>687.05700000000002</c:v>
                </c:pt>
                <c:pt idx="362">
                  <c:v>681.50800000000004</c:v>
                </c:pt>
                <c:pt idx="363">
                  <c:v>705.28099999999995</c:v>
                </c:pt>
                <c:pt idx="364">
                  <c:v>705.28099999999995</c:v>
                </c:pt>
                <c:pt idx="365">
                  <c:v>691.39499999999998</c:v>
                </c:pt>
                <c:pt idx="366">
                  <c:v>711.20399999999995</c:v>
                </c:pt>
                <c:pt idx="367">
                  <c:v>709.79200000000003</c:v>
                </c:pt>
                <c:pt idx="368">
                  <c:v>715.93299999999999</c:v>
                </c:pt>
                <c:pt idx="369">
                  <c:v>706.25900000000001</c:v>
                </c:pt>
                <c:pt idx="370">
                  <c:v>689.89300000000003</c:v>
                </c:pt>
                <c:pt idx="371">
                  <c:v>644.346</c:v>
                </c:pt>
                <c:pt idx="372">
                  <c:v>619.51099999999997</c:v>
                </c:pt>
                <c:pt idx="373">
                  <c:v>557.61599999999999</c:v>
                </c:pt>
                <c:pt idx="374">
                  <c:v>549.12099999999998</c:v>
                </c:pt>
                <c:pt idx="375">
                  <c:v>571.06700000000001</c:v>
                </c:pt>
                <c:pt idx="376">
                  <c:v>583.05999999999995</c:v>
                </c:pt>
                <c:pt idx="377">
                  <c:v>604.86500000000001</c:v>
                </c:pt>
                <c:pt idx="378">
                  <c:v>610.21500000000003</c:v>
                </c:pt>
                <c:pt idx="379">
                  <c:v>621.91999999999996</c:v>
                </c:pt>
                <c:pt idx="380">
                  <c:v>587.36099999999999</c:v>
                </c:pt>
                <c:pt idx="381">
                  <c:v>593.29899999999998</c:v>
                </c:pt>
                <c:pt idx="382">
                  <c:v>602.29499999999996</c:v>
                </c:pt>
                <c:pt idx="383">
                  <c:v>605.20000000000005</c:v>
                </c:pt>
                <c:pt idx="384">
                  <c:v>607.64599999999996</c:v>
                </c:pt>
                <c:pt idx="385">
                  <c:v>607.01099999999997</c:v>
                </c:pt>
                <c:pt idx="386">
                  <c:v>618.54100000000005</c:v>
                </c:pt>
                <c:pt idx="387">
                  <c:v>625.75099999999998</c:v>
                </c:pt>
                <c:pt idx="388">
                  <c:v>644.22199999999998</c:v>
                </c:pt>
                <c:pt idx="389">
                  <c:v>648.54499999999996</c:v>
                </c:pt>
                <c:pt idx="390">
                  <c:v>631.19399999999996</c:v>
                </c:pt>
                <c:pt idx="391">
                  <c:v>588.50599999999997</c:v>
                </c:pt>
                <c:pt idx="392">
                  <c:v>610.69100000000003</c:v>
                </c:pt>
                <c:pt idx="393">
                  <c:v>612.30399999999997</c:v>
                </c:pt>
                <c:pt idx="394">
                  <c:v>612.55200000000002</c:v>
                </c:pt>
                <c:pt idx="395">
                  <c:v>628.76099999999997</c:v>
                </c:pt>
                <c:pt idx="396">
                  <c:v>640.46299999999997</c:v>
                </c:pt>
                <c:pt idx="397">
                  <c:v>666.87400000000002</c:v>
                </c:pt>
                <c:pt idx="398">
                  <c:v>681.15700000000004</c:v>
                </c:pt>
                <c:pt idx="399">
                  <c:v>692.95299999999997</c:v>
                </c:pt>
                <c:pt idx="400">
                  <c:v>712.77200000000005</c:v>
                </c:pt>
                <c:pt idx="401">
                  <c:v>659.56600000000003</c:v>
                </c:pt>
                <c:pt idx="402">
                  <c:v>644.32500000000005</c:v>
                </c:pt>
                <c:pt idx="403">
                  <c:v>640.64400000000001</c:v>
                </c:pt>
                <c:pt idx="404">
                  <c:v>637.41399999999999</c:v>
                </c:pt>
                <c:pt idx="405">
                  <c:v>617.40099999999995</c:v>
                </c:pt>
                <c:pt idx="406">
                  <c:v>615.66999999999996</c:v>
                </c:pt>
                <c:pt idx="407">
                  <c:v>619.41499999999996</c:v>
                </c:pt>
                <c:pt idx="408">
                  <c:v>627.697</c:v>
                </c:pt>
                <c:pt idx="409">
                  <c:v>616.25800000000004</c:v>
                </c:pt>
                <c:pt idx="410">
                  <c:v>636.90800000000002</c:v>
                </c:pt>
                <c:pt idx="411">
                  <c:v>639.02499999999998</c:v>
                </c:pt>
                <c:pt idx="412">
                  <c:v>656.66800000000001</c:v>
                </c:pt>
                <c:pt idx="413">
                  <c:v>671.61400000000003</c:v>
                </c:pt>
                <c:pt idx="414">
                  <c:v>685.33299999999997</c:v>
                </c:pt>
                <c:pt idx="415">
                  <c:v>677.44799999999998</c:v>
                </c:pt>
                <c:pt idx="416">
                  <c:v>658.49400000000003</c:v>
                </c:pt>
                <c:pt idx="417">
                  <c:v>671.875</c:v>
                </c:pt>
                <c:pt idx="418">
                  <c:v>690.68200000000002</c:v>
                </c:pt>
                <c:pt idx="419">
                  <c:v>679.125</c:v>
                </c:pt>
                <c:pt idx="420">
                  <c:v>661.74199999999996</c:v>
                </c:pt>
                <c:pt idx="421">
                  <c:v>640.06299999999999</c:v>
                </c:pt>
                <c:pt idx="422">
                  <c:v>637.03099999999995</c:v>
                </c:pt>
                <c:pt idx="423">
                  <c:v>629.09199999999998</c:v>
                </c:pt>
                <c:pt idx="424">
                  <c:v>620.58000000000004</c:v>
                </c:pt>
                <c:pt idx="425">
                  <c:v>624.625</c:v>
                </c:pt>
                <c:pt idx="426">
                  <c:v>604.16899999999998</c:v>
                </c:pt>
                <c:pt idx="427">
                  <c:v>606.34500000000003</c:v>
                </c:pt>
                <c:pt idx="428">
                  <c:v>602.678</c:v>
                </c:pt>
                <c:pt idx="429">
                  <c:v>597.96199999999999</c:v>
                </c:pt>
                <c:pt idx="430">
                  <c:v>599.24300000000005</c:v>
                </c:pt>
                <c:pt idx="431">
                  <c:v>610.08100000000002</c:v>
                </c:pt>
                <c:pt idx="432">
                  <c:v>603.09299999999996</c:v>
                </c:pt>
                <c:pt idx="433">
                  <c:v>601.90800000000002</c:v>
                </c:pt>
                <c:pt idx="434">
                  <c:v>601.90800000000002</c:v>
                </c:pt>
                <c:pt idx="435">
                  <c:v>586.73400000000004</c:v>
                </c:pt>
                <c:pt idx="436">
                  <c:v>577.80100000000004</c:v>
                </c:pt>
                <c:pt idx="437">
                  <c:v>590.11</c:v>
                </c:pt>
                <c:pt idx="438">
                  <c:v>589.08299999999997</c:v>
                </c:pt>
                <c:pt idx="439">
                  <c:v>592.22500000000002</c:v>
                </c:pt>
                <c:pt idx="440">
                  <c:v>607.20799999999997</c:v>
                </c:pt>
                <c:pt idx="441">
                  <c:v>602.29499999999996</c:v>
                </c:pt>
                <c:pt idx="442">
                  <c:v>610.80600000000004</c:v>
                </c:pt>
                <c:pt idx="443">
                  <c:v>618.08199999999999</c:v>
                </c:pt>
                <c:pt idx="444">
                  <c:v>623.06500000000005</c:v>
                </c:pt>
                <c:pt idx="445">
                  <c:v>610.02499999999998</c:v>
                </c:pt>
                <c:pt idx="446">
                  <c:v>613.84699999999998</c:v>
                </c:pt>
                <c:pt idx="447">
                  <c:v>628.48900000000003</c:v>
                </c:pt>
                <c:pt idx="448">
                  <c:v>627.51</c:v>
                </c:pt>
                <c:pt idx="449">
                  <c:v>670.43499999999995</c:v>
                </c:pt>
                <c:pt idx="450">
                  <c:v>670.00900000000001</c:v>
                </c:pt>
                <c:pt idx="451">
                  <c:v>682.827</c:v>
                </c:pt>
                <c:pt idx="452">
                  <c:v>713.25</c:v>
                </c:pt>
                <c:pt idx="453">
                  <c:v>710.46500000000003</c:v>
                </c:pt>
                <c:pt idx="454">
                  <c:v>707.89499999999998</c:v>
                </c:pt>
                <c:pt idx="455">
                  <c:v>724.077</c:v>
                </c:pt>
                <c:pt idx="456">
                  <c:v>731.03499999999997</c:v>
                </c:pt>
                <c:pt idx="457">
                  <c:v>725.11900000000003</c:v>
                </c:pt>
                <c:pt idx="458">
                  <c:v>730.649</c:v>
                </c:pt>
                <c:pt idx="459">
                  <c:v>714.92</c:v>
                </c:pt>
                <c:pt idx="460">
                  <c:v>720.71600000000001</c:v>
                </c:pt>
                <c:pt idx="461">
                  <c:v>696.67499999999995</c:v>
                </c:pt>
                <c:pt idx="462">
                  <c:v>674.00699999999995</c:v>
                </c:pt>
                <c:pt idx="463">
                  <c:v>618.577</c:v>
                </c:pt>
                <c:pt idx="464">
                  <c:v>626.01099999999997</c:v>
                </c:pt>
                <c:pt idx="465">
                  <c:v>647.60299999999995</c:v>
                </c:pt>
                <c:pt idx="466">
                  <c:v>666.31600000000003</c:v>
                </c:pt>
                <c:pt idx="467">
                  <c:v>681.16300000000001</c:v>
                </c:pt>
                <c:pt idx="468">
                  <c:v>672.93700000000001</c:v>
                </c:pt>
                <c:pt idx="469">
                  <c:v>667.81200000000001</c:v>
                </c:pt>
                <c:pt idx="470">
                  <c:v>684.81899999999996</c:v>
                </c:pt>
                <c:pt idx="471">
                  <c:v>692.53499999999997</c:v>
                </c:pt>
                <c:pt idx="472">
                  <c:v>699.74800000000005</c:v>
                </c:pt>
                <c:pt idx="473">
                  <c:v>698.423</c:v>
                </c:pt>
                <c:pt idx="474">
                  <c:v>705.50800000000004</c:v>
                </c:pt>
                <c:pt idx="475">
                  <c:v>681.80200000000002</c:v>
                </c:pt>
                <c:pt idx="476">
                  <c:v>690.87199999999996</c:v>
                </c:pt>
                <c:pt idx="477">
                  <c:v>675.88900000000001</c:v>
                </c:pt>
                <c:pt idx="478">
                  <c:v>661.97500000000002</c:v>
                </c:pt>
                <c:pt idx="479">
                  <c:v>649.94600000000003</c:v>
                </c:pt>
                <c:pt idx="480">
                  <c:v>623.05999999999995</c:v>
                </c:pt>
                <c:pt idx="481">
                  <c:v>600.50699999999995</c:v>
                </c:pt>
                <c:pt idx="482">
                  <c:v>574.60199999999998</c:v>
                </c:pt>
                <c:pt idx="483">
                  <c:v>590.29899999999998</c:v>
                </c:pt>
                <c:pt idx="484">
                  <c:v>549.13400000000001</c:v>
                </c:pt>
                <c:pt idx="485">
                  <c:v>551.9</c:v>
                </c:pt>
                <c:pt idx="486">
                  <c:v>541.31299999999999</c:v>
                </c:pt>
                <c:pt idx="487">
                  <c:v>550.10199999999998</c:v>
                </c:pt>
                <c:pt idx="488">
                  <c:v>545.70899999999995</c:v>
                </c:pt>
                <c:pt idx="489">
                  <c:v>531.21</c:v>
                </c:pt>
                <c:pt idx="490">
                  <c:v>537.74</c:v>
                </c:pt>
                <c:pt idx="491">
                  <c:v>541.08399999999995</c:v>
                </c:pt>
                <c:pt idx="492">
                  <c:v>537.01900000000001</c:v>
                </c:pt>
                <c:pt idx="493">
                  <c:v>522.56100000000004</c:v>
                </c:pt>
                <c:pt idx="494">
                  <c:v>509.61700000000002</c:v>
                </c:pt>
                <c:pt idx="495">
                  <c:v>479.416</c:v>
                </c:pt>
                <c:pt idx="496">
                  <c:v>483.10599999999999</c:v>
                </c:pt>
                <c:pt idx="497">
                  <c:v>487.07799999999997</c:v>
                </c:pt>
                <c:pt idx="498">
                  <c:v>487.37799999999999</c:v>
                </c:pt>
                <c:pt idx="499">
                  <c:v>488.315</c:v>
                </c:pt>
                <c:pt idx="500">
                  <c:v>464.35199999999998</c:v>
                </c:pt>
                <c:pt idx="501">
                  <c:v>455.77600000000001</c:v>
                </c:pt>
                <c:pt idx="502">
                  <c:v>452.76799999999997</c:v>
                </c:pt>
                <c:pt idx="503">
                  <c:v>431.75299999999999</c:v>
                </c:pt>
                <c:pt idx="504">
                  <c:v>434.00900000000001</c:v>
                </c:pt>
                <c:pt idx="505">
                  <c:v>435.87599999999998</c:v>
                </c:pt>
                <c:pt idx="506">
                  <c:v>434.07299999999998</c:v>
                </c:pt>
                <c:pt idx="507">
                  <c:v>435.28300000000002</c:v>
                </c:pt>
                <c:pt idx="508">
                  <c:v>439.42500000000001</c:v>
                </c:pt>
                <c:pt idx="509">
                  <c:v>429.6</c:v>
                </c:pt>
                <c:pt idx="510">
                  <c:v>420.17599999999999</c:v>
                </c:pt>
                <c:pt idx="511">
                  <c:v>419.09</c:v>
                </c:pt>
                <c:pt idx="512">
                  <c:v>428.42599999999999</c:v>
                </c:pt>
                <c:pt idx="513">
                  <c:v>446.51499999999999</c:v>
                </c:pt>
                <c:pt idx="514">
                  <c:v>445.24</c:v>
                </c:pt>
                <c:pt idx="515">
                  <c:v>453.42099999999999</c:v>
                </c:pt>
                <c:pt idx="516">
                  <c:v>444.82900000000001</c:v>
                </c:pt>
                <c:pt idx="517">
                  <c:v>446.18099999999998</c:v>
                </c:pt>
                <c:pt idx="518">
                  <c:v>446.18099999999998</c:v>
                </c:pt>
                <c:pt idx="519">
                  <c:v>446.18099999999998</c:v>
                </c:pt>
                <c:pt idx="520">
                  <c:v>441.52300000000002</c:v>
                </c:pt>
                <c:pt idx="521">
                  <c:v>438.93400000000003</c:v>
                </c:pt>
                <c:pt idx="522">
                  <c:v>437.84399999999999</c:v>
                </c:pt>
                <c:pt idx="523">
                  <c:v>437.84399999999999</c:v>
                </c:pt>
                <c:pt idx="524">
                  <c:v>429.52800000000002</c:v>
                </c:pt>
                <c:pt idx="525">
                  <c:v>434.27499999999998</c:v>
                </c:pt>
                <c:pt idx="526">
                  <c:v>434.678</c:v>
                </c:pt>
                <c:pt idx="527">
                  <c:v>426.43799999999999</c:v>
                </c:pt>
                <c:pt idx="528">
                  <c:v>423.76600000000002</c:v>
                </c:pt>
                <c:pt idx="529">
                  <c:v>429.28899999999999</c:v>
                </c:pt>
                <c:pt idx="530">
                  <c:v>448.726</c:v>
                </c:pt>
                <c:pt idx="531">
                  <c:v>439.113</c:v>
                </c:pt>
                <c:pt idx="532">
                  <c:v>433.44499999999999</c:v>
                </c:pt>
                <c:pt idx="533">
                  <c:v>441.44600000000003</c:v>
                </c:pt>
                <c:pt idx="534">
                  <c:v>447.91</c:v>
                </c:pt>
                <c:pt idx="535">
                  <c:v>442.71899999999999</c:v>
                </c:pt>
                <c:pt idx="536">
                  <c:v>431.62299999999999</c:v>
                </c:pt>
                <c:pt idx="537">
                  <c:v>421.58199999999999</c:v>
                </c:pt>
                <c:pt idx="538">
                  <c:v>422.46899999999999</c:v>
                </c:pt>
                <c:pt idx="539">
                  <c:v>421.63900000000001</c:v>
                </c:pt>
                <c:pt idx="540">
                  <c:v>423.03300000000002</c:v>
                </c:pt>
                <c:pt idx="541">
                  <c:v>436.27300000000002</c:v>
                </c:pt>
                <c:pt idx="542">
                  <c:v>438.56299999999999</c:v>
                </c:pt>
                <c:pt idx="543">
                  <c:v>436.36099999999999</c:v>
                </c:pt>
                <c:pt idx="544">
                  <c:v>435.06900000000002</c:v>
                </c:pt>
                <c:pt idx="545">
                  <c:v>427.399</c:v>
                </c:pt>
                <c:pt idx="546">
                  <c:v>419.45699999999999</c:v>
                </c:pt>
                <c:pt idx="547">
                  <c:v>402.37099999999998</c:v>
                </c:pt>
                <c:pt idx="548">
                  <c:v>385.51499999999999</c:v>
                </c:pt>
                <c:pt idx="549">
                  <c:v>390.41500000000002</c:v>
                </c:pt>
                <c:pt idx="550">
                  <c:v>400.08600000000001</c:v>
                </c:pt>
                <c:pt idx="551">
                  <c:v>415.077</c:v>
                </c:pt>
                <c:pt idx="552">
                  <c:v>406.86599999999999</c:v>
                </c:pt>
                <c:pt idx="553">
                  <c:v>409.65899999999999</c:v>
                </c:pt>
                <c:pt idx="554">
                  <c:v>416.46199999999999</c:v>
                </c:pt>
                <c:pt idx="555">
                  <c:v>419.24700000000001</c:v>
                </c:pt>
                <c:pt idx="556">
                  <c:v>432.95800000000003</c:v>
                </c:pt>
                <c:pt idx="557">
                  <c:v>425.03699999999998</c:v>
                </c:pt>
                <c:pt idx="558">
                  <c:v>425.25200000000001</c:v>
                </c:pt>
                <c:pt idx="559">
                  <c:v>447.79199999999997</c:v>
                </c:pt>
                <c:pt idx="560">
                  <c:v>452.28699999999998</c:v>
                </c:pt>
                <c:pt idx="561">
                  <c:v>438.60500000000002</c:v>
                </c:pt>
                <c:pt idx="562">
                  <c:v>437.96199999999999</c:v>
                </c:pt>
                <c:pt idx="563">
                  <c:v>479.93099999999998</c:v>
                </c:pt>
                <c:pt idx="564">
                  <c:v>454.18900000000002</c:v>
                </c:pt>
                <c:pt idx="565">
                  <c:v>459.73200000000003</c:v>
                </c:pt>
                <c:pt idx="566">
                  <c:v>459.41</c:v>
                </c:pt>
                <c:pt idx="567">
                  <c:v>469.01</c:v>
                </c:pt>
                <c:pt idx="568">
                  <c:v>486.863</c:v>
                </c:pt>
                <c:pt idx="569">
                  <c:v>505.37700000000001</c:v>
                </c:pt>
                <c:pt idx="570">
                  <c:v>495.09899999999999</c:v>
                </c:pt>
                <c:pt idx="571">
                  <c:v>483.20499999999998</c:v>
                </c:pt>
                <c:pt idx="572">
                  <c:v>447.86200000000002</c:v>
                </c:pt>
                <c:pt idx="573">
                  <c:v>455.62799999999999</c:v>
                </c:pt>
                <c:pt idx="574">
                  <c:v>447.34</c:v>
                </c:pt>
                <c:pt idx="575">
                  <c:v>432.70400000000001</c:v>
                </c:pt>
                <c:pt idx="576">
                  <c:v>441.88099999999997</c:v>
                </c:pt>
                <c:pt idx="577">
                  <c:v>443.69</c:v>
                </c:pt>
                <c:pt idx="578">
                  <c:v>448.17599999999999</c:v>
                </c:pt>
                <c:pt idx="579">
                  <c:v>440.37799999999999</c:v>
                </c:pt>
                <c:pt idx="580">
                  <c:v>441.43900000000002</c:v>
                </c:pt>
                <c:pt idx="581">
                  <c:v>437.8</c:v>
                </c:pt>
                <c:pt idx="582">
                  <c:v>441.88</c:v>
                </c:pt>
                <c:pt idx="583">
                  <c:v>442.67599999999999</c:v>
                </c:pt>
                <c:pt idx="584">
                  <c:v>443.9</c:v>
                </c:pt>
                <c:pt idx="585">
                  <c:v>461.173</c:v>
                </c:pt>
                <c:pt idx="586">
                  <c:v>456.95299999999997</c:v>
                </c:pt>
                <c:pt idx="587">
                  <c:v>487.14699999999999</c:v>
                </c:pt>
                <c:pt idx="588">
                  <c:v>487.14699999999999</c:v>
                </c:pt>
                <c:pt idx="589">
                  <c:v>487.14699999999999</c:v>
                </c:pt>
                <c:pt idx="590">
                  <c:v>527.226</c:v>
                </c:pt>
                <c:pt idx="591">
                  <c:v>511.87299999999999</c:v>
                </c:pt>
                <c:pt idx="592">
                  <c:v>512.01499999999999</c:v>
                </c:pt>
                <c:pt idx="593">
                  <c:v>519.71400000000006</c:v>
                </c:pt>
                <c:pt idx="594">
                  <c:v>546.47900000000004</c:v>
                </c:pt>
                <c:pt idx="595">
                  <c:v>552.23400000000004</c:v>
                </c:pt>
                <c:pt idx="596">
                  <c:v>514.952</c:v>
                </c:pt>
                <c:pt idx="597">
                  <c:v>515.24599999999998</c:v>
                </c:pt>
                <c:pt idx="598">
                  <c:v>499.05099999999999</c:v>
                </c:pt>
                <c:pt idx="599">
                  <c:v>493.95400000000001</c:v>
                </c:pt>
                <c:pt idx="600">
                  <c:v>522.70100000000002</c:v>
                </c:pt>
                <c:pt idx="601">
                  <c:v>527.05700000000002</c:v>
                </c:pt>
                <c:pt idx="602">
                  <c:v>488.96600000000001</c:v>
                </c:pt>
                <c:pt idx="603">
                  <c:v>460.80900000000003</c:v>
                </c:pt>
                <c:pt idx="604">
                  <c:v>474.09699999999998</c:v>
                </c:pt>
                <c:pt idx="605">
                  <c:v>475.89100000000002</c:v>
                </c:pt>
                <c:pt idx="606">
                  <c:v>489.024</c:v>
                </c:pt>
                <c:pt idx="607">
                  <c:v>487.39400000000001</c:v>
                </c:pt>
                <c:pt idx="608">
                  <c:v>487.82400000000001</c:v>
                </c:pt>
                <c:pt idx="609">
                  <c:v>487.82400000000001</c:v>
                </c:pt>
                <c:pt idx="610">
                  <c:v>495.81</c:v>
                </c:pt>
                <c:pt idx="611">
                  <c:v>490.50299999999999</c:v>
                </c:pt>
                <c:pt idx="612">
                  <c:v>480.52199999999999</c:v>
                </c:pt>
                <c:pt idx="613">
                  <c:v>469.529</c:v>
                </c:pt>
                <c:pt idx="614">
                  <c:v>460.74799999999999</c:v>
                </c:pt>
                <c:pt idx="615">
                  <c:v>469.51400000000001</c:v>
                </c:pt>
                <c:pt idx="616">
                  <c:v>471.60500000000002</c:v>
                </c:pt>
                <c:pt idx="617">
                  <c:v>473.125</c:v>
                </c:pt>
                <c:pt idx="618">
                  <c:v>466.93700000000001</c:v>
                </c:pt>
                <c:pt idx="619">
                  <c:v>464.14100000000002</c:v>
                </c:pt>
                <c:pt idx="620">
                  <c:v>452.91399999999999</c:v>
                </c:pt>
                <c:pt idx="621">
                  <c:v>457.72</c:v>
                </c:pt>
                <c:pt idx="622">
                  <c:v>447.27100000000002</c:v>
                </c:pt>
                <c:pt idx="623">
                  <c:v>434.79599999999999</c:v>
                </c:pt>
                <c:pt idx="624">
                  <c:v>426.87599999999998</c:v>
                </c:pt>
                <c:pt idx="625">
                  <c:v>417.45699999999999</c:v>
                </c:pt>
                <c:pt idx="626">
                  <c:v>417.27600000000001</c:v>
                </c:pt>
                <c:pt idx="627">
                  <c:v>413.952</c:v>
                </c:pt>
                <c:pt idx="628">
                  <c:v>409.13600000000002</c:v>
                </c:pt>
                <c:pt idx="629">
                  <c:v>409.13600000000002</c:v>
                </c:pt>
                <c:pt idx="630">
                  <c:v>403.27800000000002</c:v>
                </c:pt>
                <c:pt idx="631">
                  <c:v>401.75200000000001</c:v>
                </c:pt>
                <c:pt idx="632">
                  <c:v>406.93700000000001</c:v>
                </c:pt>
                <c:pt idx="633">
                  <c:v>414.25700000000001</c:v>
                </c:pt>
                <c:pt idx="634">
                  <c:v>411.74</c:v>
                </c:pt>
                <c:pt idx="635">
                  <c:v>410.47300000000001</c:v>
                </c:pt>
                <c:pt idx="636">
                  <c:v>408.85399999999998</c:v>
                </c:pt>
                <c:pt idx="637">
                  <c:v>414.54300000000001</c:v>
                </c:pt>
                <c:pt idx="638">
                  <c:v>410.97399999999999</c:v>
                </c:pt>
                <c:pt idx="639">
                  <c:v>411.52300000000002</c:v>
                </c:pt>
                <c:pt idx="640">
                  <c:v>417.82600000000002</c:v>
                </c:pt>
                <c:pt idx="641">
                  <c:v>408.596</c:v>
                </c:pt>
                <c:pt idx="642">
                  <c:v>418.71600000000001</c:v>
                </c:pt>
                <c:pt idx="643">
                  <c:v>423.53699999999998</c:v>
                </c:pt>
                <c:pt idx="644">
                  <c:v>425.62599999999998</c:v>
                </c:pt>
                <c:pt idx="645">
                  <c:v>441.226</c:v>
                </c:pt>
                <c:pt idx="646">
                  <c:v>435.036</c:v>
                </c:pt>
                <c:pt idx="647">
                  <c:v>433.38</c:v>
                </c:pt>
                <c:pt idx="648">
                  <c:v>436.58300000000003</c:v>
                </c:pt>
                <c:pt idx="649">
                  <c:v>435.36700000000002</c:v>
                </c:pt>
                <c:pt idx="650">
                  <c:v>428.38499999999999</c:v>
                </c:pt>
                <c:pt idx="651">
                  <c:v>429.58199999999999</c:v>
                </c:pt>
                <c:pt idx="652">
                  <c:v>428.286</c:v>
                </c:pt>
                <c:pt idx="653">
                  <c:v>428.947</c:v>
                </c:pt>
                <c:pt idx="654">
                  <c:v>430.70499999999998</c:v>
                </c:pt>
                <c:pt idx="655">
                  <c:v>439.90899999999999</c:v>
                </c:pt>
                <c:pt idx="656">
                  <c:v>442.70699999999999</c:v>
                </c:pt>
                <c:pt idx="657">
                  <c:v>445.56400000000002</c:v>
                </c:pt>
                <c:pt idx="658">
                  <c:v>437.79399999999998</c:v>
                </c:pt>
                <c:pt idx="659">
                  <c:v>441.78800000000001</c:v>
                </c:pt>
                <c:pt idx="660">
                  <c:v>434.43099999999998</c:v>
                </c:pt>
                <c:pt idx="661">
                  <c:v>439.74299999999999</c:v>
                </c:pt>
                <c:pt idx="662">
                  <c:v>440.435</c:v>
                </c:pt>
                <c:pt idx="663">
                  <c:v>435.67200000000003</c:v>
                </c:pt>
                <c:pt idx="664">
                  <c:v>454.411</c:v>
                </c:pt>
                <c:pt idx="665">
                  <c:v>458.858</c:v>
                </c:pt>
                <c:pt idx="666">
                  <c:v>450.14800000000002</c:v>
                </c:pt>
                <c:pt idx="667">
                  <c:v>453.62799999999999</c:v>
                </c:pt>
                <c:pt idx="668">
                  <c:v>452.95699999999999</c:v>
                </c:pt>
                <c:pt idx="669">
                  <c:v>456.94400000000002</c:v>
                </c:pt>
                <c:pt idx="670">
                  <c:v>471.01</c:v>
                </c:pt>
                <c:pt idx="671">
                  <c:v>469.89299999999997</c:v>
                </c:pt>
                <c:pt idx="672">
                  <c:v>457.34300000000002</c:v>
                </c:pt>
                <c:pt idx="673">
                  <c:v>462.04</c:v>
                </c:pt>
                <c:pt idx="674">
                  <c:v>460.28399999999999</c:v>
                </c:pt>
                <c:pt idx="675">
                  <c:v>457.97500000000002</c:v>
                </c:pt>
                <c:pt idx="676">
                  <c:v>459.21199999999999</c:v>
                </c:pt>
                <c:pt idx="677">
                  <c:v>453.97399999999999</c:v>
                </c:pt>
                <c:pt idx="678">
                  <c:v>450.56400000000002</c:v>
                </c:pt>
                <c:pt idx="679">
                  <c:v>451.77800000000002</c:v>
                </c:pt>
                <c:pt idx="680">
                  <c:v>450.34899999999999</c:v>
                </c:pt>
                <c:pt idx="681">
                  <c:v>456.40699999999998</c:v>
                </c:pt>
                <c:pt idx="682">
                  <c:v>444.34</c:v>
                </c:pt>
                <c:pt idx="683">
                  <c:v>443.923</c:v>
                </c:pt>
                <c:pt idx="684">
                  <c:v>447.13499999999999</c:v>
                </c:pt>
                <c:pt idx="685">
                  <c:v>448.59300000000002</c:v>
                </c:pt>
                <c:pt idx="686">
                  <c:v>445.67899999999997</c:v>
                </c:pt>
                <c:pt idx="687">
                  <c:v>447.65800000000002</c:v>
                </c:pt>
                <c:pt idx="688">
                  <c:v>448.911</c:v>
                </c:pt>
                <c:pt idx="689">
                  <c:v>446.58600000000001</c:v>
                </c:pt>
                <c:pt idx="690">
                  <c:v>439.33199999999999</c:v>
                </c:pt>
                <c:pt idx="691">
                  <c:v>428.22800000000001</c:v>
                </c:pt>
                <c:pt idx="692">
                  <c:v>417.911</c:v>
                </c:pt>
                <c:pt idx="693">
                  <c:v>417.767</c:v>
                </c:pt>
                <c:pt idx="694">
                  <c:v>417.767</c:v>
                </c:pt>
                <c:pt idx="695">
                  <c:v>408.01</c:v>
                </c:pt>
                <c:pt idx="696">
                  <c:v>401.47800000000001</c:v>
                </c:pt>
                <c:pt idx="697">
                  <c:v>401.40499999999997</c:v>
                </c:pt>
                <c:pt idx="698">
                  <c:v>397.94799999999998</c:v>
                </c:pt>
                <c:pt idx="699">
                  <c:v>395.47</c:v>
                </c:pt>
                <c:pt idx="700">
                  <c:v>395.98399999999998</c:v>
                </c:pt>
                <c:pt idx="701">
                  <c:v>400.59699999999998</c:v>
                </c:pt>
                <c:pt idx="702">
                  <c:v>407.36700000000002</c:v>
                </c:pt>
                <c:pt idx="703">
                  <c:v>400.47300000000001</c:v>
                </c:pt>
                <c:pt idx="704">
                  <c:v>393.72199999999998</c:v>
                </c:pt>
                <c:pt idx="705">
                  <c:v>388.05900000000003</c:v>
                </c:pt>
              </c:numCache>
            </c:numRef>
          </c:val>
          <c:smooth val="0"/>
          <c:extLst>
            <c:ext xmlns:c16="http://schemas.microsoft.com/office/drawing/2014/chart" uri="{C3380CC4-5D6E-409C-BE32-E72D297353CC}">
              <c16:uniqueId val="{00000007-7C05-4062-8901-959CCCC822C5}"/>
            </c:ext>
          </c:extLst>
        </c:ser>
        <c:dLbls>
          <c:showLegendKey val="0"/>
          <c:showVal val="0"/>
          <c:showCatName val="0"/>
          <c:showSerName val="0"/>
          <c:showPercent val="0"/>
          <c:showBubbleSize val="0"/>
        </c:dLbls>
        <c:smooth val="0"/>
        <c:axId val="296385152"/>
        <c:axId val="296386944"/>
      </c:lineChart>
      <c:dateAx>
        <c:axId val="296385152"/>
        <c:scaling>
          <c:orientation val="minMax"/>
        </c:scaling>
        <c:delete val="0"/>
        <c:axPos val="b"/>
        <c:numFmt formatCode="dd/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386944"/>
        <c:crosses val="autoZero"/>
        <c:auto val="1"/>
        <c:lblOffset val="100"/>
        <c:baseTimeUnit val="days"/>
      </c:dateAx>
      <c:valAx>
        <c:axId val="296386944"/>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a:t>բազիսային կետ</a:t>
                </a:r>
                <a:endParaRPr lang="en-US" sz="800"/>
              </a:p>
            </c:rich>
          </c:tx>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385152"/>
        <c:crosses val="autoZero"/>
        <c:crossBetween val="between"/>
      </c:valAx>
      <c:spPr>
        <a:noFill/>
        <a:ln>
          <a:noFill/>
        </a:ln>
        <a:effectLst/>
      </c:spPr>
    </c:plotArea>
    <c:legend>
      <c:legendPos val="b"/>
      <c:layout>
        <c:manualLayout>
          <c:xMode val="edge"/>
          <c:yMode val="edge"/>
          <c:x val="9.0346865324469172E-2"/>
          <c:y val="0.79830186593290509"/>
          <c:w val="0.80501893850095085"/>
          <c:h val="0.2016981509598295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GHEA Grapalat" panose="02000506050000020003" pitchFamily="50" charset="0"/>
                <a:ea typeface="+mn-ea"/>
                <a:cs typeface="+mn-cs"/>
              </a:defRPr>
            </a:pPr>
            <a:r>
              <a:rPr lang="hy-AM" sz="800"/>
              <a:t>Տնտեսական աճի փոփոխություն</a:t>
            </a:r>
            <a:endParaRPr lang="en-US" sz="80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rgbClr val="C00000"/>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3A5A-40EC-9CDA-8126609BCE38}"/>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3-3A5A-40EC-9CDA-8126609BCE3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2009 GFC</c:v>
                </c:pt>
                <c:pt idx="1">
                  <c:v>2010</c:v>
                </c:pt>
                <c:pt idx="2">
                  <c:v>2020 COVID-19</c:v>
                </c:pt>
                <c:pt idx="3">
                  <c:v>2021</c:v>
                </c:pt>
              </c:strCache>
            </c:strRef>
          </c:cat>
          <c:val>
            <c:numRef>
              <c:f>Sheet1!$B$2:$B$5</c:f>
              <c:numCache>
                <c:formatCode>General</c:formatCode>
                <c:ptCount val="4"/>
                <c:pt idx="0">
                  <c:v>-3.1</c:v>
                </c:pt>
                <c:pt idx="1">
                  <c:v>5.5</c:v>
                </c:pt>
                <c:pt idx="2">
                  <c:v>-6</c:v>
                </c:pt>
                <c:pt idx="3">
                  <c:v>9.1999999999999993</c:v>
                </c:pt>
              </c:numCache>
            </c:numRef>
          </c:val>
          <c:extLst>
            <c:ext xmlns:c16="http://schemas.microsoft.com/office/drawing/2014/chart" uri="{C3380CC4-5D6E-409C-BE32-E72D297353CC}">
              <c16:uniqueId val="{00000004-3A5A-40EC-9CDA-8126609BCE38}"/>
            </c:ext>
          </c:extLst>
        </c:ser>
        <c:dLbls>
          <c:showLegendKey val="0"/>
          <c:showVal val="0"/>
          <c:showCatName val="0"/>
          <c:showSerName val="0"/>
          <c:showPercent val="0"/>
          <c:showBubbleSize val="0"/>
        </c:dLbls>
        <c:gapWidth val="219"/>
        <c:overlap val="-27"/>
        <c:axId val="303078016"/>
        <c:axId val="303083904"/>
      </c:barChart>
      <c:catAx>
        <c:axId val="30307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03083904"/>
        <c:crosses val="autoZero"/>
        <c:auto val="1"/>
        <c:lblAlgn val="ctr"/>
        <c:lblOffset val="100"/>
        <c:noMultiLvlLbl val="0"/>
      </c:catAx>
      <c:valAx>
        <c:axId val="30308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r>
                  <a:rPr lang="en-US"/>
                  <a:t>տոկոսային</a:t>
                </a:r>
                <a:r>
                  <a:rPr lang="hy-AM"/>
                  <a:t> կետ</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0307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GHEA Grapalat" panose="02000506050000020003" pitchFamily="50"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GHEA Grapalat" panose="02000506050000020003" pitchFamily="50" charset="0"/>
                <a:ea typeface="+mn-ea"/>
                <a:cs typeface="+mn-cs"/>
              </a:defRPr>
            </a:pPr>
            <a:r>
              <a:rPr lang="hy-AM" sz="800"/>
              <a:t>Պետական պարտքի փոփոխություն</a:t>
            </a:r>
            <a:endParaRPr lang="en-US" sz="80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83B1-4C70-BC0B-46833C27A7A0}"/>
              </c:ext>
            </c:extLst>
          </c:dPt>
          <c:dPt>
            <c:idx val="2"/>
            <c:invertIfNegative val="0"/>
            <c:bubble3D val="0"/>
            <c:spPr>
              <a:solidFill>
                <a:srgbClr val="C00000"/>
              </a:solidFill>
              <a:ln>
                <a:noFill/>
              </a:ln>
              <a:effectLst/>
            </c:spPr>
            <c:extLst>
              <c:ext xmlns:c16="http://schemas.microsoft.com/office/drawing/2014/chart" uri="{C3380CC4-5D6E-409C-BE32-E72D297353CC}">
                <c16:uniqueId val="{00000003-83B1-4C70-BC0B-46833C27A7A0}"/>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2009 GFC</c:v>
                </c:pt>
                <c:pt idx="1">
                  <c:v>2010</c:v>
                </c:pt>
                <c:pt idx="2">
                  <c:v>2020 COVID-19</c:v>
                </c:pt>
                <c:pt idx="3">
                  <c:v>2021</c:v>
                </c:pt>
              </c:strCache>
            </c:strRef>
          </c:cat>
          <c:val>
            <c:numRef>
              <c:f>Sheet1!$B$2:$B$5</c:f>
              <c:numCache>
                <c:formatCode>General</c:formatCode>
                <c:ptCount val="4"/>
                <c:pt idx="0">
                  <c:v>10.4</c:v>
                </c:pt>
                <c:pt idx="1">
                  <c:v>2.2999999999999998</c:v>
                </c:pt>
                <c:pt idx="2" formatCode="0.0">
                  <c:v>15</c:v>
                </c:pt>
                <c:pt idx="3">
                  <c:v>0.1</c:v>
                </c:pt>
              </c:numCache>
            </c:numRef>
          </c:val>
          <c:extLst>
            <c:ext xmlns:c16="http://schemas.microsoft.com/office/drawing/2014/chart" uri="{C3380CC4-5D6E-409C-BE32-E72D297353CC}">
              <c16:uniqueId val="{00000004-83B1-4C70-BC0B-46833C27A7A0}"/>
            </c:ext>
          </c:extLst>
        </c:ser>
        <c:dLbls>
          <c:showLegendKey val="0"/>
          <c:showVal val="0"/>
          <c:showCatName val="0"/>
          <c:showSerName val="0"/>
          <c:showPercent val="0"/>
          <c:showBubbleSize val="0"/>
        </c:dLbls>
        <c:gapWidth val="219"/>
        <c:overlap val="-27"/>
        <c:axId val="303655552"/>
        <c:axId val="304046464"/>
      </c:barChart>
      <c:catAx>
        <c:axId val="3036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04046464"/>
        <c:crosses val="autoZero"/>
        <c:auto val="1"/>
        <c:lblAlgn val="ctr"/>
        <c:lblOffset val="100"/>
        <c:noMultiLvlLbl val="0"/>
      </c:catAx>
      <c:valAx>
        <c:axId val="30404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r>
                  <a:rPr lang="en-US"/>
                  <a:t>տոկոսային</a:t>
                </a:r>
                <a:r>
                  <a:rPr lang="hy-AM"/>
                  <a:t> կետ</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0365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GHEA Grapalat" panose="02000506050000020003" pitchFamily="50"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GHEA Grapalat" panose="02000506050000020003" pitchFamily="50" charset="0"/>
                <a:ea typeface="+mn-ea"/>
                <a:cs typeface="+mn-cs"/>
              </a:defRPr>
            </a:pPr>
            <a:r>
              <a:rPr lang="hy-AM" sz="800"/>
              <a:t>Բյուջեի հաշվեկշռի փոփոխություն</a:t>
            </a:r>
            <a:endParaRPr lang="en-US" sz="80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7395-48AC-A053-5A53EFD77CF5}"/>
              </c:ext>
            </c:extLst>
          </c:dPt>
          <c:dPt>
            <c:idx val="2"/>
            <c:invertIfNegative val="0"/>
            <c:bubble3D val="0"/>
            <c:spPr>
              <a:solidFill>
                <a:srgbClr val="C00000"/>
              </a:solidFill>
              <a:ln>
                <a:noFill/>
              </a:ln>
              <a:effectLst/>
            </c:spPr>
            <c:extLst>
              <c:ext xmlns:c16="http://schemas.microsoft.com/office/drawing/2014/chart" uri="{C3380CC4-5D6E-409C-BE32-E72D297353CC}">
                <c16:uniqueId val="{00000003-7395-48AC-A053-5A53EFD77CF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2009 GFC</c:v>
                </c:pt>
                <c:pt idx="1">
                  <c:v>2010</c:v>
                </c:pt>
                <c:pt idx="2">
                  <c:v>2020 COVID-19</c:v>
                </c:pt>
                <c:pt idx="3">
                  <c:v>2021</c:v>
                </c:pt>
              </c:strCache>
            </c:strRef>
          </c:cat>
          <c:val>
            <c:numRef>
              <c:f>Sheet1!$B$2:$B$5</c:f>
              <c:numCache>
                <c:formatCode>General</c:formatCode>
                <c:ptCount val="4"/>
                <c:pt idx="0">
                  <c:v>-5.0999999999999996</c:v>
                </c:pt>
                <c:pt idx="1">
                  <c:v>1.4</c:v>
                </c:pt>
                <c:pt idx="2">
                  <c:v>-6.6</c:v>
                </c:pt>
                <c:pt idx="3">
                  <c:v>1.5</c:v>
                </c:pt>
              </c:numCache>
            </c:numRef>
          </c:val>
          <c:extLst>
            <c:ext xmlns:c16="http://schemas.microsoft.com/office/drawing/2014/chart" uri="{C3380CC4-5D6E-409C-BE32-E72D297353CC}">
              <c16:uniqueId val="{00000004-7395-48AC-A053-5A53EFD77CF5}"/>
            </c:ext>
          </c:extLst>
        </c:ser>
        <c:dLbls>
          <c:showLegendKey val="0"/>
          <c:showVal val="0"/>
          <c:showCatName val="0"/>
          <c:showSerName val="0"/>
          <c:showPercent val="0"/>
          <c:showBubbleSize val="0"/>
        </c:dLbls>
        <c:gapWidth val="219"/>
        <c:overlap val="-27"/>
        <c:axId val="310332032"/>
        <c:axId val="310366592"/>
      </c:barChart>
      <c:catAx>
        <c:axId val="31033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10366592"/>
        <c:crosses val="autoZero"/>
        <c:auto val="1"/>
        <c:lblAlgn val="ctr"/>
        <c:lblOffset val="100"/>
        <c:noMultiLvlLbl val="0"/>
      </c:catAx>
      <c:valAx>
        <c:axId val="31036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r>
                  <a:rPr lang="en-US"/>
                  <a:t>տոկոսայ</a:t>
                </a:r>
                <a:r>
                  <a:rPr lang="hy-AM"/>
                  <a:t>ին կետ</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1033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GHEA Grapalat" panose="02000506050000020003" pitchFamily="50"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0.63696</cdr:x>
      <cdr:y>0.00474</cdr:y>
    </cdr:from>
    <cdr:to>
      <cdr:x>1</cdr:x>
      <cdr:y>0.85714</cdr:y>
    </cdr:to>
    <cdr:sp macro="" textlink="">
      <cdr:nvSpPr>
        <cdr:cNvPr id="2" name="Rectangle 1"/>
        <cdr:cNvSpPr/>
      </cdr:nvSpPr>
      <cdr:spPr>
        <a:xfrm xmlns:a="http://schemas.openxmlformats.org/drawingml/2006/main">
          <a:off x="2003729" y="8581"/>
          <a:ext cx="1142061" cy="1543172"/>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0.67788</cdr:x>
      <cdr:y>0.25092</cdr:y>
    </cdr:from>
    <cdr:to>
      <cdr:x>0.90808</cdr:x>
      <cdr:y>0.34034</cdr:y>
    </cdr:to>
    <cdr:cxnSp macro="">
      <cdr:nvCxnSpPr>
        <cdr:cNvPr id="4" name="Straight Arrow Connector 3"/>
        <cdr:cNvCxnSpPr/>
      </cdr:nvCxnSpPr>
      <cdr:spPr>
        <a:xfrm xmlns:a="http://schemas.openxmlformats.org/drawingml/2006/main" flipV="1">
          <a:off x="2085975" y="568823"/>
          <a:ext cx="708378" cy="20270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0.64693</cdr:x>
      <cdr:y>0.04305</cdr:y>
    </cdr:from>
    <cdr:to>
      <cdr:x>0.94986</cdr:x>
      <cdr:y>0.86975</cdr:y>
    </cdr:to>
    <cdr:sp macro="" textlink="">
      <cdr:nvSpPr>
        <cdr:cNvPr id="5" name="Rectangle 4"/>
        <cdr:cNvSpPr/>
      </cdr:nvSpPr>
      <cdr:spPr>
        <a:xfrm xmlns:a="http://schemas.openxmlformats.org/drawingml/2006/main">
          <a:off x="1990739" y="97592"/>
          <a:ext cx="932180" cy="18740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0.38097</cdr:x>
      <cdr:y>0.07497</cdr:y>
    </cdr:from>
    <cdr:to>
      <cdr:x>0.80543</cdr:x>
      <cdr:y>0.21226</cdr:y>
    </cdr:to>
    <cdr:sp macro="" textlink="">
      <cdr:nvSpPr>
        <cdr:cNvPr id="2" name="Text Box 1"/>
        <cdr:cNvSpPr txBox="1"/>
      </cdr:nvSpPr>
      <cdr:spPr>
        <a:xfrm xmlns:a="http://schemas.openxmlformats.org/drawingml/2006/main">
          <a:off x="1128538" y="152092"/>
          <a:ext cx="1257361" cy="2785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0.2209</cdr:x>
      <cdr:y>0</cdr:y>
    </cdr:from>
    <cdr:to>
      <cdr:x>0.5992</cdr:x>
      <cdr:y>0.1122</cdr:y>
    </cdr:to>
    <cdr:sp macro="" textlink="">
      <cdr:nvSpPr>
        <cdr:cNvPr id="3" name="Text Box 2"/>
        <cdr:cNvSpPr txBox="1"/>
      </cdr:nvSpPr>
      <cdr:spPr>
        <a:xfrm xmlns:a="http://schemas.openxmlformats.org/drawingml/2006/main">
          <a:off x="673303" y="0"/>
          <a:ext cx="1153059"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Արտահանում</a:t>
          </a:r>
          <a:endParaRPr lang="en-US" sz="1000" b="1">
            <a:latin typeface="GHEA Grapalat" panose="02000506050000020003" pitchFamily="50" charset="0"/>
          </a:endParaRPr>
        </a:p>
      </cdr:txBody>
    </cdr:sp>
  </cdr:relSizeAnchor>
  <cdr:relSizeAnchor xmlns:cdr="http://schemas.openxmlformats.org/drawingml/2006/chartDrawing">
    <cdr:from>
      <cdr:x>0.79063</cdr:x>
      <cdr:y>0.124</cdr:y>
    </cdr:from>
    <cdr:to>
      <cdr:x>0.95683</cdr:x>
      <cdr:y>0.20541</cdr:y>
    </cdr:to>
    <cdr:cxnSp macro="">
      <cdr:nvCxnSpPr>
        <cdr:cNvPr id="5" name="Straight Arrow Connector 4"/>
        <cdr:cNvCxnSpPr/>
      </cdr:nvCxnSpPr>
      <cdr:spPr>
        <a:xfrm xmlns:a="http://schemas.openxmlformats.org/drawingml/2006/main" flipV="1">
          <a:off x="2507740" y="249214"/>
          <a:ext cx="527157" cy="163615"/>
        </a:xfrm>
        <a:prstGeom xmlns:a="http://schemas.openxmlformats.org/drawingml/2006/main" prst="straightConnector1">
          <a:avLst/>
        </a:prstGeom>
        <a:ln xmlns:a="http://schemas.openxmlformats.org/drawingml/2006/main">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0.78311</cdr:x>
      <cdr:y>0.01779</cdr:y>
    </cdr:from>
    <cdr:to>
      <cdr:x>0.99248</cdr:x>
      <cdr:y>0.8587</cdr:y>
    </cdr:to>
    <cdr:sp macro="" textlink="">
      <cdr:nvSpPr>
        <cdr:cNvPr id="4" name="Rectangle 3"/>
        <cdr:cNvSpPr/>
      </cdr:nvSpPr>
      <cdr:spPr>
        <a:xfrm xmlns:a="http://schemas.openxmlformats.org/drawingml/2006/main">
          <a:off x="2483887" y="35761"/>
          <a:ext cx="664085" cy="1690040"/>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0.19497</cdr:x>
      <cdr:y>0</cdr:y>
    </cdr:from>
    <cdr:to>
      <cdr:x>0.64951</cdr:x>
      <cdr:y>0.10455</cdr:y>
    </cdr:to>
    <cdr:sp macro="" textlink="">
      <cdr:nvSpPr>
        <cdr:cNvPr id="3" name="Text Box 2"/>
        <cdr:cNvSpPr txBox="1"/>
      </cdr:nvSpPr>
      <cdr:spPr>
        <a:xfrm xmlns:a="http://schemas.openxmlformats.org/drawingml/2006/main">
          <a:off x="633260" y="0"/>
          <a:ext cx="1476357" cy="231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Ներմուծում</a:t>
          </a:r>
          <a:endParaRPr lang="en-US" sz="1000" b="1">
            <a:latin typeface="GHEA Grapalat" panose="02000506050000020003" pitchFamily="50" charset="0"/>
          </a:endParaRPr>
        </a:p>
      </cdr:txBody>
    </cdr:sp>
  </cdr:relSizeAnchor>
  <cdr:relSizeAnchor xmlns:cdr="http://schemas.openxmlformats.org/drawingml/2006/chartDrawing">
    <cdr:from>
      <cdr:x>0.75015</cdr:x>
      <cdr:y>0.02879</cdr:y>
    </cdr:from>
    <cdr:to>
      <cdr:x>1</cdr:x>
      <cdr:y>0.86752</cdr:y>
    </cdr:to>
    <cdr:sp macro="" textlink="">
      <cdr:nvSpPr>
        <cdr:cNvPr id="4" name="Rectangle 3"/>
        <cdr:cNvSpPr/>
      </cdr:nvSpPr>
      <cdr:spPr>
        <a:xfrm xmlns:a="http://schemas.openxmlformats.org/drawingml/2006/main">
          <a:off x="2300271" y="57862"/>
          <a:ext cx="766144" cy="1685659"/>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0.80384</cdr:x>
      <cdr:y>0.37874</cdr:y>
    </cdr:from>
    <cdr:to>
      <cdr:x>0.94555</cdr:x>
      <cdr:y>0.44706</cdr:y>
    </cdr:to>
    <cdr:cxnSp macro="">
      <cdr:nvCxnSpPr>
        <cdr:cNvPr id="5" name="Straight Arrow Connector 4"/>
        <cdr:cNvCxnSpPr/>
      </cdr:nvCxnSpPr>
      <cdr:spPr>
        <a:xfrm xmlns:a="http://schemas.openxmlformats.org/drawingml/2006/main" flipV="1">
          <a:off x="2464905" y="761191"/>
          <a:ext cx="434533" cy="137306"/>
        </a:xfrm>
        <a:prstGeom xmlns:a="http://schemas.openxmlformats.org/drawingml/2006/main" prst="straightConnector1">
          <a:avLst/>
        </a:prstGeom>
        <a:ln xmlns:a="http://schemas.openxmlformats.org/drawingml/2006/main">
          <a:solidFill>
            <a:srgbClr val="C0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0.71978</cdr:x>
      <cdr:y>0.17642</cdr:y>
    </cdr:from>
    <cdr:to>
      <cdr:x>0.97487</cdr:x>
      <cdr:y>0.82037</cdr:y>
    </cdr:to>
    <cdr:sp macro="" textlink="">
      <cdr:nvSpPr>
        <cdr:cNvPr id="2" name="Rectangle 1"/>
        <cdr:cNvSpPr/>
      </cdr:nvSpPr>
      <cdr:spPr>
        <a:xfrm xmlns:a="http://schemas.openxmlformats.org/drawingml/2006/main">
          <a:off x="4391891" y="381000"/>
          <a:ext cx="1556488" cy="1390700"/>
        </a:xfrm>
        <a:prstGeom xmlns:a="http://schemas.openxmlformats.org/drawingml/2006/main" prst="rect">
          <a:avLst/>
        </a:prstGeom>
        <a:solidFill xmlns:a="http://schemas.openxmlformats.org/drawingml/2006/main">
          <a:schemeClr val="accent1">
            <a:alpha val="20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16.xml><?xml version="1.0" encoding="utf-8"?>
<c:userShapes xmlns:c="http://schemas.openxmlformats.org/drawingml/2006/chart">
  <cdr:relSizeAnchor xmlns:cdr="http://schemas.openxmlformats.org/drawingml/2006/chartDrawing">
    <cdr:from>
      <cdr:x>0.71661</cdr:x>
      <cdr:y>0.00474</cdr:y>
    </cdr:from>
    <cdr:to>
      <cdr:x>1</cdr:x>
      <cdr:y>0.8033</cdr:y>
    </cdr:to>
    <cdr:sp macro="" textlink="">
      <cdr:nvSpPr>
        <cdr:cNvPr id="2" name="Rounded Rectangle 1"/>
        <cdr:cNvSpPr/>
      </cdr:nvSpPr>
      <cdr:spPr>
        <a:xfrm xmlns:a="http://schemas.openxmlformats.org/drawingml/2006/main">
          <a:off x="2115047" y="13545"/>
          <a:ext cx="836433" cy="2281885"/>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7.xml><?xml version="1.0" encoding="utf-8"?>
<c:userShapes xmlns:c="http://schemas.openxmlformats.org/drawingml/2006/chart">
  <cdr:relSizeAnchor xmlns:cdr="http://schemas.openxmlformats.org/drawingml/2006/chartDrawing">
    <cdr:from>
      <cdr:x>0.71876</cdr:x>
      <cdr:y>0</cdr:y>
    </cdr:from>
    <cdr:to>
      <cdr:x>1</cdr:x>
      <cdr:y>0.77724</cdr:y>
    </cdr:to>
    <cdr:sp macro="" textlink="">
      <cdr:nvSpPr>
        <cdr:cNvPr id="2" name="Rounded Rectangle 1"/>
        <cdr:cNvSpPr/>
      </cdr:nvSpPr>
      <cdr:spPr>
        <a:xfrm xmlns:a="http://schemas.openxmlformats.org/drawingml/2006/main">
          <a:off x="2121408" y="0"/>
          <a:ext cx="830072" cy="2220963"/>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8.xml><?xml version="1.0" encoding="utf-8"?>
<c:userShapes xmlns:c="http://schemas.openxmlformats.org/drawingml/2006/chart">
  <cdr:relSizeAnchor xmlns:cdr="http://schemas.openxmlformats.org/drawingml/2006/chartDrawing">
    <cdr:from>
      <cdr:x>0.6266</cdr:x>
      <cdr:y>4.00713E-7</cdr:y>
    </cdr:from>
    <cdr:to>
      <cdr:x>1</cdr:x>
      <cdr:y>0.75318</cdr:y>
    </cdr:to>
    <cdr:sp macro="" textlink="">
      <cdr:nvSpPr>
        <cdr:cNvPr id="2" name="Rounded Rectangle 1"/>
        <cdr:cNvSpPr/>
      </cdr:nvSpPr>
      <cdr:spPr>
        <a:xfrm xmlns:a="http://schemas.openxmlformats.org/drawingml/2006/main">
          <a:off x="3740150" y="1"/>
          <a:ext cx="2228850" cy="1879600"/>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0.67556</cdr:x>
      <cdr:y>3.70455E-7</cdr:y>
    </cdr:from>
    <cdr:to>
      <cdr:x>1</cdr:x>
      <cdr:y>0.72218</cdr:y>
    </cdr:to>
    <cdr:sp macro="" textlink="">
      <cdr:nvSpPr>
        <cdr:cNvPr id="2" name="Rounded Rectangle 1"/>
        <cdr:cNvSpPr/>
      </cdr:nvSpPr>
      <cdr:spPr>
        <a:xfrm xmlns:a="http://schemas.openxmlformats.org/drawingml/2006/main">
          <a:off x="1993899" y="1"/>
          <a:ext cx="957581" cy="1949450"/>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0.63471</cdr:x>
      <cdr:y>0</cdr:y>
    </cdr:from>
    <cdr:to>
      <cdr:x>1</cdr:x>
      <cdr:y>0.83491</cdr:y>
    </cdr:to>
    <cdr:sp macro="" textlink="">
      <cdr:nvSpPr>
        <cdr:cNvPr id="2" name="Rectangle 1"/>
        <cdr:cNvSpPr/>
      </cdr:nvSpPr>
      <cdr:spPr>
        <a:xfrm xmlns:a="http://schemas.openxmlformats.org/drawingml/2006/main">
          <a:off x="2019632" y="0"/>
          <a:ext cx="1162353" cy="1511509"/>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0.68417</cdr:x>
      <cdr:y>0</cdr:y>
    </cdr:from>
    <cdr:to>
      <cdr:x>1</cdr:x>
      <cdr:y>0.69631</cdr:y>
    </cdr:to>
    <cdr:sp macro="" textlink="">
      <cdr:nvSpPr>
        <cdr:cNvPr id="2" name="Rounded Rectangle 1"/>
        <cdr:cNvSpPr/>
      </cdr:nvSpPr>
      <cdr:spPr>
        <a:xfrm xmlns:a="http://schemas.openxmlformats.org/drawingml/2006/main">
          <a:off x="1994985" y="0"/>
          <a:ext cx="920935" cy="1879608"/>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0.13909</cdr:x>
      <cdr:y>0.26693</cdr:y>
    </cdr:from>
    <cdr:to>
      <cdr:x>0.85372</cdr:x>
      <cdr:y>0.27169</cdr:y>
    </cdr:to>
    <cdr:cxnSp macro="">
      <cdr:nvCxnSpPr>
        <cdr:cNvPr id="3" name="Straight Connector 2"/>
        <cdr:cNvCxnSpPr/>
      </cdr:nvCxnSpPr>
      <cdr:spPr>
        <a:xfrm xmlns:a="http://schemas.openxmlformats.org/drawingml/2006/main" flipH="1">
          <a:off x="400541" y="768673"/>
          <a:ext cx="2057938" cy="13708"/>
        </a:xfrm>
        <a:prstGeom xmlns:a="http://schemas.openxmlformats.org/drawingml/2006/main" prst="line">
          <a:avLst/>
        </a:prstGeom>
        <a:ln xmlns:a="http://schemas.openxmlformats.org/drawingml/2006/main" w="2857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0.12891</cdr:x>
      <cdr:y>0.3423</cdr:y>
    </cdr:from>
    <cdr:to>
      <cdr:x>0.84354</cdr:x>
      <cdr:y>0.34706</cdr:y>
    </cdr:to>
    <cdr:cxnSp macro="">
      <cdr:nvCxnSpPr>
        <cdr:cNvPr id="4" name="Straight Connector 3"/>
        <cdr:cNvCxnSpPr/>
      </cdr:nvCxnSpPr>
      <cdr:spPr>
        <a:xfrm xmlns:a="http://schemas.openxmlformats.org/drawingml/2006/main" flipH="1">
          <a:off x="371234" y="985729"/>
          <a:ext cx="2057938" cy="13707"/>
        </a:xfrm>
        <a:prstGeom xmlns:a="http://schemas.openxmlformats.org/drawingml/2006/main" prst="line">
          <a:avLst/>
        </a:prstGeom>
        <a:ln xmlns:a="http://schemas.openxmlformats.org/drawingml/2006/main" w="28575">
          <a:solidFill>
            <a:schemeClr val="accent4"/>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0.63115</cdr:x>
      <cdr:y>0.18483</cdr:y>
    </cdr:from>
    <cdr:to>
      <cdr:x>0.87483</cdr:x>
      <cdr:y>0.68245</cdr:y>
    </cdr:to>
    <cdr:sp macro="" textlink="">
      <cdr:nvSpPr>
        <cdr:cNvPr id="2" name="Rectangle 1"/>
        <cdr:cNvSpPr/>
      </cdr:nvSpPr>
      <cdr:spPr>
        <a:xfrm xmlns:a="http://schemas.openxmlformats.org/drawingml/2006/main">
          <a:off x="1794681" y="532262"/>
          <a:ext cx="692924" cy="1433015"/>
        </a:xfrm>
        <a:prstGeom xmlns:a="http://schemas.openxmlformats.org/drawingml/2006/main" prst="rect">
          <a:avLst/>
        </a:prstGeom>
        <a:solidFill xmlns:a="http://schemas.openxmlformats.org/drawingml/2006/main">
          <a:schemeClr val="bg1">
            <a:lumMod val="85000"/>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22.xml><?xml version="1.0" encoding="utf-8"?>
<c:userShapes xmlns:c="http://schemas.openxmlformats.org/drawingml/2006/chart">
  <cdr:relSizeAnchor xmlns:cdr="http://schemas.openxmlformats.org/drawingml/2006/chartDrawing">
    <cdr:from>
      <cdr:x>0.45572</cdr:x>
      <cdr:y>0.18095</cdr:y>
    </cdr:from>
    <cdr:to>
      <cdr:x>0.64945</cdr:x>
      <cdr:y>0.86774</cdr:y>
    </cdr:to>
    <cdr:sp macro="" textlink="">
      <cdr:nvSpPr>
        <cdr:cNvPr id="2" name="Rectangle 1"/>
        <cdr:cNvSpPr/>
      </cdr:nvSpPr>
      <cdr:spPr>
        <a:xfrm xmlns:a="http://schemas.openxmlformats.org/drawingml/2006/main">
          <a:off x="1351128" y="522235"/>
          <a:ext cx="574370" cy="1982129"/>
        </a:xfrm>
        <a:prstGeom xmlns:a="http://schemas.openxmlformats.org/drawingml/2006/main" prst="rect">
          <a:avLst/>
        </a:prstGeom>
        <a:solidFill xmlns:a="http://schemas.openxmlformats.org/drawingml/2006/main">
          <a:schemeClr val="bg1">
            <a:lumMod val="85000"/>
            <a:alpha val="2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3.xml><?xml version="1.0" encoding="utf-8"?>
<c:userShapes xmlns:c="http://schemas.openxmlformats.org/drawingml/2006/chart">
  <cdr:relSizeAnchor xmlns:cdr="http://schemas.openxmlformats.org/drawingml/2006/chartDrawing">
    <cdr:from>
      <cdr:x>0.84338</cdr:x>
      <cdr:y>0.06064</cdr:y>
    </cdr:from>
    <cdr:to>
      <cdr:x>0.94599</cdr:x>
      <cdr:y>0.87668</cdr:y>
    </cdr:to>
    <cdr:sp macro="" textlink="">
      <cdr:nvSpPr>
        <cdr:cNvPr id="2" name="Rectangle 1"/>
        <cdr:cNvSpPr/>
      </cdr:nvSpPr>
      <cdr:spPr>
        <a:xfrm xmlns:a="http://schemas.openxmlformats.org/drawingml/2006/main">
          <a:off x="2538483" y="152793"/>
          <a:ext cx="308851" cy="2056160"/>
        </a:xfrm>
        <a:prstGeom xmlns:a="http://schemas.openxmlformats.org/drawingml/2006/main" prst="rect">
          <a:avLst/>
        </a:prstGeom>
        <a:solidFill xmlns:a="http://schemas.openxmlformats.org/drawingml/2006/main">
          <a:schemeClr val="bg1">
            <a:lumMod val="8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4.xml><?xml version="1.0" encoding="utf-8"?>
<c:userShapes xmlns:c="http://schemas.openxmlformats.org/drawingml/2006/chart">
  <cdr:relSizeAnchor xmlns:cdr="http://schemas.openxmlformats.org/drawingml/2006/chartDrawing">
    <cdr:from>
      <cdr:x>0.84188</cdr:x>
      <cdr:y>0.04048</cdr:y>
    </cdr:from>
    <cdr:to>
      <cdr:x>0.95573</cdr:x>
      <cdr:y>0.9</cdr:y>
    </cdr:to>
    <cdr:sp macro="" textlink="">
      <cdr:nvSpPr>
        <cdr:cNvPr id="2" name="Rectangle 1"/>
        <cdr:cNvSpPr/>
      </cdr:nvSpPr>
      <cdr:spPr>
        <a:xfrm xmlns:a="http://schemas.openxmlformats.org/drawingml/2006/main">
          <a:off x="2463421" y="101997"/>
          <a:ext cx="333121" cy="2165715"/>
        </a:xfrm>
        <a:prstGeom xmlns:a="http://schemas.openxmlformats.org/drawingml/2006/main" prst="rect">
          <a:avLst/>
        </a:prstGeom>
        <a:solidFill xmlns:a="http://schemas.openxmlformats.org/drawingml/2006/main">
          <a:schemeClr val="bg1">
            <a:lumMod val="8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5.xml><?xml version="1.0" encoding="utf-8"?>
<c:userShapes xmlns:c="http://schemas.openxmlformats.org/drawingml/2006/chart">
  <cdr:relSizeAnchor xmlns:cdr="http://schemas.openxmlformats.org/drawingml/2006/chartDrawing">
    <cdr:from>
      <cdr:x>0.78753</cdr:x>
      <cdr:y>0.03286</cdr:y>
    </cdr:from>
    <cdr:to>
      <cdr:x>0.79039</cdr:x>
      <cdr:y>0.60796</cdr:y>
    </cdr:to>
    <cdr:cxnSp macro="">
      <cdr:nvCxnSpPr>
        <cdr:cNvPr id="3" name="Straight Connector 2"/>
        <cdr:cNvCxnSpPr/>
      </cdr:nvCxnSpPr>
      <cdr:spPr>
        <a:xfrm xmlns:a="http://schemas.openxmlformats.org/drawingml/2006/main" flipH="1" flipV="1">
          <a:off x="4680760" y="101385"/>
          <a:ext cx="16999" cy="1774451"/>
        </a:xfrm>
        <a:prstGeom xmlns:a="http://schemas.openxmlformats.org/drawingml/2006/main" prst="line">
          <a:avLst/>
        </a:prstGeom>
        <a:ln xmlns:a="http://schemas.openxmlformats.org/drawingml/2006/main" w="2222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0.36132</cdr:x>
      <cdr:y>0.03297</cdr:y>
    </cdr:from>
    <cdr:to>
      <cdr:x>0.50965</cdr:x>
      <cdr:y>0.15385</cdr:y>
    </cdr:to>
    <cdr:sp macro="" textlink="">
      <cdr:nvSpPr>
        <cdr:cNvPr id="4" name="Text Box 3"/>
        <cdr:cNvSpPr txBox="1"/>
      </cdr:nvSpPr>
      <cdr:spPr>
        <a:xfrm xmlns:a="http://schemas.openxmlformats.org/drawingml/2006/main">
          <a:off x="2227386" y="105508"/>
          <a:ext cx="914400" cy="386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y-AM" sz="1100" b="1" i="1">
              <a:latin typeface="GHEA Grapalat" panose="02000506050000020003" pitchFamily="50" charset="0"/>
            </a:rPr>
            <a:t>Երկրներ</a:t>
          </a:r>
          <a:endParaRPr lang="en-US" sz="1100" b="1" i="1">
            <a:latin typeface="GHEA Grapalat" panose="02000506050000020003" pitchFamily="50" charset="0"/>
          </a:endParaRPr>
        </a:p>
      </cdr:txBody>
    </cdr:sp>
  </cdr:relSizeAnchor>
  <cdr:relSizeAnchor xmlns:cdr="http://schemas.openxmlformats.org/drawingml/2006/chartDrawing">
    <cdr:from>
      <cdr:x>0.77869</cdr:x>
      <cdr:y>0.02503</cdr:y>
    </cdr:from>
    <cdr:to>
      <cdr:x>0.92354</cdr:x>
      <cdr:y>0.20513</cdr:y>
    </cdr:to>
    <cdr:sp macro="" textlink="">
      <cdr:nvSpPr>
        <cdr:cNvPr id="5" name="Text Box 1"/>
        <cdr:cNvSpPr txBox="1"/>
      </cdr:nvSpPr>
      <cdr:spPr>
        <a:xfrm xmlns:a="http://schemas.openxmlformats.org/drawingml/2006/main">
          <a:off x="4628213" y="77229"/>
          <a:ext cx="860930" cy="5556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hy-AM" sz="1100" b="1" i="1">
              <a:latin typeface="GHEA Grapalat" panose="02000506050000020003" pitchFamily="50" charset="0"/>
            </a:rPr>
            <a:t>Երկրների խմբեր</a:t>
          </a:r>
          <a:endParaRPr lang="en-US" sz="1100" b="1" i="1">
            <a:latin typeface="GHEA Grapalat" panose="02000506050000020003" pitchFamily="50"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0.64833</cdr:x>
      <cdr:y>0</cdr:y>
    </cdr:from>
    <cdr:to>
      <cdr:x>0.97237</cdr:x>
      <cdr:y>0.83248</cdr:y>
    </cdr:to>
    <cdr:sp macro="" textlink="">
      <cdr:nvSpPr>
        <cdr:cNvPr id="2" name="Rectangle 1"/>
        <cdr:cNvSpPr/>
      </cdr:nvSpPr>
      <cdr:spPr>
        <a:xfrm xmlns:a="http://schemas.openxmlformats.org/drawingml/2006/main">
          <a:off x="2007404" y="0"/>
          <a:ext cx="1003312" cy="144050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0.8322</cdr:x>
      <cdr:y>0</cdr:y>
    </cdr:from>
    <cdr:to>
      <cdr:x>0.90586</cdr:x>
      <cdr:y>0.87535</cdr:y>
    </cdr:to>
    <cdr:sp macro="" textlink="">
      <cdr:nvSpPr>
        <cdr:cNvPr id="2" name="Rectangle 1"/>
        <cdr:cNvSpPr/>
      </cdr:nvSpPr>
      <cdr:spPr>
        <a:xfrm xmlns:a="http://schemas.openxmlformats.org/drawingml/2006/main">
          <a:off x="2560321" y="0"/>
          <a:ext cx="226626" cy="164252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0.64143</cdr:x>
      <cdr:y>0</cdr:y>
    </cdr:from>
    <cdr:to>
      <cdr:x>0.98869</cdr:x>
      <cdr:y>0.71651</cdr:y>
    </cdr:to>
    <cdr:sp macro="" textlink="">
      <cdr:nvSpPr>
        <cdr:cNvPr id="2" name="Rectangle 1"/>
        <cdr:cNvSpPr/>
      </cdr:nvSpPr>
      <cdr:spPr>
        <a:xfrm xmlns:a="http://schemas.openxmlformats.org/drawingml/2006/main">
          <a:off x="1937981" y="0"/>
          <a:ext cx="1049177" cy="129078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0.62481</cdr:x>
      <cdr:y>0</cdr:y>
    </cdr:from>
    <cdr:to>
      <cdr:x>0.96722</cdr:x>
      <cdr:y>0.76567</cdr:y>
    </cdr:to>
    <cdr:sp macro="" textlink="">
      <cdr:nvSpPr>
        <cdr:cNvPr id="2" name="Rectangle 1"/>
        <cdr:cNvSpPr/>
      </cdr:nvSpPr>
      <cdr:spPr>
        <a:xfrm xmlns:a="http://schemas.openxmlformats.org/drawingml/2006/main">
          <a:off x="1951630" y="0"/>
          <a:ext cx="1069545" cy="1430402"/>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0.64026</cdr:x>
      <cdr:y>0.03501</cdr:y>
    </cdr:from>
    <cdr:to>
      <cdr:x>0.94714</cdr:x>
      <cdr:y>0.72003</cdr:y>
    </cdr:to>
    <cdr:sp macro="" textlink="">
      <cdr:nvSpPr>
        <cdr:cNvPr id="2" name="Rectangle 1"/>
        <cdr:cNvSpPr/>
      </cdr:nvSpPr>
      <cdr:spPr>
        <a:xfrm xmlns:a="http://schemas.openxmlformats.org/drawingml/2006/main">
          <a:off x="1992572" y="63293"/>
          <a:ext cx="955055" cy="123841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0.63563</cdr:x>
      <cdr:y>0.07084</cdr:y>
    </cdr:from>
    <cdr:to>
      <cdr:x>0.93694</cdr:x>
      <cdr:y>0.79503</cdr:y>
    </cdr:to>
    <cdr:sp macro="" textlink="">
      <cdr:nvSpPr>
        <cdr:cNvPr id="2" name="Rectangle 1"/>
        <cdr:cNvSpPr/>
      </cdr:nvSpPr>
      <cdr:spPr>
        <a:xfrm xmlns:a="http://schemas.openxmlformats.org/drawingml/2006/main">
          <a:off x="1972102" y="128068"/>
          <a:ext cx="934872" cy="1309223"/>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0.61847</cdr:x>
      <cdr:y>0.02286</cdr:y>
    </cdr:from>
    <cdr:to>
      <cdr:x>0.92016</cdr:x>
      <cdr:y>0.84874</cdr:y>
    </cdr:to>
    <cdr:sp macro="" textlink="">
      <cdr:nvSpPr>
        <cdr:cNvPr id="3" name="Rectangle 2"/>
        <cdr:cNvSpPr/>
      </cdr:nvSpPr>
      <cdr:spPr>
        <a:xfrm xmlns:a="http://schemas.openxmlformats.org/drawingml/2006/main">
          <a:off x="1990725" y="51822"/>
          <a:ext cx="971100" cy="187222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Աղյուսակ</b:Tag>
    <b:RefOrder>2</b:RefOrder>
  </b:Source>
  <b:Source>
    <b:Tag>Placeholder1</b:Tag>
    <b:SourceType>Book</b:SourceType>
    <b:Guid>{2AE0E246-06CA-492A-BE9E-19E05D9F8719}</b:Guid>
    <b:RefOrder>1</b:RefOrder>
  </b:Source>
</b:Sources>
</file>

<file path=customXml/itemProps1.xml><?xml version="1.0" encoding="utf-8"?>
<ds:datastoreItem xmlns:ds="http://schemas.openxmlformats.org/officeDocument/2006/customXml" ds:itemID="{8D910414-A918-437C-9996-60FFD3E07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55</Pages>
  <Words>11500</Words>
  <Characters>85890</Characters>
  <Application>Microsoft Office Word</Application>
  <DocSecurity>0</DocSecurity>
  <Lines>715</Lines>
  <Paragraphs>194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Մ Ա Ս   I</vt:lpstr>
      <vt:lpstr>Մ Ա Ս   I</vt:lpstr>
    </vt:vector>
  </TitlesOfParts>
  <Company>Compass</Company>
  <LinksUpToDate>false</LinksUpToDate>
  <CharactersWithSpaces>97196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creator>User</dc:creator>
  <cp:keywords>https:/mul2-minfin.gov.am/tasks/372275/oneclick/3.2022_Uxerdz-30.09.21.docx?token=51287b283e7b91d2246d64cbec7c963c</cp:keywords>
  <cp:lastModifiedBy>Hasmik Petrosyan</cp:lastModifiedBy>
  <cp:revision>3</cp:revision>
  <cp:lastPrinted>2021-12-03T07:53:00Z</cp:lastPrinted>
  <dcterms:created xsi:type="dcterms:W3CDTF">2022-07-06T09:08:00Z</dcterms:created>
  <dcterms:modified xsi:type="dcterms:W3CDTF">2022-07-06T10:20:00Z</dcterms:modified>
</cp:coreProperties>
</file>